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180" w:rsidRDefault="00D86180" w:rsidP="00D86180">
      <w:pPr>
        <w:ind w:left="360"/>
        <w:rPr>
          <w:b/>
          <w:color w:val="00B050"/>
        </w:rPr>
      </w:pPr>
      <w:r>
        <w:rPr>
          <w:b/>
          <w:color w:val="00B050"/>
        </w:rPr>
        <w:t>Chapter 6- Commercial liability insurances</w:t>
      </w:r>
    </w:p>
    <w:p w:rsidR="00D86180" w:rsidRDefault="00D86180" w:rsidP="00D86180">
      <w:pPr>
        <w:pStyle w:val="ListParagraph"/>
        <w:numPr>
          <w:ilvl w:val="0"/>
          <w:numId w:val="1"/>
        </w:numPr>
        <w:rPr>
          <w:b/>
          <w:color w:val="FF0000"/>
        </w:rPr>
      </w:pPr>
      <w:r>
        <w:rPr>
          <w:b/>
          <w:color w:val="FF0000"/>
        </w:rPr>
        <w:t xml:space="preserve"> Liability insurance</w:t>
      </w:r>
    </w:p>
    <w:p w:rsidR="00D86180" w:rsidRDefault="00D86180" w:rsidP="00D86180">
      <w:pPr>
        <w:ind w:left="360"/>
        <w:rPr>
          <w:color w:val="FF0000"/>
        </w:rPr>
      </w:pPr>
      <w:r>
        <w:rPr>
          <w:color w:val="FF0000"/>
        </w:rPr>
        <w:t>A1- Operative clause</w:t>
      </w:r>
    </w:p>
    <w:p w:rsidR="00D86180" w:rsidRDefault="00DE3BB7" w:rsidP="00D86180">
      <w:pPr>
        <w:ind w:left="360"/>
      </w:pPr>
      <w:r>
        <w:t xml:space="preserve">Are clause(s) that describe(s) the standard scope of cover of each section of </w:t>
      </w:r>
      <w:proofErr w:type="gramStart"/>
      <w:r>
        <w:t>an I</w:t>
      </w:r>
      <w:proofErr w:type="gramEnd"/>
      <w:r>
        <w:t xml:space="preserve"> policy.</w:t>
      </w:r>
    </w:p>
    <w:p w:rsidR="00DE3BB7" w:rsidRDefault="00DE3BB7" w:rsidP="00D86180">
      <w:pPr>
        <w:ind w:left="360"/>
        <w:rPr>
          <w:color w:val="FF0000"/>
        </w:rPr>
      </w:pPr>
      <w:r>
        <w:rPr>
          <w:color w:val="FF0000"/>
        </w:rPr>
        <w:t>A1a- Legal liability</w:t>
      </w:r>
    </w:p>
    <w:p w:rsidR="00DE3BB7" w:rsidRDefault="00DE3BB7" w:rsidP="00D86180">
      <w:pPr>
        <w:ind w:left="360"/>
      </w:pPr>
      <w:r>
        <w:t>Policies cover the insured’s legal liability for damages by PIAB, the court or agreed out of court. Damages may be awarded for personal injuries, damage to property or for some types of financial loss.</w:t>
      </w:r>
    </w:p>
    <w:p w:rsidR="00DE3BB7" w:rsidRDefault="00DE3BB7" w:rsidP="00D86180">
      <w:pPr>
        <w:ind w:left="360"/>
        <w:rPr>
          <w:color w:val="FF0000"/>
        </w:rPr>
      </w:pPr>
      <w:r>
        <w:rPr>
          <w:color w:val="FF0000"/>
        </w:rPr>
        <w:t>A1b- Legal costs &amp; expenses</w:t>
      </w:r>
    </w:p>
    <w:p w:rsidR="00DE3BB7" w:rsidRDefault="00E84A02" w:rsidP="00D86180">
      <w:pPr>
        <w:ind w:left="360"/>
      </w:pPr>
      <w:r>
        <w:t>Policies cover the insured’s legal liability for the plaintiff’s (3</w:t>
      </w:r>
      <w:r w:rsidRPr="00E84A02">
        <w:rPr>
          <w:vertAlign w:val="superscript"/>
        </w:rPr>
        <w:t>rd</w:t>
      </w:r>
      <w:r>
        <w:t xml:space="preserve"> party) costs &amp; expenses, as well as defence costs. This is a very important element of cover, even if a PH is not responsible for the incident that gave rise to a claim, they may still incur expensive cots in defending a legal action.</w:t>
      </w:r>
    </w:p>
    <w:p w:rsidR="00E84A02" w:rsidRDefault="00E84A02" w:rsidP="00D86180">
      <w:pPr>
        <w:ind w:left="360"/>
        <w:rPr>
          <w:color w:val="FF0000"/>
        </w:rPr>
      </w:pPr>
      <w:r>
        <w:rPr>
          <w:color w:val="FF0000"/>
        </w:rPr>
        <w:t>A1c- Definition of the business</w:t>
      </w:r>
    </w:p>
    <w:p w:rsidR="007B628C" w:rsidRDefault="007B628C" w:rsidP="00D86180">
      <w:pPr>
        <w:ind w:left="360"/>
      </w:pPr>
      <w:r>
        <w:t>If the business description is inaccurate, or omits an important aspect of the insured’s activities, this could have serious consequences in the event of a claim.</w:t>
      </w:r>
    </w:p>
    <w:p w:rsidR="007B628C" w:rsidRDefault="007B628C" w:rsidP="00D86180">
      <w:pPr>
        <w:ind w:left="360"/>
        <w:rPr>
          <w:color w:val="FF0000"/>
        </w:rPr>
      </w:pPr>
      <w:r>
        <w:rPr>
          <w:color w:val="FF0000"/>
        </w:rPr>
        <w:t>A1d- Geographical/territorial and jurisdiction limits</w:t>
      </w:r>
    </w:p>
    <w:p w:rsidR="007B628C" w:rsidRDefault="007B628C" w:rsidP="00D86180">
      <w:pPr>
        <w:ind w:left="360"/>
      </w:pPr>
      <w:r>
        <w:t>Operative clauses will usually state both the geographical and jurisdiction limits of a policy. The difference between these is as follows:</w:t>
      </w:r>
    </w:p>
    <w:p w:rsidR="007B628C" w:rsidRDefault="007B628C" w:rsidP="007B628C">
      <w:pPr>
        <w:pStyle w:val="ListParagraph"/>
        <w:numPr>
          <w:ilvl w:val="0"/>
          <w:numId w:val="2"/>
        </w:numPr>
      </w:pPr>
      <w:r>
        <w:t xml:space="preserve">Geographical- these state the areas where cover will apply. For example, an employer’s liability policy typically covers the insured’s for injuries to employees in the ROI, NI, GB, IOM and the Channel Islands, or </w:t>
      </w:r>
      <w:r w:rsidR="00AD7958">
        <w:t>temporarily</w:t>
      </w:r>
      <w:r>
        <w:t xml:space="preserve"> working outside these territories</w:t>
      </w:r>
      <w:r w:rsidR="00AD7958">
        <w:t>.</w:t>
      </w:r>
    </w:p>
    <w:p w:rsidR="00AD7958" w:rsidRDefault="00AD7958" w:rsidP="007B628C">
      <w:pPr>
        <w:pStyle w:val="ListParagraph"/>
        <w:numPr>
          <w:ilvl w:val="0"/>
          <w:numId w:val="2"/>
        </w:numPr>
      </w:pPr>
      <w:r>
        <w:t xml:space="preserve">Jurisdiction limit- this is clause stating that claims must be brought against the PH in a specified territory or under Irish law. This means that although a policy might have a worldwide geographical limit, the insurer will only provide indemnity for claims brought against the PH in the named jurisdiction. </w:t>
      </w:r>
    </w:p>
    <w:p w:rsidR="00AD7958" w:rsidRDefault="00AD7958" w:rsidP="00AD7958">
      <w:pPr>
        <w:ind w:left="360"/>
        <w:rPr>
          <w:color w:val="FF0000"/>
        </w:rPr>
      </w:pPr>
      <w:r>
        <w:rPr>
          <w:color w:val="FF0000"/>
        </w:rPr>
        <w:t>A1e- Limits of indemnity</w:t>
      </w:r>
    </w:p>
    <w:p w:rsidR="00AD7958" w:rsidRDefault="00A73A69" w:rsidP="00AD7958">
      <w:pPr>
        <w:ind w:left="360"/>
      </w:pPr>
      <w:r>
        <w:t>Unlike property and BII, liability insurances do not have sums insured. Instead, they are subject to limits of indemnity which are chosen by the client usually.</w:t>
      </w:r>
    </w:p>
    <w:p w:rsidR="00A73A69" w:rsidRDefault="00A73A69" w:rsidP="00AD7958">
      <w:pPr>
        <w:ind w:left="360"/>
        <w:rPr>
          <w:b/>
          <w:color w:val="FF0000"/>
        </w:rPr>
      </w:pPr>
    </w:p>
    <w:p w:rsidR="00A73A69" w:rsidRDefault="00A73A69" w:rsidP="00AD7958">
      <w:pPr>
        <w:ind w:left="360"/>
        <w:rPr>
          <w:color w:val="FF0000"/>
        </w:rPr>
      </w:pPr>
      <w:r>
        <w:rPr>
          <w:color w:val="FF0000"/>
        </w:rPr>
        <w:t>A2- Policy triggers and basis of cover</w:t>
      </w:r>
    </w:p>
    <w:p w:rsidR="00A73A69" w:rsidRDefault="00181923" w:rsidP="00AD7958">
      <w:pPr>
        <w:ind w:left="360"/>
      </w:pPr>
      <w:r>
        <w:t>Different stages of a liability event may trigger a claim under the policy. The main triggers are:</w:t>
      </w:r>
    </w:p>
    <w:p w:rsidR="00181923" w:rsidRDefault="00181923" w:rsidP="00181923">
      <w:pPr>
        <w:pStyle w:val="ListParagraph"/>
        <w:numPr>
          <w:ilvl w:val="0"/>
          <w:numId w:val="3"/>
        </w:numPr>
      </w:pPr>
      <w:r>
        <w:t>The initial act, usually negligence, but in some cases another legal wrong</w:t>
      </w:r>
    </w:p>
    <w:p w:rsidR="00181923" w:rsidRDefault="00181923" w:rsidP="00181923">
      <w:pPr>
        <w:pStyle w:val="ListParagraph"/>
        <w:numPr>
          <w:ilvl w:val="0"/>
          <w:numId w:val="3"/>
        </w:numPr>
      </w:pPr>
      <w:r>
        <w:t>The actual injury, loss, or damage resulting from the act</w:t>
      </w:r>
    </w:p>
    <w:p w:rsidR="00181923" w:rsidRDefault="00181923" w:rsidP="00181923">
      <w:pPr>
        <w:pStyle w:val="ListParagraph"/>
        <w:numPr>
          <w:ilvl w:val="0"/>
          <w:numId w:val="3"/>
        </w:numPr>
      </w:pPr>
      <w:r>
        <w:t>The manifestation of the injury, loss or damage</w:t>
      </w:r>
    </w:p>
    <w:p w:rsidR="00181923" w:rsidRDefault="00181923" w:rsidP="00181923">
      <w:pPr>
        <w:pStyle w:val="ListParagraph"/>
        <w:numPr>
          <w:ilvl w:val="0"/>
          <w:numId w:val="3"/>
        </w:numPr>
      </w:pPr>
      <w:r>
        <w:t>The aggrieved or injured party’s awareness of the injury, loss or damage</w:t>
      </w:r>
    </w:p>
    <w:p w:rsidR="00181923" w:rsidRDefault="00181923" w:rsidP="00181923">
      <w:pPr>
        <w:pStyle w:val="ListParagraph"/>
        <w:numPr>
          <w:ilvl w:val="0"/>
          <w:numId w:val="3"/>
        </w:numPr>
      </w:pPr>
      <w:r>
        <w:t>Notification of the claim to the PH</w:t>
      </w:r>
    </w:p>
    <w:p w:rsidR="00181923" w:rsidRDefault="00181923" w:rsidP="00181923">
      <w:pPr>
        <w:pStyle w:val="ListParagraph"/>
        <w:numPr>
          <w:ilvl w:val="0"/>
          <w:numId w:val="3"/>
        </w:numPr>
      </w:pPr>
      <w:r>
        <w:t>Notification of the claim to the insurer</w:t>
      </w:r>
    </w:p>
    <w:p w:rsidR="00181923" w:rsidRDefault="00181923" w:rsidP="00181923">
      <w:pPr>
        <w:ind w:left="360"/>
      </w:pPr>
      <w:r>
        <w:t>In many situations the first 4 points happen almost simultaneously.</w:t>
      </w:r>
    </w:p>
    <w:p w:rsidR="00181923" w:rsidRDefault="00181923" w:rsidP="00181923">
      <w:pPr>
        <w:ind w:left="360"/>
        <w:rPr>
          <w:color w:val="FF0000"/>
        </w:rPr>
      </w:pPr>
      <w:r>
        <w:rPr>
          <w:color w:val="FF0000"/>
        </w:rPr>
        <w:t>A2a- ‘Occurrence’ basis</w:t>
      </w:r>
    </w:p>
    <w:p w:rsidR="00181923" w:rsidRDefault="00FF0FDC" w:rsidP="00181923">
      <w:pPr>
        <w:ind w:left="360"/>
      </w:pPr>
      <w:r>
        <w:t>This means l</w:t>
      </w:r>
      <w:r w:rsidR="00181923">
        <w:t xml:space="preserve">iability policy cover that is triggered when the incident occurs (which could be over a period of time). </w:t>
      </w:r>
      <w:r>
        <w:t>Employer’s</w:t>
      </w:r>
      <w:r w:rsidR="00181923">
        <w:t xml:space="preserve"> liability wordings typically refer to ‘death, bodily injury, illness or disease </w:t>
      </w:r>
      <w:r w:rsidR="00181923">
        <w:rPr>
          <w:b/>
        </w:rPr>
        <w:t xml:space="preserve">caused </w:t>
      </w:r>
      <w:r w:rsidR="00181923">
        <w:t xml:space="preserve">during the period of </w:t>
      </w:r>
      <w:proofErr w:type="gramStart"/>
      <w:r w:rsidR="00181923">
        <w:t>I</w:t>
      </w:r>
      <w:proofErr w:type="gramEnd"/>
      <w:r w:rsidR="00181923">
        <w:t xml:space="preserve">’. </w:t>
      </w:r>
    </w:p>
    <w:p w:rsidR="00181923" w:rsidRDefault="00181923" w:rsidP="00181923">
      <w:pPr>
        <w:ind w:left="360"/>
      </w:pPr>
      <w:proofErr w:type="gramStart"/>
      <w:r>
        <w:lastRenderedPageBreak/>
        <w:t>Public  &amp;</w:t>
      </w:r>
      <w:proofErr w:type="gramEnd"/>
      <w:r>
        <w:t xml:space="preserve"> products liability wordings often refer to ‘death, bodily injury, illness, disease and damage to property </w:t>
      </w:r>
      <w:r>
        <w:rPr>
          <w:b/>
        </w:rPr>
        <w:t xml:space="preserve">occurring </w:t>
      </w:r>
      <w:r>
        <w:t>during the period of I’.</w:t>
      </w:r>
    </w:p>
    <w:p w:rsidR="00181923" w:rsidRDefault="00181923" w:rsidP="00181923">
      <w:pPr>
        <w:ind w:left="360"/>
        <w:rPr>
          <w:color w:val="FF0000"/>
        </w:rPr>
      </w:pPr>
      <w:r>
        <w:rPr>
          <w:color w:val="FF0000"/>
        </w:rPr>
        <w:t>A2b- ‘Claims made’ basis</w:t>
      </w:r>
    </w:p>
    <w:p w:rsidR="00181923" w:rsidRDefault="00FF0FDC" w:rsidP="00181923">
      <w:pPr>
        <w:ind w:left="360"/>
      </w:pPr>
      <w:r w:rsidRPr="00FF0FDC">
        <w:t>This means li</w:t>
      </w:r>
      <w:r>
        <w:t>ability policy cover that is triggered when the 3</w:t>
      </w:r>
      <w:r w:rsidRPr="00FF0FDC">
        <w:rPr>
          <w:vertAlign w:val="superscript"/>
        </w:rPr>
        <w:t>rd</w:t>
      </w:r>
      <w:r>
        <w:t xml:space="preserve"> party (claimant) makes a claim against the PH and must be made during the period of I. The most common class of liability cover underwritten on this basis is professional indemnity I (which is I cover in respect of liability arising from breach of professional duty (by the PH or their predecessors)). Policies usually have a retroactive date (this is the date shown on the schedule of a ‘claims made’ policy. There is no cover for claims arising from acts/events that happened prior to this date).</w:t>
      </w:r>
    </w:p>
    <w:p w:rsidR="00FF0FDC" w:rsidRDefault="00FF0FDC" w:rsidP="00181923">
      <w:pPr>
        <w:ind w:left="360"/>
        <w:rPr>
          <w:color w:val="FF0000"/>
        </w:rPr>
      </w:pPr>
      <w:r>
        <w:rPr>
          <w:color w:val="FF0000"/>
        </w:rPr>
        <w:t>A3- The package of covers</w:t>
      </w:r>
    </w:p>
    <w:p w:rsidR="00FF0FDC" w:rsidRDefault="00FF0FDC" w:rsidP="00181923">
      <w:pPr>
        <w:ind w:left="360"/>
      </w:pPr>
      <w:r>
        <w:t>Combined employers liability, public liability and products liability policies are very common. Many insurers do not wish to insure one of these covers on a stand-alone basis, but are prepared to provide cover for a combined liability arrangement</w:t>
      </w:r>
      <w:r w:rsidR="00A64E4B">
        <w:t>.</w:t>
      </w:r>
    </w:p>
    <w:p w:rsidR="00A64E4B" w:rsidRDefault="00A64E4B" w:rsidP="00A64E4B">
      <w:pPr>
        <w:pStyle w:val="ListParagraph"/>
        <w:numPr>
          <w:ilvl w:val="0"/>
          <w:numId w:val="4"/>
        </w:numPr>
      </w:pPr>
      <w:r>
        <w:t>Employers liability (cover)- I to cover the legal liability of the insured to any person who is under a contract of service or apprenticeship</w:t>
      </w:r>
    </w:p>
    <w:p w:rsidR="00A64E4B" w:rsidRDefault="00A64E4B" w:rsidP="00A64E4B">
      <w:pPr>
        <w:pStyle w:val="ListParagraph"/>
        <w:numPr>
          <w:ilvl w:val="0"/>
          <w:numId w:val="4"/>
        </w:numPr>
      </w:pPr>
      <w:r>
        <w:t>Public liability (cover)- I that covers injury or death to anyone on or around the PHs property</w:t>
      </w:r>
    </w:p>
    <w:p w:rsidR="00A64E4B" w:rsidRDefault="00A64E4B" w:rsidP="00A64E4B">
      <w:pPr>
        <w:pStyle w:val="ListParagraph"/>
        <w:numPr>
          <w:ilvl w:val="0"/>
          <w:numId w:val="4"/>
        </w:numPr>
      </w:pPr>
      <w:r>
        <w:t>Public liability (cover)- I for all providers of goods- whether manufacturers, intermediaries or retailers- against claims arising out of the use, handling or consumption of a product</w:t>
      </w:r>
    </w:p>
    <w:p w:rsidR="00A64E4B" w:rsidRDefault="00A64E4B" w:rsidP="00A64E4B">
      <w:pPr>
        <w:ind w:left="360"/>
      </w:pPr>
    </w:p>
    <w:p w:rsidR="00A64E4B" w:rsidRDefault="00A64E4B" w:rsidP="00A64E4B">
      <w:pPr>
        <w:pStyle w:val="ListParagraph"/>
        <w:numPr>
          <w:ilvl w:val="0"/>
          <w:numId w:val="1"/>
        </w:numPr>
        <w:rPr>
          <w:b/>
          <w:color w:val="FF0000"/>
        </w:rPr>
      </w:pPr>
      <w:r>
        <w:rPr>
          <w:b/>
          <w:color w:val="FF0000"/>
        </w:rPr>
        <w:t>Employers liability insurance</w:t>
      </w:r>
    </w:p>
    <w:p w:rsidR="00A64E4B" w:rsidRDefault="00292ADA" w:rsidP="00A64E4B">
      <w:pPr>
        <w:ind w:left="360"/>
        <w:rPr>
          <w:color w:val="FF0000"/>
        </w:rPr>
      </w:pPr>
      <w:r>
        <w:rPr>
          <w:noProof/>
          <w:color w:val="FF0000"/>
          <w:lang w:eastAsia="en-IE"/>
        </w:rPr>
        <w:drawing>
          <wp:inline distT="0" distB="0" distL="0" distR="0">
            <wp:extent cx="4210050" cy="4333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10050" cy="4333875"/>
                    </a:xfrm>
                    <a:prstGeom prst="rect">
                      <a:avLst/>
                    </a:prstGeom>
                    <a:noFill/>
                    <a:ln w="9525">
                      <a:noFill/>
                      <a:miter lim="800000"/>
                      <a:headEnd/>
                      <a:tailEnd/>
                    </a:ln>
                  </pic:spPr>
                </pic:pic>
              </a:graphicData>
            </a:graphic>
          </wp:inline>
        </w:drawing>
      </w:r>
    </w:p>
    <w:p w:rsidR="0017703F" w:rsidRDefault="0017703F" w:rsidP="00A64E4B">
      <w:pPr>
        <w:ind w:left="360"/>
        <w:rPr>
          <w:color w:val="FF0000"/>
        </w:rPr>
      </w:pPr>
      <w:r>
        <w:rPr>
          <w:color w:val="FF0000"/>
        </w:rPr>
        <w:lastRenderedPageBreak/>
        <w:t>B1- Definition of an employee</w:t>
      </w:r>
    </w:p>
    <w:p w:rsidR="0017703F" w:rsidRDefault="0017703F" w:rsidP="00A64E4B">
      <w:pPr>
        <w:ind w:left="360"/>
      </w:pPr>
      <w:r>
        <w:t>The policy definition of an employee is: ‘any person while working for the insured in connection with the business who is under a contract of service or apprenticeship with the insured’.</w:t>
      </w:r>
      <w:r w:rsidR="00EE4412">
        <w:t xml:space="preserve"> Insurers are keen to define the scope of the term ‘employee’ to make sure that it also includes some categories of persons not directly employed by the PH. Categories include:</w:t>
      </w:r>
    </w:p>
    <w:p w:rsidR="00EE4412" w:rsidRDefault="00EE4412" w:rsidP="00EE4412">
      <w:pPr>
        <w:pStyle w:val="ListParagraph"/>
        <w:numPr>
          <w:ilvl w:val="0"/>
          <w:numId w:val="5"/>
        </w:numPr>
      </w:pPr>
      <w:r>
        <w:t>Labour masters, labour only sub-contractors (a category of worker contracted for ‘labour only’ (usually without their own liability I) and treated as an employee under a liability I policy) and persons employed or supplied by them</w:t>
      </w:r>
    </w:p>
    <w:p w:rsidR="00EE4412" w:rsidRDefault="00EE4412" w:rsidP="00EE4412">
      <w:pPr>
        <w:pStyle w:val="ListParagraph"/>
        <w:numPr>
          <w:ilvl w:val="0"/>
          <w:numId w:val="5"/>
        </w:numPr>
      </w:pPr>
      <w:r>
        <w:t>Self-employed persons</w:t>
      </w:r>
    </w:p>
    <w:p w:rsidR="00EE4412" w:rsidRDefault="00EE4412" w:rsidP="00EE4412">
      <w:pPr>
        <w:pStyle w:val="ListParagraph"/>
        <w:numPr>
          <w:ilvl w:val="0"/>
          <w:numId w:val="5"/>
        </w:numPr>
      </w:pPr>
      <w:r>
        <w:t>Persons hired or borrowed by the insured under an agreement where the person is considered to be employed by the insured</w:t>
      </w:r>
    </w:p>
    <w:p w:rsidR="00EE4412" w:rsidRDefault="00EE4412" w:rsidP="00EE4412">
      <w:pPr>
        <w:pStyle w:val="ListParagraph"/>
        <w:numPr>
          <w:ilvl w:val="0"/>
          <w:numId w:val="5"/>
        </w:numPr>
      </w:pPr>
      <w:r>
        <w:t>Persons engaged in any training, educational or work experience programme</w:t>
      </w:r>
    </w:p>
    <w:p w:rsidR="00EE4412" w:rsidRDefault="00EE4412" w:rsidP="00EE4412">
      <w:pPr>
        <w:ind w:left="360"/>
        <w:rPr>
          <w:color w:val="FF0000"/>
        </w:rPr>
      </w:pPr>
      <w:r>
        <w:rPr>
          <w:color w:val="FF0000"/>
        </w:rPr>
        <w:t>B2- Cover considerations</w:t>
      </w:r>
    </w:p>
    <w:p w:rsidR="00EE4412" w:rsidRDefault="003845FC" w:rsidP="00EE4412">
      <w:pPr>
        <w:ind w:left="360"/>
      </w:pPr>
      <w:r>
        <w:t>When arranging employer’s liability cover, the adviser must work with the client to prepare an accurate wages declaration. This figure is the exposure measure used for setting the premium.</w:t>
      </w:r>
      <w:r w:rsidR="00F52D3C">
        <w:t xml:space="preserve"> Policies are normally arranged on a declaration basis. The initial premium is adjusted at the end of the period of I, when exact wage figures are known and declared to the insurer. When rating a risk insurers also categorise employees according to the nature of their work.</w:t>
      </w:r>
    </w:p>
    <w:p w:rsidR="00F52D3C" w:rsidRDefault="00F52D3C" w:rsidP="00F52D3C">
      <w:pPr>
        <w:pStyle w:val="ListParagraph"/>
        <w:numPr>
          <w:ilvl w:val="0"/>
          <w:numId w:val="6"/>
        </w:numPr>
      </w:pPr>
      <w:r>
        <w:t>Clerical staff</w:t>
      </w:r>
    </w:p>
    <w:p w:rsidR="00F52D3C" w:rsidRDefault="00F52D3C" w:rsidP="00F52D3C">
      <w:pPr>
        <w:pStyle w:val="ListParagraph"/>
        <w:numPr>
          <w:ilvl w:val="0"/>
          <w:numId w:val="6"/>
        </w:numPr>
      </w:pPr>
      <w:r>
        <w:t>Manual/working directors</w:t>
      </w:r>
    </w:p>
    <w:p w:rsidR="00F52D3C" w:rsidRDefault="00F52D3C" w:rsidP="00F52D3C">
      <w:pPr>
        <w:pStyle w:val="ListParagraph"/>
        <w:numPr>
          <w:ilvl w:val="0"/>
          <w:numId w:val="6"/>
        </w:numPr>
      </w:pPr>
      <w:r>
        <w:t>Manual work away from the premises</w:t>
      </w:r>
    </w:p>
    <w:p w:rsidR="00F52D3C" w:rsidRDefault="00F52D3C" w:rsidP="00F52D3C">
      <w:pPr>
        <w:pStyle w:val="ListParagraph"/>
        <w:numPr>
          <w:ilvl w:val="0"/>
          <w:numId w:val="6"/>
        </w:numPr>
      </w:pPr>
      <w:r>
        <w:t>Drivers</w:t>
      </w:r>
    </w:p>
    <w:p w:rsidR="00F52D3C" w:rsidRDefault="00F52D3C" w:rsidP="00F52D3C">
      <w:pPr>
        <w:pStyle w:val="ListParagraph"/>
        <w:numPr>
          <w:ilvl w:val="0"/>
          <w:numId w:val="6"/>
        </w:numPr>
      </w:pPr>
      <w:r>
        <w:t>All other employees</w:t>
      </w:r>
    </w:p>
    <w:p w:rsidR="00785FEC" w:rsidRDefault="00785FEC" w:rsidP="00785FEC">
      <w:pPr>
        <w:ind w:left="360"/>
      </w:pPr>
      <w:r>
        <w:t>It is also important to establish whether any employees are working outside of Ireland, and if so, how temporary or otherwise their employment is.</w:t>
      </w:r>
    </w:p>
    <w:p w:rsidR="00785FEC" w:rsidRDefault="00785FEC" w:rsidP="00785FEC">
      <w:pPr>
        <w:ind w:left="360"/>
        <w:rPr>
          <w:color w:val="FF0000"/>
        </w:rPr>
      </w:pPr>
      <w:r>
        <w:rPr>
          <w:color w:val="FF0000"/>
        </w:rPr>
        <w:t>B2a- Indemnity to principal</w:t>
      </w:r>
    </w:p>
    <w:p w:rsidR="0017703F" w:rsidRDefault="005E0FAC" w:rsidP="00A64E4B">
      <w:pPr>
        <w:ind w:left="360"/>
        <w:rPr>
          <w:color w:val="FF0000"/>
        </w:rPr>
      </w:pPr>
      <w:r>
        <w:rPr>
          <w:noProof/>
          <w:color w:val="FF0000"/>
          <w:lang w:eastAsia="en-IE"/>
        </w:rPr>
        <w:drawing>
          <wp:inline distT="0" distB="0" distL="0" distR="0">
            <wp:extent cx="4295775" cy="3495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95775" cy="3495675"/>
                    </a:xfrm>
                    <a:prstGeom prst="rect">
                      <a:avLst/>
                    </a:prstGeom>
                    <a:noFill/>
                    <a:ln w="9525">
                      <a:noFill/>
                      <a:miter lim="800000"/>
                      <a:headEnd/>
                      <a:tailEnd/>
                    </a:ln>
                  </pic:spPr>
                </pic:pic>
              </a:graphicData>
            </a:graphic>
          </wp:inline>
        </w:drawing>
      </w:r>
    </w:p>
    <w:p w:rsidR="00292ADA" w:rsidRDefault="00292ADA" w:rsidP="00A64E4B">
      <w:pPr>
        <w:ind w:left="360"/>
        <w:rPr>
          <w:color w:val="FF0000"/>
        </w:rPr>
      </w:pPr>
    </w:p>
    <w:p w:rsidR="005E0FAC" w:rsidRDefault="005E0FAC" w:rsidP="00A64E4B">
      <w:pPr>
        <w:ind w:left="360"/>
        <w:rPr>
          <w:color w:val="FF0000"/>
        </w:rPr>
      </w:pPr>
      <w:r>
        <w:rPr>
          <w:noProof/>
          <w:color w:val="FF0000"/>
          <w:lang w:eastAsia="en-IE"/>
        </w:rPr>
        <w:lastRenderedPageBreak/>
        <w:drawing>
          <wp:inline distT="0" distB="0" distL="0" distR="0">
            <wp:extent cx="4638675" cy="3638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638675" cy="3638550"/>
                    </a:xfrm>
                    <a:prstGeom prst="rect">
                      <a:avLst/>
                    </a:prstGeom>
                    <a:noFill/>
                    <a:ln w="9525">
                      <a:noFill/>
                      <a:miter lim="800000"/>
                      <a:headEnd/>
                      <a:tailEnd/>
                    </a:ln>
                  </pic:spPr>
                </pic:pic>
              </a:graphicData>
            </a:graphic>
          </wp:inline>
        </w:drawing>
      </w:r>
    </w:p>
    <w:p w:rsidR="005E0FAC" w:rsidRDefault="005E0FAC" w:rsidP="00A64E4B">
      <w:pPr>
        <w:ind w:left="360"/>
        <w:rPr>
          <w:color w:val="FF0000"/>
        </w:rPr>
      </w:pPr>
      <w:r>
        <w:rPr>
          <w:color w:val="FF0000"/>
        </w:rPr>
        <w:t>B4- Employment practices liability insurance</w:t>
      </w:r>
    </w:p>
    <w:p w:rsidR="005E0FAC" w:rsidRDefault="003B43BB" w:rsidP="00A64E4B">
      <w:pPr>
        <w:ind w:left="360"/>
      </w:pPr>
      <w:r>
        <w:t xml:space="preserve">Standard employer’s liability cover is restricted to claims that involve bodily injury/disease. This policy, however, protects the client against employment-related litigation e.g. sexual harassment, discrimination or wrongful dismissal. </w:t>
      </w:r>
    </w:p>
    <w:p w:rsidR="002A1944" w:rsidRDefault="002A1944" w:rsidP="00A64E4B">
      <w:pPr>
        <w:ind w:left="360"/>
      </w:pPr>
    </w:p>
    <w:p w:rsidR="002A1944" w:rsidRDefault="002A1944" w:rsidP="002A1944">
      <w:pPr>
        <w:pStyle w:val="ListParagraph"/>
        <w:numPr>
          <w:ilvl w:val="0"/>
          <w:numId w:val="1"/>
        </w:numPr>
        <w:rPr>
          <w:b/>
          <w:color w:val="FF0000"/>
        </w:rPr>
      </w:pPr>
      <w:r>
        <w:rPr>
          <w:b/>
          <w:color w:val="FF0000"/>
        </w:rPr>
        <w:t>Public liability insurance</w:t>
      </w:r>
    </w:p>
    <w:p w:rsidR="002A1944" w:rsidRDefault="00D76D2A" w:rsidP="002A1944">
      <w:pPr>
        <w:ind w:left="360"/>
      </w:pPr>
      <w:r>
        <w:rPr>
          <w:noProof/>
          <w:lang w:eastAsia="en-IE"/>
        </w:rPr>
        <w:drawing>
          <wp:inline distT="0" distB="0" distL="0" distR="0">
            <wp:extent cx="4191000" cy="1428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191000" cy="1428750"/>
                    </a:xfrm>
                    <a:prstGeom prst="rect">
                      <a:avLst/>
                    </a:prstGeom>
                    <a:noFill/>
                    <a:ln w="9525">
                      <a:noFill/>
                      <a:miter lim="800000"/>
                      <a:headEnd/>
                      <a:tailEnd/>
                    </a:ln>
                  </pic:spPr>
                </pic:pic>
              </a:graphicData>
            </a:graphic>
          </wp:inline>
        </w:drawing>
      </w:r>
    </w:p>
    <w:p w:rsidR="00FD1EE1" w:rsidRDefault="00542B2A" w:rsidP="002A1944">
      <w:pPr>
        <w:ind w:left="360"/>
      </w:pPr>
      <w:r>
        <w:t xml:space="preserve">Some policies also cover liability to </w:t>
      </w:r>
      <w:proofErr w:type="gramStart"/>
      <w:r>
        <w:t>p[</w:t>
      </w:r>
      <w:proofErr w:type="gramEnd"/>
      <w:r>
        <w:t>ay compensation for financial loss caused by nuisance, trespass, obstruction or interference with rights of way, light, air or water, wrongful arrest and false imprisonment, where the wrong is committed ‘accidentally’.</w:t>
      </w:r>
    </w:p>
    <w:p w:rsidR="00542B2A" w:rsidRDefault="00542B2A" w:rsidP="002A1944">
      <w:pPr>
        <w:ind w:left="360"/>
      </w:pPr>
      <w:r>
        <w:t>Some of the important point</w:t>
      </w:r>
      <w:r w:rsidR="003F3396">
        <w:t>s</w:t>
      </w:r>
      <w:r>
        <w:t xml:space="preserve"> of the operative clause include:</w:t>
      </w:r>
    </w:p>
    <w:p w:rsidR="00542B2A" w:rsidRDefault="004B6394" w:rsidP="00542B2A">
      <w:pPr>
        <w:pStyle w:val="ListParagraph"/>
        <w:numPr>
          <w:ilvl w:val="0"/>
          <w:numId w:val="7"/>
        </w:numPr>
      </w:pPr>
      <w:r>
        <w:t>Legal liability- in respect of accidental (a) death, bodily injury, illness or disease (b) loss of or damage to material property. This includes loss of earnings/ profit resulting from unintended injury or damage.</w:t>
      </w:r>
    </w:p>
    <w:p w:rsidR="004B6394" w:rsidRDefault="004B6394" w:rsidP="00542B2A">
      <w:pPr>
        <w:pStyle w:val="ListParagraph"/>
        <w:numPr>
          <w:ilvl w:val="0"/>
          <w:numId w:val="7"/>
        </w:numPr>
      </w:pPr>
      <w:r>
        <w:t>Occurring during the period of I- the word ‘occurring’ is the policy trigger</w:t>
      </w:r>
    </w:p>
    <w:p w:rsidR="004B6394" w:rsidRDefault="004B6394" w:rsidP="00542B2A">
      <w:pPr>
        <w:pStyle w:val="ListParagraph"/>
        <w:numPr>
          <w:ilvl w:val="0"/>
          <w:numId w:val="7"/>
        </w:numPr>
      </w:pPr>
      <w:r>
        <w:t>Policy excess- an excess often applies to 3</w:t>
      </w:r>
      <w:r w:rsidRPr="004B6394">
        <w:rPr>
          <w:vertAlign w:val="superscript"/>
        </w:rPr>
        <w:t>rd</w:t>
      </w:r>
      <w:r>
        <w:t xml:space="preserve"> party property damage claims</w:t>
      </w:r>
    </w:p>
    <w:p w:rsidR="007222CB" w:rsidRDefault="007222CB" w:rsidP="007222CB">
      <w:pPr>
        <w:ind w:left="360"/>
      </w:pPr>
    </w:p>
    <w:p w:rsidR="007222CB" w:rsidRDefault="007222CB" w:rsidP="007222CB">
      <w:pPr>
        <w:ind w:left="360"/>
      </w:pPr>
    </w:p>
    <w:p w:rsidR="007222CB" w:rsidRDefault="007222CB" w:rsidP="007222CB">
      <w:pPr>
        <w:ind w:left="360"/>
        <w:rPr>
          <w:color w:val="FF0000"/>
        </w:rPr>
      </w:pPr>
      <w:r>
        <w:rPr>
          <w:color w:val="FF0000"/>
        </w:rPr>
        <w:lastRenderedPageBreak/>
        <w:t>C1- The nature of the exposure</w:t>
      </w:r>
    </w:p>
    <w:p w:rsidR="007222CB" w:rsidRDefault="007222CB" w:rsidP="007222CB">
      <w:pPr>
        <w:ind w:left="360"/>
      </w:pPr>
      <w:r>
        <w:t>There are a number of ways to rate a public liability risk. Insurers usually base their rating on turnover, as it is a fair indication of the risk relative to the size of the business.</w:t>
      </w:r>
    </w:p>
    <w:p w:rsidR="007222CB" w:rsidRDefault="007222CB" w:rsidP="007222CB">
      <w:pPr>
        <w:ind w:left="360"/>
        <w:rPr>
          <w:color w:val="FF0000"/>
        </w:rPr>
      </w:pPr>
      <w:r>
        <w:rPr>
          <w:color w:val="FF0000"/>
        </w:rPr>
        <w:t xml:space="preserve">C2- Policy </w:t>
      </w:r>
      <w:proofErr w:type="gramStart"/>
      <w:r>
        <w:rPr>
          <w:color w:val="FF0000"/>
        </w:rPr>
        <w:t>cover</w:t>
      </w:r>
      <w:proofErr w:type="gramEnd"/>
      <w:r>
        <w:rPr>
          <w:color w:val="FF0000"/>
        </w:rPr>
        <w:t xml:space="preserve"> considerations and exclusions</w:t>
      </w:r>
    </w:p>
    <w:p w:rsidR="007222CB" w:rsidRDefault="007222CB" w:rsidP="007222CB">
      <w:pPr>
        <w:ind w:left="360"/>
      </w:pPr>
      <w:r>
        <w:t>Limits of indemnity vary but are usually between €1.3m and €6.5m in respect of any 1 claim. 2 standard exclusions as follows:</w:t>
      </w:r>
    </w:p>
    <w:p w:rsidR="007222CB" w:rsidRDefault="007222CB" w:rsidP="007222CB">
      <w:pPr>
        <w:ind w:left="360"/>
        <w:rPr>
          <w:color w:val="FF0000"/>
        </w:rPr>
      </w:pPr>
      <w:r>
        <w:rPr>
          <w:color w:val="FF0000"/>
        </w:rPr>
        <w:t>C2a- Tool of trade risk</w:t>
      </w:r>
    </w:p>
    <w:p w:rsidR="007222CB" w:rsidRDefault="007222CB" w:rsidP="007222CB">
      <w:pPr>
        <w:ind w:left="360"/>
      </w:pPr>
      <w:r>
        <w:t xml:space="preserve">Liabilities under the </w:t>
      </w:r>
      <w:r w:rsidRPr="007222CB">
        <w:rPr>
          <w:b/>
        </w:rPr>
        <w:t>Road Traffic Acts 1961 &amp; 2010</w:t>
      </w:r>
      <w:r>
        <w:rPr>
          <w:b/>
        </w:rPr>
        <w:t xml:space="preserve"> </w:t>
      </w:r>
      <w:r>
        <w:t>for any mechanically-propelled road vehicle must be covered under a motor I policy</w:t>
      </w:r>
    </w:p>
    <w:p w:rsidR="003F3396" w:rsidRDefault="003F3396" w:rsidP="007222CB">
      <w:pPr>
        <w:ind w:left="360"/>
        <w:rPr>
          <w:color w:val="FF0000"/>
        </w:rPr>
      </w:pPr>
      <w:r>
        <w:rPr>
          <w:color w:val="FF0000"/>
        </w:rPr>
        <w:t>C2b- Lifts, escalators and steam boilers</w:t>
      </w:r>
    </w:p>
    <w:p w:rsidR="003F3396" w:rsidRDefault="003F3396" w:rsidP="007222CB">
      <w:pPr>
        <w:ind w:left="360"/>
      </w:pPr>
      <w:r>
        <w:t xml:space="preserve">Some insurers will cover these under their public liability policies, while others will have a specific exclusion. </w:t>
      </w:r>
      <w:r w:rsidR="006A44EC">
        <w:t xml:space="preserve"> The risk may also be insured under a separate engineering policy</w:t>
      </w:r>
      <w:r w:rsidR="00DB354B">
        <w:t xml:space="preserve">. </w:t>
      </w:r>
    </w:p>
    <w:p w:rsidR="00DB354B" w:rsidRDefault="00DB354B" w:rsidP="007222CB">
      <w:pPr>
        <w:ind w:left="360"/>
        <w:rPr>
          <w:color w:val="FF0000"/>
        </w:rPr>
      </w:pPr>
      <w:r>
        <w:rPr>
          <w:color w:val="FF0000"/>
        </w:rPr>
        <w:t>C2c Advice, treatment or professional risks</w:t>
      </w:r>
    </w:p>
    <w:p w:rsidR="00DB354B" w:rsidRDefault="00216ABD" w:rsidP="007222CB">
      <w:pPr>
        <w:ind w:left="360"/>
      </w:pPr>
      <w:r>
        <w:t>Where there is an advice risk that is separate from the provision of a product or service, this should always be insured separately under a professional indemnity policy. Some small retail package policies may extend the public liability policy to include treatment risk e.g. hairdressers and beauty salons.</w:t>
      </w:r>
    </w:p>
    <w:p w:rsidR="00216ABD" w:rsidRDefault="00216ABD" w:rsidP="007222CB">
      <w:pPr>
        <w:ind w:left="360"/>
        <w:rPr>
          <w:color w:val="FF0000"/>
        </w:rPr>
      </w:pPr>
      <w:r>
        <w:rPr>
          <w:color w:val="FF0000"/>
        </w:rPr>
        <w:t>C3- Policy extensions to consider</w:t>
      </w:r>
    </w:p>
    <w:p w:rsidR="00216ABD" w:rsidRDefault="007746DF" w:rsidP="007222CB">
      <w:pPr>
        <w:ind w:left="360"/>
        <w:rPr>
          <w:color w:val="FF0000"/>
        </w:rPr>
      </w:pPr>
      <w:r>
        <w:rPr>
          <w:color w:val="FF0000"/>
        </w:rPr>
        <w:t>C3a- Indemnity to principal</w:t>
      </w:r>
    </w:p>
    <w:p w:rsidR="007746DF" w:rsidRDefault="0082059A" w:rsidP="007222CB">
      <w:pPr>
        <w:ind w:left="360"/>
      </w:pPr>
      <w:r>
        <w:t>Similar to the cover provided under an employer’s liability policy (section B2b), the public liability policy may provide an automatic extension for indemnity to a principal. It will provide cover for the principal as a result of work carried out by the PH, provided that the liability would have been covered if the claim had been made directly against the PH</w:t>
      </w:r>
    </w:p>
    <w:p w:rsidR="0082059A" w:rsidRDefault="0082059A" w:rsidP="007222CB">
      <w:pPr>
        <w:ind w:left="360"/>
        <w:rPr>
          <w:color w:val="FF0000"/>
        </w:rPr>
      </w:pPr>
      <w:r>
        <w:rPr>
          <w:color w:val="FF0000"/>
        </w:rPr>
        <w:t>C3b- Contractual liability</w:t>
      </w:r>
    </w:p>
    <w:p w:rsidR="0082059A" w:rsidRDefault="0093140A" w:rsidP="007222CB">
      <w:pPr>
        <w:ind w:left="360"/>
      </w:pPr>
      <w:r>
        <w:t>As with an employer’s liability policy, the standard policy wording will generally exclude any liability assumed (accepted) under contract that would not apply otherwise. In certain situations the cover may be extended, if required, at an additional cost</w:t>
      </w:r>
    </w:p>
    <w:p w:rsidR="0093140A" w:rsidRDefault="0093140A" w:rsidP="007222CB">
      <w:pPr>
        <w:ind w:left="360"/>
        <w:rPr>
          <w:color w:val="FF0000"/>
        </w:rPr>
      </w:pPr>
      <w:r>
        <w:rPr>
          <w:color w:val="FF0000"/>
        </w:rPr>
        <w:t>C3c- Cross liabilities</w:t>
      </w:r>
    </w:p>
    <w:p w:rsidR="0093140A" w:rsidRDefault="0093140A" w:rsidP="007222CB">
      <w:pPr>
        <w:ind w:left="360"/>
      </w:pPr>
      <w:r>
        <w:t>If there is more than 1 insured, the cover will apply separately to each 1 as if a separate po</w:t>
      </w:r>
      <w:r w:rsidR="00A37554">
        <w:t>licy had been issued to each, bu</w:t>
      </w:r>
      <w:r>
        <w:t>t the total limit of indemnity will remain the same</w:t>
      </w:r>
    </w:p>
    <w:p w:rsidR="00A37554" w:rsidRDefault="00A37554" w:rsidP="007222CB">
      <w:pPr>
        <w:ind w:left="360"/>
        <w:rPr>
          <w:color w:val="FF0000"/>
        </w:rPr>
      </w:pPr>
      <w:r>
        <w:rPr>
          <w:color w:val="FF0000"/>
        </w:rPr>
        <w:t>C3d- Safety, Health and Welfare at Work Act 2005</w:t>
      </w:r>
    </w:p>
    <w:p w:rsidR="00A37554" w:rsidRDefault="00A37554" w:rsidP="007222CB">
      <w:pPr>
        <w:ind w:left="360"/>
      </w:pPr>
      <w:r>
        <w:t>This is similar to the extension in an employer’s liability policy</w:t>
      </w:r>
    </w:p>
    <w:p w:rsidR="00A37554" w:rsidRDefault="00A37554" w:rsidP="007222CB">
      <w:pPr>
        <w:ind w:left="360"/>
        <w:rPr>
          <w:color w:val="FF0000"/>
        </w:rPr>
      </w:pPr>
      <w:r>
        <w:rPr>
          <w:color w:val="FF0000"/>
        </w:rPr>
        <w:t>C3e- Motor contingent liability</w:t>
      </w:r>
    </w:p>
    <w:p w:rsidR="00A37554" w:rsidRDefault="00A37554" w:rsidP="007222CB">
      <w:pPr>
        <w:ind w:left="360"/>
      </w:pPr>
      <w:r>
        <w:t>This is an extension to a public liability policy providing indemnity to an employer when an employee uses their own car on the firm’s business</w:t>
      </w:r>
      <w:r w:rsidR="000E7366">
        <w:t>. Cover is available as a stand-alone policy or as an extension of a motor fleet policy or a public liability policy. This policy will operate only if the relevant motor policy fails</w:t>
      </w:r>
    </w:p>
    <w:p w:rsidR="000E7366" w:rsidRDefault="007B49B5" w:rsidP="007222CB">
      <w:pPr>
        <w:ind w:left="360"/>
      </w:pPr>
      <w:r>
        <w:rPr>
          <w:noProof/>
          <w:lang w:eastAsia="en-IE"/>
        </w:rPr>
        <w:lastRenderedPageBreak/>
        <w:drawing>
          <wp:inline distT="0" distB="0" distL="0" distR="0">
            <wp:extent cx="4514850" cy="4943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514850" cy="4943475"/>
                    </a:xfrm>
                    <a:prstGeom prst="rect">
                      <a:avLst/>
                    </a:prstGeom>
                    <a:noFill/>
                    <a:ln w="9525">
                      <a:noFill/>
                      <a:miter lim="800000"/>
                      <a:headEnd/>
                      <a:tailEnd/>
                    </a:ln>
                  </pic:spPr>
                </pic:pic>
              </a:graphicData>
            </a:graphic>
          </wp:inline>
        </w:drawing>
      </w:r>
    </w:p>
    <w:p w:rsidR="007B49B5" w:rsidRDefault="007B49B5" w:rsidP="007222CB">
      <w:pPr>
        <w:ind w:left="360"/>
      </w:pPr>
    </w:p>
    <w:p w:rsidR="007B49B5" w:rsidRDefault="007B49B5" w:rsidP="007B49B5">
      <w:pPr>
        <w:pStyle w:val="ListParagraph"/>
        <w:numPr>
          <w:ilvl w:val="0"/>
          <w:numId w:val="1"/>
        </w:numPr>
        <w:rPr>
          <w:b/>
          <w:color w:val="FF0000"/>
        </w:rPr>
      </w:pPr>
      <w:r>
        <w:rPr>
          <w:b/>
          <w:color w:val="FF0000"/>
        </w:rPr>
        <w:t>Products liability insurance</w:t>
      </w:r>
    </w:p>
    <w:p w:rsidR="007B49B5" w:rsidRDefault="00E866B2" w:rsidP="007B49B5">
      <w:pPr>
        <w:ind w:left="360"/>
      </w:pPr>
      <w:r>
        <w:rPr>
          <w:noProof/>
          <w:lang w:eastAsia="en-IE"/>
        </w:rPr>
        <w:drawing>
          <wp:inline distT="0" distB="0" distL="0" distR="0">
            <wp:extent cx="4343400" cy="2209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343400" cy="2209800"/>
                    </a:xfrm>
                    <a:prstGeom prst="rect">
                      <a:avLst/>
                    </a:prstGeom>
                    <a:noFill/>
                    <a:ln w="9525">
                      <a:noFill/>
                      <a:miter lim="800000"/>
                      <a:headEnd/>
                      <a:tailEnd/>
                    </a:ln>
                  </pic:spPr>
                </pic:pic>
              </a:graphicData>
            </a:graphic>
          </wp:inline>
        </w:drawing>
      </w:r>
    </w:p>
    <w:p w:rsidR="00E866B2" w:rsidRDefault="00E866B2" w:rsidP="007B49B5">
      <w:pPr>
        <w:ind w:left="360"/>
      </w:pPr>
      <w:r>
        <w:t>There are some similarities between the operative clauses for products liability and public liability I. Specific points to note in relation to products liability cover are:</w:t>
      </w:r>
    </w:p>
    <w:p w:rsidR="00E866B2" w:rsidRDefault="00E866B2" w:rsidP="00E866B2">
      <w:pPr>
        <w:pStyle w:val="ListParagraph"/>
        <w:numPr>
          <w:ilvl w:val="0"/>
          <w:numId w:val="8"/>
        </w:numPr>
      </w:pPr>
      <w:r>
        <w:t xml:space="preserve">‘occurring anywhere in the world’- many policies provide worldwide cover, regardless of where the damage has arisen and would </w:t>
      </w:r>
      <w:r w:rsidR="002B637F">
        <w:t xml:space="preserve"> include liability resulting from any products in another country without the insured’s awareness of it</w:t>
      </w:r>
    </w:p>
    <w:p w:rsidR="002B637F" w:rsidRDefault="002B637F" w:rsidP="00E866B2">
      <w:pPr>
        <w:pStyle w:val="ListParagraph"/>
        <w:numPr>
          <w:ilvl w:val="0"/>
          <w:numId w:val="8"/>
        </w:numPr>
      </w:pPr>
      <w:r>
        <w:lastRenderedPageBreak/>
        <w:t>‘</w:t>
      </w:r>
      <w:proofErr w:type="gramStart"/>
      <w:r>
        <w:t>occurring</w:t>
      </w:r>
      <w:proofErr w:type="gramEnd"/>
      <w:r>
        <w:t>...during the period of I’- this is an ‘occurrence’ basis. Injury/damage must occur during the period of I (not necessarily when the product was supplied)</w:t>
      </w:r>
    </w:p>
    <w:p w:rsidR="002B637F" w:rsidRDefault="002B637F" w:rsidP="00E866B2">
      <w:pPr>
        <w:pStyle w:val="ListParagraph"/>
        <w:numPr>
          <w:ilvl w:val="0"/>
          <w:numId w:val="8"/>
        </w:numPr>
      </w:pPr>
      <w:r>
        <w:t>‘caused by the goods sold, supplied, delivered, installed, erected, repaired, altered, treated or tested by the insured’</w:t>
      </w:r>
    </w:p>
    <w:p w:rsidR="00C97A87" w:rsidRDefault="00C97A87" w:rsidP="00E866B2">
      <w:pPr>
        <w:pStyle w:val="ListParagraph"/>
        <w:numPr>
          <w:ilvl w:val="0"/>
          <w:numId w:val="8"/>
        </w:numPr>
      </w:pPr>
      <w:r>
        <w:t>‘in Ireland, GB, NI, the Chanel Islands or the IOM’</w:t>
      </w:r>
    </w:p>
    <w:p w:rsidR="00C97A87" w:rsidRDefault="00C97A87" w:rsidP="00E866B2">
      <w:pPr>
        <w:pStyle w:val="ListParagraph"/>
        <w:numPr>
          <w:ilvl w:val="0"/>
          <w:numId w:val="8"/>
        </w:numPr>
      </w:pPr>
      <w:r>
        <w:t>‘after they have left the custody or control of the insured’</w:t>
      </w:r>
    </w:p>
    <w:p w:rsidR="00C97A87" w:rsidRDefault="00C97A87" w:rsidP="00E866B2">
      <w:pPr>
        <w:pStyle w:val="ListParagraph"/>
        <w:numPr>
          <w:ilvl w:val="0"/>
          <w:numId w:val="8"/>
        </w:numPr>
      </w:pPr>
      <w:r>
        <w:t>Limits of indemnity- 2 limits of indemnity apply; a max limit known as an aggregate limit of indemnity (a max limit of indemnity for any 1 period of I, regardless of the number of claims), for all claims arising under the policy in any 1 period of I and a specific limit applying to any 1 claim. This differs from both employers and public liability cover where the limit of indemnity applies only to any 1 claim and policies provides unlimited indemnity for all claims arising in any 1 period of I</w:t>
      </w:r>
    </w:p>
    <w:p w:rsidR="00C97A87" w:rsidRDefault="00C97A87" w:rsidP="00E866B2">
      <w:pPr>
        <w:pStyle w:val="ListParagraph"/>
        <w:numPr>
          <w:ilvl w:val="0"/>
          <w:numId w:val="8"/>
        </w:numPr>
      </w:pPr>
      <w:r>
        <w:t>Legal costs &amp; expenses- insurers are liable only for expenses incurred with their consent. However, this would be normal practice, as the insurer will want to control the whole process. The basis used is ‘payable in addition to the limit of indemnity un</w:t>
      </w:r>
      <w:r w:rsidR="00C91780">
        <w:t>less it is ‘cost inclusive’- this is a type of indemnity provided by liability I where cover for defence costs is included in the limit of indemnity</w:t>
      </w:r>
    </w:p>
    <w:p w:rsidR="00C91780" w:rsidRDefault="00C91780" w:rsidP="00E866B2">
      <w:pPr>
        <w:pStyle w:val="ListParagraph"/>
        <w:numPr>
          <w:ilvl w:val="0"/>
          <w:numId w:val="8"/>
        </w:numPr>
      </w:pPr>
      <w:r>
        <w:t>Policy exclusions- typical policy exclusions apply, e.g. replacement/guarantee of a product, product recall, exports to the US/Canada (unless agreed in advance of cover)</w:t>
      </w:r>
    </w:p>
    <w:p w:rsidR="00C91780" w:rsidRDefault="00C91780" w:rsidP="00C91780">
      <w:pPr>
        <w:ind w:left="360"/>
        <w:rPr>
          <w:color w:val="FF0000"/>
        </w:rPr>
      </w:pPr>
      <w:r>
        <w:rPr>
          <w:color w:val="FF0000"/>
        </w:rPr>
        <w:t>D1- Nature of exposure</w:t>
      </w:r>
    </w:p>
    <w:p w:rsidR="00C91780" w:rsidRDefault="00160BBC" w:rsidP="00C91780">
      <w:pPr>
        <w:ind w:left="360"/>
      </w:pPr>
      <w:r w:rsidRPr="00160BBC">
        <w:t xml:space="preserve">The main exposure the PH faces is due to their obligation under the </w:t>
      </w:r>
      <w:r>
        <w:t>Liability for Defective Products Act 1991 &amp; the Sale of Goods and Supply of Services Act 1980. When setting premiums, insurers apply different rates to the turnover generated by different categories of products- low hazard like paper/cardboard are rated lower to pharmaceutical products. Rates will also depend if they export to North America, given the high value of claims awarded.</w:t>
      </w:r>
    </w:p>
    <w:p w:rsidR="00160BBC" w:rsidRDefault="00160BBC" w:rsidP="00C91780">
      <w:pPr>
        <w:ind w:left="360"/>
        <w:rPr>
          <w:color w:val="FF0000"/>
        </w:rPr>
      </w:pPr>
      <w:r>
        <w:rPr>
          <w:color w:val="FF0000"/>
        </w:rPr>
        <w:t xml:space="preserve">D2- Policy </w:t>
      </w:r>
      <w:proofErr w:type="gramStart"/>
      <w:r>
        <w:rPr>
          <w:color w:val="FF0000"/>
        </w:rPr>
        <w:t>cover</w:t>
      </w:r>
      <w:proofErr w:type="gramEnd"/>
      <w:r>
        <w:rPr>
          <w:color w:val="FF0000"/>
        </w:rPr>
        <w:t xml:space="preserve"> considerations</w:t>
      </w:r>
    </w:p>
    <w:p w:rsidR="00160BBC" w:rsidRDefault="00AC6616" w:rsidP="00C91780">
      <w:pPr>
        <w:ind w:left="360"/>
      </w:pPr>
      <w:r w:rsidRPr="00AC6616">
        <w:t>Same limits</w:t>
      </w:r>
      <w:r>
        <w:t xml:space="preserve"> are available </w:t>
      </w:r>
      <w:r w:rsidR="00545B16">
        <w:t>for products liability policies €1.3m – €6.5m and a PH will generally opt for the same limit under each section. However, the adviser should inform the PH that this limit will also act as an aggregate figure for any 1 period of I. This is because insurers are concerned that similar defect problems will result in 100’s of claims i.e. faulty batch of products or food poisoning.</w:t>
      </w:r>
    </w:p>
    <w:p w:rsidR="00545B16" w:rsidRDefault="00545B16" w:rsidP="00C91780">
      <w:pPr>
        <w:ind w:left="360"/>
        <w:rPr>
          <w:color w:val="FF0000"/>
        </w:rPr>
      </w:pPr>
      <w:r>
        <w:rPr>
          <w:color w:val="FF0000"/>
        </w:rPr>
        <w:t>D2a Extensions available</w:t>
      </w:r>
    </w:p>
    <w:p w:rsidR="00545B16" w:rsidRDefault="00D771E9" w:rsidP="00C91780">
      <w:pPr>
        <w:ind w:left="360"/>
      </w:pPr>
      <w:r>
        <w:t xml:space="preserve">Some insurers will offer extensions for products liability </w:t>
      </w:r>
      <w:proofErr w:type="gramStart"/>
      <w:r>
        <w:t>cover,</w:t>
      </w:r>
      <w:proofErr w:type="gramEnd"/>
      <w:r>
        <w:t xml:space="preserve"> however some specific extensions of cover are only offered by specialists markets. These extensions include:</w:t>
      </w:r>
    </w:p>
    <w:p w:rsidR="00D771E9" w:rsidRDefault="00D771E9" w:rsidP="00D771E9">
      <w:pPr>
        <w:pStyle w:val="ListParagraph"/>
        <w:numPr>
          <w:ilvl w:val="0"/>
          <w:numId w:val="9"/>
        </w:numPr>
      </w:pPr>
      <w:r>
        <w:t>Contractual liability- normally only considered if contracts are seen and approved by the insurer</w:t>
      </w:r>
    </w:p>
    <w:p w:rsidR="00D771E9" w:rsidRDefault="00D771E9" w:rsidP="00D771E9">
      <w:pPr>
        <w:pStyle w:val="ListParagraph"/>
        <w:numPr>
          <w:ilvl w:val="0"/>
          <w:numId w:val="9"/>
        </w:numPr>
      </w:pPr>
      <w:r>
        <w:t>Product recall (specialist market)</w:t>
      </w:r>
    </w:p>
    <w:p w:rsidR="00D771E9" w:rsidRDefault="00D771E9" w:rsidP="00D771E9">
      <w:pPr>
        <w:pStyle w:val="ListParagraph"/>
        <w:numPr>
          <w:ilvl w:val="0"/>
          <w:numId w:val="9"/>
        </w:numPr>
      </w:pPr>
      <w:r>
        <w:t>Cross liabilities</w:t>
      </w:r>
    </w:p>
    <w:p w:rsidR="00D771E9" w:rsidRDefault="00D771E9" w:rsidP="00D771E9">
      <w:pPr>
        <w:pStyle w:val="ListParagraph"/>
        <w:numPr>
          <w:ilvl w:val="0"/>
          <w:numId w:val="9"/>
        </w:numPr>
      </w:pPr>
      <w:r>
        <w:t>Efficacy risk(limited specialist market) (the risk of failure of a product to fulfil its intended purpose or function</w:t>
      </w:r>
    </w:p>
    <w:p w:rsidR="00D771E9" w:rsidRDefault="00D771E9" w:rsidP="00D771E9">
      <w:pPr>
        <w:ind w:left="360"/>
      </w:pPr>
      <w:r>
        <w:rPr>
          <w:noProof/>
          <w:lang w:eastAsia="en-IE"/>
        </w:rPr>
        <w:lastRenderedPageBreak/>
        <w:drawing>
          <wp:inline distT="0" distB="0" distL="0" distR="0">
            <wp:extent cx="4552950" cy="4171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552950" cy="4171950"/>
                    </a:xfrm>
                    <a:prstGeom prst="rect">
                      <a:avLst/>
                    </a:prstGeom>
                    <a:noFill/>
                    <a:ln w="9525">
                      <a:noFill/>
                      <a:miter lim="800000"/>
                      <a:headEnd/>
                      <a:tailEnd/>
                    </a:ln>
                  </pic:spPr>
                </pic:pic>
              </a:graphicData>
            </a:graphic>
          </wp:inline>
        </w:drawing>
      </w:r>
    </w:p>
    <w:p w:rsidR="00D771E9" w:rsidRDefault="00D771E9" w:rsidP="00D771E9">
      <w:pPr>
        <w:ind w:left="360"/>
      </w:pPr>
    </w:p>
    <w:p w:rsidR="00D771E9" w:rsidRDefault="00D771E9" w:rsidP="00D771E9">
      <w:pPr>
        <w:pStyle w:val="ListParagraph"/>
        <w:numPr>
          <w:ilvl w:val="0"/>
          <w:numId w:val="1"/>
        </w:numPr>
        <w:rPr>
          <w:b/>
          <w:color w:val="FF0000"/>
        </w:rPr>
      </w:pPr>
      <w:r>
        <w:rPr>
          <w:b/>
          <w:color w:val="FF0000"/>
        </w:rPr>
        <w:t>Directors and officers liability insurance</w:t>
      </w:r>
    </w:p>
    <w:p w:rsidR="00D771E9" w:rsidRDefault="00D771E9" w:rsidP="00D771E9">
      <w:pPr>
        <w:ind w:left="360"/>
      </w:pPr>
      <w:r>
        <w:t>This is I cover to protect individuals when they are held personally liable for their actions as a director or officer of a company under particular legislation. Potential claims against company directors include legal actions brought by:</w:t>
      </w:r>
    </w:p>
    <w:p w:rsidR="00D771E9" w:rsidRDefault="00D771E9" w:rsidP="00D771E9">
      <w:pPr>
        <w:pStyle w:val="ListParagraph"/>
        <w:numPr>
          <w:ilvl w:val="0"/>
          <w:numId w:val="10"/>
        </w:numPr>
      </w:pPr>
      <w:r>
        <w:t>Shareholders- for error resulting in the under-performance of the firm financially</w:t>
      </w:r>
    </w:p>
    <w:p w:rsidR="00AD7A0B" w:rsidRDefault="00AD7A0B" w:rsidP="00D771E9">
      <w:pPr>
        <w:pStyle w:val="ListParagraph"/>
        <w:numPr>
          <w:ilvl w:val="0"/>
          <w:numId w:val="10"/>
        </w:numPr>
      </w:pPr>
      <w:r>
        <w:t xml:space="preserve">Creditors- for breach of duty resulting in the firm being placed in receivership </w:t>
      </w:r>
    </w:p>
    <w:p w:rsidR="00AD7A0B" w:rsidRDefault="00AD7A0B" w:rsidP="00D771E9">
      <w:pPr>
        <w:pStyle w:val="ListParagraph"/>
        <w:numPr>
          <w:ilvl w:val="0"/>
          <w:numId w:val="10"/>
        </w:numPr>
      </w:pPr>
      <w:r>
        <w:t>Competitors- for a misleading statement or libellous comment</w:t>
      </w:r>
    </w:p>
    <w:p w:rsidR="00AD7A0B" w:rsidRDefault="00AD7A0B" w:rsidP="00D771E9">
      <w:pPr>
        <w:pStyle w:val="ListParagraph"/>
        <w:numPr>
          <w:ilvl w:val="0"/>
          <w:numId w:val="10"/>
        </w:numPr>
      </w:pPr>
      <w:r>
        <w:t>Employees- for breach of employment legislation</w:t>
      </w:r>
    </w:p>
    <w:p w:rsidR="00AD7A0B" w:rsidRDefault="00AD7A0B" w:rsidP="00D771E9">
      <w:pPr>
        <w:pStyle w:val="ListParagraph"/>
        <w:numPr>
          <w:ilvl w:val="0"/>
          <w:numId w:val="10"/>
        </w:numPr>
      </w:pPr>
      <w:r>
        <w:t>Government bodies- for breach of company legislation</w:t>
      </w:r>
    </w:p>
    <w:p w:rsidR="00AD7A0B" w:rsidRDefault="00AD7A0B" w:rsidP="00D771E9">
      <w:pPr>
        <w:pStyle w:val="ListParagraph"/>
        <w:numPr>
          <w:ilvl w:val="0"/>
          <w:numId w:val="10"/>
        </w:numPr>
      </w:pPr>
      <w:r>
        <w:t>Trustees- for breach of duty in handling pension funds</w:t>
      </w:r>
    </w:p>
    <w:p w:rsidR="00AD7A0B" w:rsidRDefault="00AD7A0B" w:rsidP="00AD7A0B">
      <w:pPr>
        <w:ind w:left="360"/>
      </w:pPr>
      <w:r>
        <w:t xml:space="preserve">Cover excludes fraud or dishonesty on the part of directors, fines, penalties and punitive damages (damages awarded by a court designed to punish the defendant rather than compensate for the loss suffered by the plaintiff). </w:t>
      </w:r>
    </w:p>
    <w:p w:rsidR="00AD7A0B" w:rsidRDefault="00AD7A0B" w:rsidP="00AD7A0B">
      <w:pPr>
        <w:ind w:left="360"/>
      </w:pPr>
      <w:r>
        <w:t>D&amp;O is written on a ‘claims-made’ basis. The policy has 2 parts which indemnify:</w:t>
      </w:r>
    </w:p>
    <w:p w:rsidR="00AD7A0B" w:rsidRDefault="00AD7A0B" w:rsidP="00AD7A0B">
      <w:pPr>
        <w:pStyle w:val="ListParagraph"/>
        <w:numPr>
          <w:ilvl w:val="0"/>
          <w:numId w:val="11"/>
        </w:numPr>
      </w:pPr>
      <w:r>
        <w:t>The directors as individuals in a personal capacity</w:t>
      </w:r>
    </w:p>
    <w:p w:rsidR="00AD7A0B" w:rsidRDefault="00AD7A0B" w:rsidP="00AD7A0B">
      <w:pPr>
        <w:pStyle w:val="ListParagraph"/>
        <w:numPr>
          <w:ilvl w:val="0"/>
          <w:numId w:val="11"/>
        </w:numPr>
      </w:pPr>
      <w:r>
        <w:t>The company</w:t>
      </w:r>
    </w:p>
    <w:p w:rsidR="00AD7A0B" w:rsidRDefault="00AD7A0B" w:rsidP="00AD7A0B">
      <w:pPr>
        <w:ind w:left="360"/>
      </w:pPr>
      <w:r>
        <w:t>A ‘nil’ excess normally applies to claims taken against directors personally. Insurers generally rate a D&amp;O liability risk on reviewing:</w:t>
      </w:r>
    </w:p>
    <w:p w:rsidR="00AD7A0B" w:rsidRDefault="00AD7A0B" w:rsidP="00AD7A0B">
      <w:pPr>
        <w:pStyle w:val="ListParagraph"/>
        <w:numPr>
          <w:ilvl w:val="0"/>
          <w:numId w:val="12"/>
        </w:numPr>
      </w:pPr>
      <w:r>
        <w:t>The limit requested</w:t>
      </w:r>
    </w:p>
    <w:p w:rsidR="00AD7A0B" w:rsidRDefault="00AD7A0B" w:rsidP="00AD7A0B">
      <w:pPr>
        <w:pStyle w:val="ListParagraph"/>
        <w:numPr>
          <w:ilvl w:val="0"/>
          <w:numId w:val="12"/>
        </w:numPr>
      </w:pPr>
      <w:r>
        <w:t>An audited set of financial accounts for a company</w:t>
      </w:r>
    </w:p>
    <w:p w:rsidR="00AD7A0B" w:rsidRDefault="00AD7A0B" w:rsidP="00AD7A0B">
      <w:pPr>
        <w:pStyle w:val="ListParagraph"/>
        <w:numPr>
          <w:ilvl w:val="0"/>
          <w:numId w:val="12"/>
        </w:numPr>
      </w:pPr>
      <w:r>
        <w:t>The completed proposal form</w:t>
      </w:r>
    </w:p>
    <w:p w:rsidR="00AD7A0B" w:rsidRDefault="00AD7A0B" w:rsidP="00AD7A0B">
      <w:pPr>
        <w:ind w:left="360"/>
        <w:rPr>
          <w:color w:val="FF0000"/>
        </w:rPr>
      </w:pPr>
      <w:r>
        <w:rPr>
          <w:color w:val="FF0000"/>
        </w:rPr>
        <w:lastRenderedPageBreak/>
        <w:t>E1- Questions to ask the client</w:t>
      </w:r>
    </w:p>
    <w:p w:rsidR="00AD7A0B" w:rsidRDefault="00AD7A0B" w:rsidP="00AD7A0B">
      <w:pPr>
        <w:pStyle w:val="ListParagraph"/>
        <w:numPr>
          <w:ilvl w:val="0"/>
          <w:numId w:val="13"/>
        </w:numPr>
      </w:pPr>
      <w:r>
        <w:t>The company, its history and business description- any recent merger of acquisition activity (or future plan) is also important</w:t>
      </w:r>
    </w:p>
    <w:p w:rsidR="00AD7A0B" w:rsidRDefault="00AD7A0B" w:rsidP="00AD7A0B">
      <w:pPr>
        <w:pStyle w:val="ListParagraph"/>
        <w:numPr>
          <w:ilvl w:val="0"/>
          <w:numId w:val="13"/>
        </w:numPr>
      </w:pPr>
      <w:r>
        <w:t>Finance and ownership- this includes details of who owns the company and how it is financed, as well as details of its financial strength</w:t>
      </w:r>
    </w:p>
    <w:p w:rsidR="00AD7A0B" w:rsidRDefault="00AD7A0B" w:rsidP="00AD7A0B">
      <w:pPr>
        <w:pStyle w:val="ListParagraph"/>
        <w:numPr>
          <w:ilvl w:val="0"/>
          <w:numId w:val="13"/>
        </w:numPr>
      </w:pPr>
      <w:r>
        <w:t>Territory- if the co trades in the US, or has US subsi</w:t>
      </w:r>
      <w:r w:rsidR="00371268">
        <w:t>diaries or a US parent co, then it may be exposed to the US legal environment</w:t>
      </w:r>
    </w:p>
    <w:p w:rsidR="00371268" w:rsidRDefault="00371268" w:rsidP="00AD7A0B">
      <w:pPr>
        <w:pStyle w:val="ListParagraph"/>
        <w:numPr>
          <w:ilvl w:val="0"/>
          <w:numId w:val="13"/>
        </w:numPr>
      </w:pPr>
      <w:r>
        <w:t xml:space="preserve">The directors- info on the </w:t>
      </w:r>
      <w:proofErr w:type="spellStart"/>
      <w:r>
        <w:t>co</w:t>
      </w:r>
      <w:proofErr w:type="spellEnd"/>
      <w:r>
        <w:t xml:space="preserve"> board and its composition- the individuals themselves- is required as well as any systems in place for training and appraising directors</w:t>
      </w:r>
    </w:p>
    <w:p w:rsidR="00371268" w:rsidRDefault="00371268" w:rsidP="00371268">
      <w:pPr>
        <w:ind w:left="360"/>
      </w:pPr>
    </w:p>
    <w:p w:rsidR="00371268" w:rsidRDefault="00371268" w:rsidP="00371268">
      <w:pPr>
        <w:pStyle w:val="ListParagraph"/>
        <w:numPr>
          <w:ilvl w:val="0"/>
          <w:numId w:val="1"/>
        </w:numPr>
        <w:rPr>
          <w:b/>
          <w:color w:val="FF0000"/>
        </w:rPr>
      </w:pPr>
      <w:r>
        <w:rPr>
          <w:b/>
          <w:color w:val="FF0000"/>
        </w:rPr>
        <w:t>Professional indemnity insurance</w:t>
      </w:r>
    </w:p>
    <w:p w:rsidR="00371268" w:rsidRDefault="00371268" w:rsidP="00371268">
      <w:pPr>
        <w:ind w:left="360"/>
      </w:pPr>
      <w:r>
        <w:rPr>
          <w:noProof/>
          <w:lang w:eastAsia="en-IE"/>
        </w:rPr>
        <w:drawing>
          <wp:inline distT="0" distB="0" distL="0" distR="0">
            <wp:extent cx="3743325" cy="109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743325" cy="1095375"/>
                    </a:xfrm>
                    <a:prstGeom prst="rect">
                      <a:avLst/>
                    </a:prstGeom>
                    <a:noFill/>
                    <a:ln w="9525">
                      <a:noFill/>
                      <a:miter lim="800000"/>
                      <a:headEnd/>
                      <a:tailEnd/>
                    </a:ln>
                  </pic:spPr>
                </pic:pic>
              </a:graphicData>
            </a:graphic>
          </wp:inline>
        </w:drawing>
      </w:r>
    </w:p>
    <w:p w:rsidR="00371268" w:rsidRDefault="00371268" w:rsidP="00371268">
      <w:pPr>
        <w:ind w:left="360"/>
      </w:pPr>
      <w:r>
        <w:rPr>
          <w:noProof/>
          <w:lang w:eastAsia="en-IE"/>
        </w:rPr>
        <w:drawing>
          <wp:inline distT="0" distB="0" distL="0" distR="0">
            <wp:extent cx="4029075" cy="2943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029075" cy="2943225"/>
                    </a:xfrm>
                    <a:prstGeom prst="rect">
                      <a:avLst/>
                    </a:prstGeom>
                    <a:noFill/>
                    <a:ln w="9525">
                      <a:noFill/>
                      <a:miter lim="800000"/>
                      <a:headEnd/>
                      <a:tailEnd/>
                    </a:ln>
                  </pic:spPr>
                </pic:pic>
              </a:graphicData>
            </a:graphic>
          </wp:inline>
        </w:drawing>
      </w:r>
    </w:p>
    <w:p w:rsidR="00371268" w:rsidRDefault="00371268" w:rsidP="00371268">
      <w:pPr>
        <w:ind w:left="360"/>
      </w:pPr>
      <w:r>
        <w:rPr>
          <w:noProof/>
          <w:lang w:eastAsia="en-IE"/>
        </w:rPr>
        <w:drawing>
          <wp:inline distT="0" distB="0" distL="0" distR="0">
            <wp:extent cx="4257675" cy="7810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257675" cy="781050"/>
                    </a:xfrm>
                    <a:prstGeom prst="rect">
                      <a:avLst/>
                    </a:prstGeom>
                    <a:noFill/>
                    <a:ln w="9525">
                      <a:noFill/>
                      <a:miter lim="800000"/>
                      <a:headEnd/>
                      <a:tailEnd/>
                    </a:ln>
                  </pic:spPr>
                </pic:pic>
              </a:graphicData>
            </a:graphic>
          </wp:inline>
        </w:drawing>
      </w:r>
    </w:p>
    <w:p w:rsidR="00371268" w:rsidRDefault="00371268" w:rsidP="00371268">
      <w:pPr>
        <w:ind w:left="360"/>
      </w:pPr>
      <w:r>
        <w:rPr>
          <w:noProof/>
          <w:lang w:eastAsia="en-IE"/>
        </w:rPr>
        <w:lastRenderedPageBreak/>
        <w:drawing>
          <wp:inline distT="0" distB="0" distL="0" distR="0">
            <wp:extent cx="4686300" cy="20764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4686300" cy="2076450"/>
                    </a:xfrm>
                    <a:prstGeom prst="rect">
                      <a:avLst/>
                    </a:prstGeom>
                    <a:noFill/>
                    <a:ln w="9525">
                      <a:noFill/>
                      <a:miter lim="800000"/>
                      <a:headEnd/>
                      <a:tailEnd/>
                    </a:ln>
                  </pic:spPr>
                </pic:pic>
              </a:graphicData>
            </a:graphic>
          </wp:inline>
        </w:drawing>
      </w:r>
    </w:p>
    <w:p w:rsidR="00371268" w:rsidRDefault="00371268" w:rsidP="00371268">
      <w:pPr>
        <w:ind w:left="360"/>
        <w:rPr>
          <w:color w:val="FF0000"/>
        </w:rPr>
      </w:pPr>
      <w:r>
        <w:rPr>
          <w:color w:val="FF0000"/>
        </w:rPr>
        <w:t>F2- Questions to ask client</w:t>
      </w:r>
    </w:p>
    <w:p w:rsidR="00371268" w:rsidRPr="00371268" w:rsidRDefault="00371268" w:rsidP="00371268">
      <w:pPr>
        <w:ind w:left="360"/>
        <w:rPr>
          <w:color w:val="FF0000"/>
        </w:rPr>
      </w:pPr>
      <w:r>
        <w:rPr>
          <w:noProof/>
          <w:color w:val="FF0000"/>
          <w:lang w:eastAsia="en-IE"/>
        </w:rPr>
        <w:drawing>
          <wp:inline distT="0" distB="0" distL="0" distR="0">
            <wp:extent cx="4276725" cy="51435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4276725" cy="5143500"/>
                    </a:xfrm>
                    <a:prstGeom prst="rect">
                      <a:avLst/>
                    </a:prstGeom>
                    <a:noFill/>
                    <a:ln w="9525">
                      <a:noFill/>
                      <a:miter lim="800000"/>
                      <a:headEnd/>
                      <a:tailEnd/>
                    </a:ln>
                  </pic:spPr>
                </pic:pic>
              </a:graphicData>
            </a:graphic>
          </wp:inline>
        </w:drawing>
      </w:r>
    </w:p>
    <w:p w:rsidR="00545B16" w:rsidRPr="00AC6616" w:rsidRDefault="00545B16" w:rsidP="00C91780">
      <w:pPr>
        <w:ind w:left="360"/>
      </w:pPr>
    </w:p>
    <w:p w:rsidR="00160BBC" w:rsidRPr="00160BBC" w:rsidRDefault="00160BBC" w:rsidP="00C91780">
      <w:pPr>
        <w:ind w:left="360"/>
      </w:pPr>
    </w:p>
    <w:p w:rsidR="007222CB" w:rsidRDefault="007222CB" w:rsidP="007222CB">
      <w:pPr>
        <w:pStyle w:val="ListParagraph"/>
        <w:ind w:left="1080"/>
      </w:pPr>
    </w:p>
    <w:p w:rsidR="00542B2A" w:rsidRPr="00D76D2A" w:rsidRDefault="00542B2A" w:rsidP="002A1944">
      <w:pPr>
        <w:ind w:left="360"/>
      </w:pPr>
    </w:p>
    <w:p w:rsidR="005E0FAC" w:rsidRDefault="005E0FAC" w:rsidP="00A64E4B">
      <w:pPr>
        <w:ind w:left="360"/>
        <w:rPr>
          <w:color w:val="FF0000"/>
        </w:rPr>
      </w:pPr>
    </w:p>
    <w:p w:rsidR="005E0FAC" w:rsidRPr="00292ADA" w:rsidRDefault="005E0FAC" w:rsidP="00A64E4B">
      <w:pPr>
        <w:ind w:left="360"/>
        <w:rPr>
          <w:color w:val="FF0000"/>
        </w:rPr>
      </w:pPr>
    </w:p>
    <w:p w:rsidR="00220893" w:rsidRDefault="00220893"/>
    <w:sectPr w:rsidR="00220893"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28A"/>
    <w:multiLevelType w:val="hybridMultilevel"/>
    <w:tmpl w:val="C9AA3D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3C26185"/>
    <w:multiLevelType w:val="hybridMultilevel"/>
    <w:tmpl w:val="D99246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8CE0861"/>
    <w:multiLevelType w:val="hybridMultilevel"/>
    <w:tmpl w:val="61F46D8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D3C5B13"/>
    <w:multiLevelType w:val="hybridMultilevel"/>
    <w:tmpl w:val="BAB4359C"/>
    <w:lvl w:ilvl="0" w:tplc="B9CC3CBE">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2166FAC"/>
    <w:multiLevelType w:val="hybridMultilevel"/>
    <w:tmpl w:val="F0D819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2FE31E3"/>
    <w:multiLevelType w:val="hybridMultilevel"/>
    <w:tmpl w:val="2F1A603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232A2C3A"/>
    <w:multiLevelType w:val="hybridMultilevel"/>
    <w:tmpl w:val="B3EAB6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279377F9"/>
    <w:multiLevelType w:val="hybridMultilevel"/>
    <w:tmpl w:val="DE4CBD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497C69F3"/>
    <w:multiLevelType w:val="hybridMultilevel"/>
    <w:tmpl w:val="9C32AFC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D4D441A"/>
    <w:multiLevelType w:val="hybridMultilevel"/>
    <w:tmpl w:val="CC1E3A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4FA409BA"/>
    <w:multiLevelType w:val="hybridMultilevel"/>
    <w:tmpl w:val="C5DC36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645726C9"/>
    <w:multiLevelType w:val="hybridMultilevel"/>
    <w:tmpl w:val="4DBCB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7F6460FB"/>
    <w:multiLevelType w:val="hybridMultilevel"/>
    <w:tmpl w:val="846807E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5"/>
  </w:num>
  <w:num w:numId="6">
    <w:abstractNumId w:val="2"/>
  </w:num>
  <w:num w:numId="7">
    <w:abstractNumId w:val="7"/>
  </w:num>
  <w:num w:numId="8">
    <w:abstractNumId w:val="1"/>
  </w:num>
  <w:num w:numId="9">
    <w:abstractNumId w:val="9"/>
  </w:num>
  <w:num w:numId="10">
    <w:abstractNumId w:val="12"/>
  </w:num>
  <w:num w:numId="11">
    <w:abstractNumId w:val="4"/>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180"/>
    <w:rsid w:val="00042392"/>
    <w:rsid w:val="000E7366"/>
    <w:rsid w:val="00160BBC"/>
    <w:rsid w:val="0017703F"/>
    <w:rsid w:val="00181923"/>
    <w:rsid w:val="00216ABD"/>
    <w:rsid w:val="00220893"/>
    <w:rsid w:val="00292ADA"/>
    <w:rsid w:val="002A1944"/>
    <w:rsid w:val="002B637F"/>
    <w:rsid w:val="00371268"/>
    <w:rsid w:val="003845FC"/>
    <w:rsid w:val="00392581"/>
    <w:rsid w:val="003B43BB"/>
    <w:rsid w:val="003F3396"/>
    <w:rsid w:val="004B6394"/>
    <w:rsid w:val="00542B2A"/>
    <w:rsid w:val="00545B16"/>
    <w:rsid w:val="005E0FAC"/>
    <w:rsid w:val="006A44EC"/>
    <w:rsid w:val="007222CB"/>
    <w:rsid w:val="00764365"/>
    <w:rsid w:val="007746DF"/>
    <w:rsid w:val="00785FEC"/>
    <w:rsid w:val="007B49B5"/>
    <w:rsid w:val="007B628C"/>
    <w:rsid w:val="0082059A"/>
    <w:rsid w:val="0093140A"/>
    <w:rsid w:val="00A37554"/>
    <w:rsid w:val="00A64E4B"/>
    <w:rsid w:val="00A73A69"/>
    <w:rsid w:val="00AC6616"/>
    <w:rsid w:val="00AD7958"/>
    <w:rsid w:val="00AD7A0B"/>
    <w:rsid w:val="00C91780"/>
    <w:rsid w:val="00C97A87"/>
    <w:rsid w:val="00D76D2A"/>
    <w:rsid w:val="00D771E9"/>
    <w:rsid w:val="00D86180"/>
    <w:rsid w:val="00DB354B"/>
    <w:rsid w:val="00DE3BB7"/>
    <w:rsid w:val="00E84A02"/>
    <w:rsid w:val="00E866B2"/>
    <w:rsid w:val="00EE4412"/>
    <w:rsid w:val="00F52D3C"/>
    <w:rsid w:val="00FD1EE1"/>
    <w:rsid w:val="00FF0FD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180"/>
    <w:pPr>
      <w:ind w:left="720"/>
      <w:contextualSpacing/>
    </w:pPr>
  </w:style>
  <w:style w:type="paragraph" w:styleId="BalloonText">
    <w:name w:val="Balloon Text"/>
    <w:basedOn w:val="Normal"/>
    <w:link w:val="BalloonTextChar"/>
    <w:uiPriority w:val="99"/>
    <w:semiHidden/>
    <w:unhideWhenUsed/>
    <w:rsid w:val="00292A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11</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18</cp:revision>
  <dcterms:created xsi:type="dcterms:W3CDTF">2019-08-26T08:04:00Z</dcterms:created>
  <dcterms:modified xsi:type="dcterms:W3CDTF">2019-08-26T15:01:00Z</dcterms:modified>
</cp:coreProperties>
</file>