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9856F6">
      <w:pPr>
        <w:pStyle w:val="ListParagraph"/>
        <w:numPr>
          <w:ilvl w:val="0"/>
          <w:numId w:val="3"/>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9856F6">
      <w:pPr>
        <w:pStyle w:val="ListParagraph"/>
        <w:numPr>
          <w:ilvl w:val="0"/>
          <w:numId w:val="3"/>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9856F6">
      <w:pPr>
        <w:pStyle w:val="ListParagraph"/>
        <w:numPr>
          <w:ilvl w:val="0"/>
          <w:numId w:val="4"/>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9856F6">
      <w:pPr>
        <w:pStyle w:val="ListParagraph"/>
        <w:numPr>
          <w:ilvl w:val="0"/>
          <w:numId w:val="12"/>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9856F6">
      <w:pPr>
        <w:pStyle w:val="ListParagraph"/>
        <w:numPr>
          <w:ilvl w:val="0"/>
          <w:numId w:val="12"/>
        </w:numPr>
        <w:spacing w:line="276" w:lineRule="auto"/>
        <w:rPr>
          <w:color w:val="FF0000"/>
        </w:rPr>
      </w:pPr>
      <w:r>
        <w:rPr>
          <w:color w:val="FF000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9856F6">
      <w:pPr>
        <w:pStyle w:val="ListParagraph"/>
        <w:numPr>
          <w:ilvl w:val="0"/>
          <w:numId w:val="12"/>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Default="00D869AF" w:rsidP="009856F6">
      <w:pPr>
        <w:pStyle w:val="ListParagraph"/>
        <w:numPr>
          <w:ilvl w:val="0"/>
          <w:numId w:val="12"/>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 xml:space="preserve">Attitude to risk- some consumers may want to retain a degree of risk, while others prefer the security on </w:t>
      </w:r>
      <w:proofErr w:type="gramStart"/>
      <w:r>
        <w:t>an I</w:t>
      </w:r>
      <w:proofErr w:type="gramEnd"/>
      <w:r>
        <w:t xml:space="preserve">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791616" w:rsidRDefault="00370042" w:rsidP="00791616">
      <w:pPr>
        <w:ind w:left="360"/>
      </w:pPr>
      <w:r>
        <w:t xml:space="preserve">Where a firm makes a material change to its terms of business, it must provide each affected consumer with a revised Terms of Business Agreement </w:t>
      </w:r>
      <w:proofErr w:type="spellStart"/>
      <w:proofErr w:type="gramStart"/>
      <w:r>
        <w:t>asap</w:t>
      </w:r>
      <w:proofErr w:type="spellEnd"/>
      <w:proofErr w:type="gramEnd"/>
      <w:r>
        <w:t xml:space="preserve">. </w:t>
      </w:r>
    </w:p>
    <w:p w:rsidR="00370042" w:rsidRDefault="00370042" w:rsidP="00791616">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791616">
      <w:pPr>
        <w:ind w:left="360"/>
      </w:pPr>
      <w:proofErr w:type="gramStart"/>
      <w:r>
        <w:t>An I</w:t>
      </w:r>
      <w:proofErr w:type="gramEnd"/>
      <w:r>
        <w:t xml:space="preserve">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D81695" w:rsidRDefault="00D81695" w:rsidP="00791616">
      <w:pPr>
        <w:ind w:left="360"/>
      </w:pPr>
    </w:p>
    <w:p w:rsidR="00D81695" w:rsidRDefault="00D81695" w:rsidP="00791616">
      <w:pPr>
        <w:ind w:left="360"/>
        <w:rPr>
          <w:color w:val="FF0000"/>
        </w:rPr>
      </w:pPr>
      <w:r>
        <w:rPr>
          <w:color w:val="FF0000"/>
        </w:rPr>
        <w:t>F3 Information about charges</w:t>
      </w:r>
    </w:p>
    <w:p w:rsidR="00D81695" w:rsidRDefault="00D81695" w:rsidP="00791616">
      <w:pPr>
        <w:ind w:left="360"/>
      </w:pPr>
      <w:r>
        <w:t xml:space="preserve">Although the rules are general in nature, they apply mainly to banking </w:t>
      </w:r>
      <w:proofErr w:type="gramStart"/>
      <w:r>
        <w:t>p/</w:t>
      </w:r>
      <w:proofErr w:type="spellStart"/>
      <w:r>
        <w:t>s’s</w:t>
      </w:r>
      <w:proofErr w:type="spellEnd"/>
      <w:proofErr w:type="gramEnd"/>
      <w:r>
        <w:t xml:space="preserve">.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 xml:space="preserve">The quotation must also state any warranties or endorsements that apply to the policy. Any discounts or loadings that have been applied in generating the quotation must also be set out. There are also some special requirements for specific classes of </w:t>
      </w:r>
      <w:proofErr w:type="gramStart"/>
      <w:r>
        <w:t>I</w:t>
      </w:r>
      <w:proofErr w:type="gramEnd"/>
      <w:r>
        <w:t>:</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t>B4 Alternatives to proposal forms</w:t>
      </w:r>
    </w:p>
    <w:p w:rsidR="001A62A3" w:rsidRPr="001A62A3" w:rsidRDefault="001A62A3" w:rsidP="00C9259E">
      <w:pPr>
        <w:ind w:left="360"/>
        <w:rPr>
          <w:color w:val="FF0000"/>
        </w:rPr>
      </w:pPr>
      <w:r w:rsidRPr="001A62A3">
        <w:rPr>
          <w:color w:val="FF0000"/>
        </w:rPr>
        <w:lastRenderedPageBreak/>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w:t>
      </w:r>
      <w:proofErr w:type="gramStart"/>
      <w:r w:rsidR="005F7C99">
        <w:t>material facts is</w:t>
      </w:r>
      <w:proofErr w:type="gramEnd"/>
      <w:r w:rsidR="005F7C99">
        <w:t xml:space="preserve"> highlighted in bold print and the proposer is reminded that the statement of fact is incorporated into, and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 xml:space="preserve">Intermediary submission or presentation- for some commercial </w:t>
      </w:r>
      <w:proofErr w:type="gramStart"/>
      <w:r>
        <w:t>insurances</w:t>
      </w:r>
      <w:proofErr w:type="gramEnd"/>
      <w:r>
        <w:t>, the risk may be too complex that it cannot be described on a proposal form</w:t>
      </w:r>
      <w:r w:rsidR="009856F6">
        <w:t xml:space="preserve">. The intermediary may prepare </w:t>
      </w:r>
      <w:proofErr w:type="gramStart"/>
      <w:r w:rsidR="009856F6">
        <w:t>a</w:t>
      </w:r>
      <w:proofErr w:type="gramEnd"/>
      <w:r w:rsidR="009856F6">
        <w:t xml:space="preserve">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lastRenderedPageBreak/>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Pr="009856F6" w:rsidRDefault="009856F6" w:rsidP="009856F6">
      <w:pPr>
        <w:ind w:left="360"/>
      </w:pPr>
    </w:p>
    <w:p w:rsidR="001A62A3" w:rsidRPr="001A62A3" w:rsidRDefault="000A5214" w:rsidP="00C9259E">
      <w:pPr>
        <w:ind w:left="360"/>
      </w:pPr>
      <w:r>
        <w:t xml:space="preserve"> </w:t>
      </w:r>
    </w:p>
    <w:p w:rsidR="00F568A0" w:rsidRPr="00F568A0" w:rsidRDefault="00F568A0" w:rsidP="00F568A0"/>
    <w:p w:rsidR="0013674A" w:rsidRPr="0013674A" w:rsidRDefault="0013674A" w:rsidP="0013674A">
      <w:pPr>
        <w:ind w:left="360"/>
      </w:pPr>
      <w:bookmarkStart w:id="0" w:name="_GoBack"/>
      <w:bookmarkEnd w:id="0"/>
    </w:p>
    <w:p w:rsidR="0013674A" w:rsidRPr="0013674A" w:rsidRDefault="0013674A" w:rsidP="0013674A">
      <w:pPr>
        <w:ind w:left="360"/>
      </w:pP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4">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7">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9">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4">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3">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6">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8">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3">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4">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5"/>
  </w:num>
  <w:num w:numId="2">
    <w:abstractNumId w:val="15"/>
  </w:num>
  <w:num w:numId="3">
    <w:abstractNumId w:val="22"/>
  </w:num>
  <w:num w:numId="4">
    <w:abstractNumId w:val="39"/>
  </w:num>
  <w:num w:numId="5">
    <w:abstractNumId w:val="14"/>
  </w:num>
  <w:num w:numId="6">
    <w:abstractNumId w:val="30"/>
  </w:num>
  <w:num w:numId="7">
    <w:abstractNumId w:val="26"/>
  </w:num>
  <w:num w:numId="8">
    <w:abstractNumId w:val="40"/>
  </w:num>
  <w:num w:numId="9">
    <w:abstractNumId w:val="11"/>
  </w:num>
  <w:num w:numId="10">
    <w:abstractNumId w:val="34"/>
  </w:num>
  <w:num w:numId="11">
    <w:abstractNumId w:val="5"/>
  </w:num>
  <w:num w:numId="12">
    <w:abstractNumId w:val="1"/>
  </w:num>
  <w:num w:numId="13">
    <w:abstractNumId w:val="24"/>
  </w:num>
  <w:num w:numId="14">
    <w:abstractNumId w:val="43"/>
  </w:num>
  <w:num w:numId="15">
    <w:abstractNumId w:val="28"/>
  </w:num>
  <w:num w:numId="16">
    <w:abstractNumId w:val="36"/>
  </w:num>
  <w:num w:numId="17">
    <w:abstractNumId w:val="8"/>
  </w:num>
  <w:num w:numId="18">
    <w:abstractNumId w:val="10"/>
  </w:num>
  <w:num w:numId="19">
    <w:abstractNumId w:val="33"/>
  </w:num>
  <w:num w:numId="20">
    <w:abstractNumId w:val="45"/>
  </w:num>
  <w:num w:numId="21">
    <w:abstractNumId w:val="27"/>
  </w:num>
  <w:num w:numId="22">
    <w:abstractNumId w:val="20"/>
  </w:num>
  <w:num w:numId="23">
    <w:abstractNumId w:val="29"/>
  </w:num>
  <w:num w:numId="24">
    <w:abstractNumId w:val="32"/>
  </w:num>
  <w:num w:numId="25">
    <w:abstractNumId w:val="23"/>
  </w:num>
  <w:num w:numId="26">
    <w:abstractNumId w:val="37"/>
  </w:num>
  <w:num w:numId="27">
    <w:abstractNumId w:val="16"/>
  </w:num>
  <w:num w:numId="28">
    <w:abstractNumId w:val="13"/>
  </w:num>
  <w:num w:numId="29">
    <w:abstractNumId w:val="18"/>
  </w:num>
  <w:num w:numId="30">
    <w:abstractNumId w:val="38"/>
  </w:num>
  <w:num w:numId="31">
    <w:abstractNumId w:val="19"/>
  </w:num>
  <w:num w:numId="32">
    <w:abstractNumId w:val="31"/>
  </w:num>
  <w:num w:numId="33">
    <w:abstractNumId w:val="17"/>
  </w:num>
  <w:num w:numId="34">
    <w:abstractNumId w:val="3"/>
  </w:num>
  <w:num w:numId="35">
    <w:abstractNumId w:val="35"/>
  </w:num>
  <w:num w:numId="36">
    <w:abstractNumId w:val="7"/>
  </w:num>
  <w:num w:numId="37">
    <w:abstractNumId w:val="21"/>
  </w:num>
  <w:num w:numId="38">
    <w:abstractNumId w:val="44"/>
  </w:num>
  <w:num w:numId="39">
    <w:abstractNumId w:val="4"/>
  </w:num>
  <w:num w:numId="40">
    <w:abstractNumId w:val="42"/>
  </w:num>
  <w:num w:numId="41">
    <w:abstractNumId w:val="6"/>
  </w:num>
  <w:num w:numId="42">
    <w:abstractNumId w:val="2"/>
  </w:num>
  <w:num w:numId="43">
    <w:abstractNumId w:val="41"/>
  </w:num>
  <w:num w:numId="44">
    <w:abstractNumId w:val="0"/>
  </w:num>
  <w:num w:numId="45">
    <w:abstractNumId w:val="12"/>
  </w:num>
  <w:num w:numId="46">
    <w:abstractNumId w:val="9"/>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64FE0"/>
    <w:rsid w:val="0007097B"/>
    <w:rsid w:val="000A5214"/>
    <w:rsid w:val="000B3C06"/>
    <w:rsid w:val="000C4042"/>
    <w:rsid w:val="000D53FA"/>
    <w:rsid w:val="000E1442"/>
    <w:rsid w:val="00120507"/>
    <w:rsid w:val="0013674A"/>
    <w:rsid w:val="001A62A3"/>
    <w:rsid w:val="001B53B3"/>
    <w:rsid w:val="001D6F53"/>
    <w:rsid w:val="001F1CA9"/>
    <w:rsid w:val="001F4339"/>
    <w:rsid w:val="00220893"/>
    <w:rsid w:val="002413AB"/>
    <w:rsid w:val="00256DD4"/>
    <w:rsid w:val="0027522E"/>
    <w:rsid w:val="00295464"/>
    <w:rsid w:val="002B425C"/>
    <w:rsid w:val="002B7B68"/>
    <w:rsid w:val="002E33F1"/>
    <w:rsid w:val="003168D7"/>
    <w:rsid w:val="00347172"/>
    <w:rsid w:val="00351D4B"/>
    <w:rsid w:val="00362491"/>
    <w:rsid w:val="00366A01"/>
    <w:rsid w:val="00370042"/>
    <w:rsid w:val="00396653"/>
    <w:rsid w:val="003D607B"/>
    <w:rsid w:val="003F441E"/>
    <w:rsid w:val="00425756"/>
    <w:rsid w:val="00437E44"/>
    <w:rsid w:val="00445277"/>
    <w:rsid w:val="00477FA4"/>
    <w:rsid w:val="00486CE8"/>
    <w:rsid w:val="004E071E"/>
    <w:rsid w:val="004E22BD"/>
    <w:rsid w:val="004E25D7"/>
    <w:rsid w:val="00502687"/>
    <w:rsid w:val="00545EE6"/>
    <w:rsid w:val="00546C29"/>
    <w:rsid w:val="00591899"/>
    <w:rsid w:val="0059703C"/>
    <w:rsid w:val="005B2D04"/>
    <w:rsid w:val="005D66CB"/>
    <w:rsid w:val="005F63F4"/>
    <w:rsid w:val="005F7C99"/>
    <w:rsid w:val="006007C0"/>
    <w:rsid w:val="00604FFA"/>
    <w:rsid w:val="00615DAD"/>
    <w:rsid w:val="006448BA"/>
    <w:rsid w:val="0065721A"/>
    <w:rsid w:val="006863F8"/>
    <w:rsid w:val="006B42BA"/>
    <w:rsid w:val="006C6E47"/>
    <w:rsid w:val="006E1457"/>
    <w:rsid w:val="006E6391"/>
    <w:rsid w:val="00721283"/>
    <w:rsid w:val="00724897"/>
    <w:rsid w:val="00736050"/>
    <w:rsid w:val="00745EF4"/>
    <w:rsid w:val="00747C6C"/>
    <w:rsid w:val="00764365"/>
    <w:rsid w:val="00791616"/>
    <w:rsid w:val="00797D4D"/>
    <w:rsid w:val="007C568A"/>
    <w:rsid w:val="00803DDA"/>
    <w:rsid w:val="0081568F"/>
    <w:rsid w:val="00840CB2"/>
    <w:rsid w:val="00842E69"/>
    <w:rsid w:val="008975B8"/>
    <w:rsid w:val="008A1BFC"/>
    <w:rsid w:val="008D6359"/>
    <w:rsid w:val="008E3973"/>
    <w:rsid w:val="009856F6"/>
    <w:rsid w:val="009A143C"/>
    <w:rsid w:val="009E6149"/>
    <w:rsid w:val="00A10687"/>
    <w:rsid w:val="00A26C07"/>
    <w:rsid w:val="00A376D1"/>
    <w:rsid w:val="00A51DFF"/>
    <w:rsid w:val="00A54359"/>
    <w:rsid w:val="00AD099C"/>
    <w:rsid w:val="00AE284A"/>
    <w:rsid w:val="00AE7DAF"/>
    <w:rsid w:val="00B0730C"/>
    <w:rsid w:val="00B45C33"/>
    <w:rsid w:val="00B50E02"/>
    <w:rsid w:val="00B77356"/>
    <w:rsid w:val="00B862CF"/>
    <w:rsid w:val="00BE6C76"/>
    <w:rsid w:val="00C24AE9"/>
    <w:rsid w:val="00C5458A"/>
    <w:rsid w:val="00C9259E"/>
    <w:rsid w:val="00CC584F"/>
    <w:rsid w:val="00CD5142"/>
    <w:rsid w:val="00D001A2"/>
    <w:rsid w:val="00D52E86"/>
    <w:rsid w:val="00D802CB"/>
    <w:rsid w:val="00D81695"/>
    <w:rsid w:val="00D85E31"/>
    <w:rsid w:val="00D869AF"/>
    <w:rsid w:val="00D91CAA"/>
    <w:rsid w:val="00DA5A17"/>
    <w:rsid w:val="00DF50F4"/>
    <w:rsid w:val="00DF6A4A"/>
    <w:rsid w:val="00E113B2"/>
    <w:rsid w:val="00E14114"/>
    <w:rsid w:val="00E41EB8"/>
    <w:rsid w:val="00E449FD"/>
    <w:rsid w:val="00E84A9F"/>
    <w:rsid w:val="00E97A0E"/>
    <w:rsid w:val="00EF2C75"/>
    <w:rsid w:val="00F45560"/>
    <w:rsid w:val="00F568A0"/>
    <w:rsid w:val="00F70DC2"/>
    <w:rsid w:val="00F87B0E"/>
    <w:rsid w:val="00F916AA"/>
    <w:rsid w:val="00FB0D4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4378</TotalTime>
  <Pages>30</Pages>
  <Words>8385</Words>
  <Characters>47799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56072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12</cp:revision>
  <cp:lastPrinted>2018-07-09T13:12:00Z</cp:lastPrinted>
  <dcterms:created xsi:type="dcterms:W3CDTF">2018-07-30T11:36:00Z</dcterms:created>
  <dcterms:modified xsi:type="dcterms:W3CDTF">2018-08-02T12:33:00Z</dcterms:modified>
</cp:coreProperties>
</file>