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aramond" w:cs="Garamond" w:eastAsia="Garamond" w:hAnsi="Garamond"/>
          <w:b/>
          <w:bCs/>
          <w:color w:val="111111"/>
          <w:sz w:val="28"/>
          <w:szCs w:val="28"/>
        </w:rPr>
        <w:t xml:space="preserve">Personal Statement</w:t>
      </w:r>
    </w:p>
    <w:p>
      <w:pPr>
        <w:spacing w:after="80" w:before="0"/>
        <w:jc w:val="center"/>
      </w:pPr>
      <w:r>
        <w:rPr>
          <w:rFonts w:ascii="Garamond" w:cs="Garamond" w:eastAsia="Garamond" w:hAnsi="Garamond"/>
          <w:b/>
          <w:bCs/>
          <w:color w:val="111111"/>
          <w:sz w:val="24"/>
          <w:szCs w:val="24"/>
        </w:rPr>
        <w:t xml:space="preserve">Gershon Tetteh Amanor</w:t>
      </w:r>
    </w:p>
    <w:p>
      <w:pPr>
        <w:spacing w:after="80" w:before="0"/>
        <w:jc w:val="center"/>
      </w:pPr>
      <w:r>
        <w:rPr>
          <w:rFonts w:ascii="Garamond" w:cs="Garamond" w:eastAsia="Garamond" w:hAnsi="Garamond"/>
          <w:i/>
          <w:iCs/>
          <w:color w:val="111111"/>
          <w:sz w:val="22"/>
          <w:szCs w:val="22"/>
        </w:rPr>
        <w:t xml:space="preserve">Primary Area of Interest: Statistics</w:t>
      </w:r>
    </w:p>
    <w:p>
      <w:pPr>
        <w:spacing w:after="240"/>
      </w:pPr>
    </w:p>
    <w:p>
      <w:pPr>
        <w:spacing w:after="280" w:before="0"/>
        <w:jc w:val="both"/>
      </w:pPr>
      <w:r>
        <w:rPr>
          <w:rFonts w:ascii="Garamond" w:cs="Garamond" w:eastAsia="Garamond" w:hAnsi="Garamond"/>
          <w:color w:val="111111"/>
          <w:sz w:val="24"/>
          <w:szCs w:val="24"/>
        </w:rPr>
        <w:t xml:space="preserve">I did not expect what the data showed me. When I began my undergraduate thesis on Ghana's employment and economic growth, I assumed I would find the familiar story — workers moving from agriculture into industry, cities absorbing people into formal jobs, productivity rising with urbanisation. That is what structural transformation is supposed to look like. That is what happened in East Asia. What I found instead stopped me. High-productivity wage employment had lost workers. Self-employment in the informal sector had gained them. Ghana's economy was growing, but the jobs people were moving into were getting worse, not better. Cities were not ladders — they were, for many workers, traps.</w:t>
      </w:r>
    </w:p>
    <w:p>
      <w:pPr>
        <w:spacing w:after="280" w:before="0"/>
        <w:jc w:val="both"/>
      </w:pPr>
      <w:r>
        <w:rPr>
          <w:rFonts w:ascii="Garamond" w:cs="Garamond" w:eastAsia="Garamond" w:hAnsi="Garamond"/>
          <w:color w:val="111111"/>
          <w:sz w:val="24"/>
          <w:szCs w:val="24"/>
        </w:rPr>
        <w:t xml:space="preserve">That finding did the thing that good statistical work is supposed to do: it forced me to revise what I thought I knew. Growth, I had assumed, meant progress. Urbanisation meant development. The data disagreed. What Ghana was experiencing was something closer to premature deindustrialisation — skipping the productive manufacturing phase and funnelling workers into low-paying informal services. A single regression table had redrawn my understanding of an entire economy. I left that project not with a tidy conclusion, but with a sharper question: if the aggregate numbers look fine while the underlying structure is deteriorating, what else might standard economic indicators be hiding? That question has shaped everything I have wanted to learn since.</w:t>
      </w:r>
    </w:p>
    <w:p>
      <w:pPr>
        <w:spacing w:after="280" w:before="0"/>
        <w:jc w:val="both"/>
      </w:pPr>
      <w:r>
        <w:rPr>
          <w:rFonts w:ascii="Garamond" w:cs="Garamond" w:eastAsia="Garamond" w:hAnsi="Garamond"/>
          <w:color w:val="111111"/>
          <w:sz w:val="24"/>
          <w:szCs w:val="24"/>
        </w:rPr>
        <w:t xml:space="preserve">It was through conversations with </w:t>
      </w:r>
      <w:r>
        <w:rPr>
          <w:rFonts w:ascii="Garamond" w:cs="Garamond" w:eastAsia="Garamond" w:hAnsi="Garamond"/>
          <w:b/>
          <w:bCs/>
          <w:sz w:val="24"/>
          <w:szCs w:val="24"/>
        </w:rPr>
        <w:t xml:space="preserve">Prof. Richard Minkah</w:t>
      </w:r>
      <w:r>
        <w:rPr>
          <w:rFonts w:ascii="Garamond" w:cs="Garamond" w:eastAsia="Garamond" w:hAnsi="Garamond"/>
          <w:color w:val="111111"/>
          <w:sz w:val="24"/>
          <w:szCs w:val="24"/>
        </w:rPr>
        <w:t xml:space="preserve">, Associate Professor of Computational Statistics at the University of Ghana, that I began to see where that question could lead me. Prof. Minkah’s research on the statistics of extremes opened my eyes to a dimension of data that conventional applied statistics tends to underplay: the tails. Most models are built to describe the middle of a distribution. But in countries like Ghana — where a single flood season can wipe out a year of agricultural income, where an exchange rate shock can push households below the poverty line overnight, where epidemic events arrive without warning — the tails are where the real story lives. Extreme value theory is not an esoteric branch of mathematics. It is, I came to understand, one of the most honest tools we have for describing the world as it actually is for vulnerable people.</w:t>
      </w:r>
    </w:p>
    <w:p>
      <w:pPr>
        <w:spacing w:after="280" w:before="0"/>
        <w:jc w:val="both"/>
      </w:pPr>
      <w:r>
        <w:rPr>
          <w:rFonts w:ascii="Garamond" w:cs="Garamond" w:eastAsia="Garamond" w:hAnsi="Garamond"/>
          <w:color w:val="111111"/>
          <w:sz w:val="24"/>
          <w:szCs w:val="24"/>
        </w:rPr>
        <w:t xml:space="preserve">My research since then has been guided by this evolving understanding. My ARIMAX forecasting project, which modelled Ghana’s government expenditure using macroeconomic drivers over nearly four decades, taught me the discipline of rigorous model-building and the responsibility of producing forecasts that real institutions might use. My stroke risk prediction project, where I trained and deployed a machine learning classifier as a live API, pushed me into the mechanics of computational statistics — and raised questions I could not yet fully answer about how we build models that perform reliably on messy, imbalanced, real-world clinical data. Each project left me more convinced that the kind of statistician I want to become is not one who applies standard methods to standard problems, but one who can work at the boundary where the methods themselves are still being developed.</w:t>
      </w:r>
    </w:p>
    <w:p>
      <w:pPr>
        <w:spacing w:after="280" w:before="0"/>
        <w:jc w:val="both"/>
      </w:pPr>
      <w:r>
        <w:rPr>
          <w:rFonts w:ascii="Garamond" w:cs="Garamond" w:eastAsia="Garamond" w:hAnsi="Garamond"/>
          <w:color w:val="111111"/>
          <w:sz w:val="24"/>
          <w:szCs w:val="24"/>
        </w:rPr>
        <w:t xml:space="preserve">Teaching has been part of my formation as well. As a Teaching Assistant in the Department of Statistics and Actuarial Science at the University of Ghana, I support undergraduate students in Statistics, Probability, Statistical Computing, and Actuarial Computing. I have found that explaining a concept clearly requires understanding it more deeply than simply being able to use it — and that the moments when a student’s confusion resolves into comprehension are among the most satisfying experiences I have had in this field. I intend to carry that commitment into graduate school, and I am eager to be considered for a </w:t>
      </w:r>
    </w:p>
    <w:p>
      <w:pPr>
        <w:spacing w:after="280" w:before="0"/>
        <w:jc w:val="both"/>
      </w:pPr>
      <w:r>
        <w:rPr>
          <w:rFonts w:ascii="Garamond" w:cs="Garamond" w:eastAsia="Garamond" w:hAnsi="Garamond"/>
          <w:b/>
          <w:bCs/>
          <w:sz w:val="24"/>
          <w:szCs w:val="24"/>
        </w:rPr>
        <w:t xml:space="preserve">Graduate Teaching Assistantship (GTA)</w:t>
      </w:r>
      <w:r>
        <w:rPr>
          <w:rFonts w:ascii="Garamond" w:cs="Garamond" w:eastAsia="Garamond" w:hAnsi="Garamond"/>
          <w:color w:val="111111"/>
          <w:sz w:val="24"/>
          <w:szCs w:val="24"/>
        </w:rPr>
        <w:t xml:space="preserve">.</w:t>
      </w:r>
    </w:p>
    <w:p>
      <w:pPr>
        <w:spacing w:after="280" w:before="0"/>
        <w:jc w:val="both"/>
      </w:pPr>
      <w:r>
        <w:rPr>
          <w:rFonts w:ascii="Garamond" w:cs="Garamond" w:eastAsia="Garamond" w:hAnsi="Garamond"/>
          <w:color w:val="111111"/>
          <w:sz w:val="24"/>
          <w:szCs w:val="24"/>
        </w:rPr>
        <w:t xml:space="preserve">My long-term goal is to pursue a PhD in Statistics, with a research programme centred on extreme value theory and its applications to climate risk, fiscal volatility, and health events in sub-Saharan Africa. The MS in Mathematics and Statistics is the foundation I need to get there — not just technically, but intellectually. I am looking for a programme that will deepen my theoretical grounding, challenge me to think more rigorously about the limits of what statistical models can and cannot tell us, and place me in a community of scholars who take those questions seriously. I am confident that your programme is that place, and I am eager to contribute to 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2026-07-02T19:12:27.967Z</dcterms:created>
  <dcterms:modified xsi:type="dcterms:W3CDTF">2026-07-02T19:12:27.981Z</dcterms:modified>
</cp:coreProperties>
</file>

<file path=docProps/custom.xml><?xml version="1.0" encoding="utf-8"?>
<Properties xmlns="http://schemas.openxmlformats.org/officeDocument/2006/custom-properties" xmlns:vt="http://schemas.openxmlformats.org/officeDocument/2006/docPropsVTypes"/>
</file>