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Graduate Programs Research Guide</w:t>
      </w:r>
    </w:p>
    <w:p>
      <w:pPr>
        <w:spacing w:after="60"/>
        <w:jc w:val="center"/>
      </w:pPr>
      <w:r>
        <w:rPr>
          <w:rFonts w:ascii="Arial" w:cs="Arial" w:eastAsia="Arial" w:hAnsi="Arial"/>
          <w:color w:val="2E75B6"/>
          <w:sz w:val="28"/>
          <w:szCs w:val="28"/>
        </w:rPr>
        <w:t xml:space="preserve">MS in Data Science, Statistics &amp; Computer Science</w:t>
      </w:r>
    </w:p>
    <w:p>
      <w:pPr>
        <w:spacing w:after="60"/>
        <w:jc w:val="center"/>
      </w:pPr>
      <w:r>
        <w:rPr>
          <w:rFonts w:ascii="Arial" w:cs="Arial" w:eastAsia="Arial" w:hAnsi="Arial"/>
          <w:color w:val="595959"/>
          <w:sz w:val="22"/>
          <w:szCs w:val="22"/>
        </w:rPr>
        <w:t xml:space="preserve">USA | Europe | Canada | UK  —  With Funding Opportunities &amp; No WES Evaluation</w:t>
      </w:r>
    </w:p>
    <w:p>
      <w:pPr>
        <w:spacing w:after="300"/>
        <w:jc w:val="center"/>
      </w:pPr>
      <w:r>
        <w:rPr>
          <w:rFonts w:ascii="Arial" w:cs="Arial" w:eastAsia="Arial" w:hAnsi="Arial"/>
          <w:color w:val="808080"/>
          <w:sz w:val="20"/>
          <w:szCs w:val="20"/>
        </w:rPr>
        <w:t xml:space="preserve">Prepared for: BSc Actuarial Science Graduate | June 2026</w:t>
      </w:r>
    </w:p>
    <w:p>
      <w:pPr>
        <w:pBdr>
          <w:left w:val="single" w:color="2E75B6" w:sz="12" w:space="5"/>
        </w:pBdr>
        <w:spacing w:after="80" w:before="120"/>
      </w:pPr>
      <w:r>
        <w:rPr>
          <w:rFonts w:ascii="Arial" w:cs="Arial" w:eastAsia="Arial" w:hAnsi="Arial"/>
          <w:b/>
          <w:bCs/>
          <w:color w:val="1F3864"/>
          <w:sz w:val="20"/>
          <w:szCs w:val="20"/>
        </w:rPr>
        <w:t xml:space="preserve">  ⚠  Important Note on WES: </w:t>
      </w:r>
      <w:r>
        <w:rPr>
          <w:rFonts w:ascii="Arial" w:cs="Arial" w:eastAsia="Arial" w:hAnsi="Arial"/>
          <w:sz w:val="20"/>
          <w:szCs w:val="20"/>
        </w:rPr>
        <w:t xml:space="preserve">WES (World Education Services) is a credential evaluation agency primarily required by some US and Canadian universities to verify international degrees. European and UK universities typically do NOT require WES — they evaluate your transcripts directly. In Canada and the US, many institutions now accept transcripts directly without a WES report. All universities listed below have been flagged accordingly.</w:t>
      </w:r>
    </w:p>
    <w:p>
      <w:pPr>
        <w:spacing w:after="120"/>
      </w:pPr>
      <w:r>
        <w:t xml:space="preserve"/>
      </w:r>
    </w:p>
    <w:p>
      <w:pPr>
        <w:pStyle w:val="Heading1"/>
        <w:spacing w:after="180" w:before="360"/>
      </w:pPr>
      <w:r>
        <w:rPr>
          <w:rFonts w:ascii="Arial" w:cs="Arial" w:eastAsia="Arial" w:hAnsi="Arial"/>
          <w:b/>
          <w:bCs/>
          <w:color w:val="1F3864"/>
          <w:sz w:val="28"/>
          <w:szCs w:val="28"/>
        </w:rPr>
        <w:t xml:space="preserve">SECTION 1: United States — State Universities</w:t>
      </w:r>
    </w:p>
    <w:p>
      <w:pPr>
        <w:spacing w:after="100"/>
      </w:pPr>
      <w:r>
        <w:rPr>
          <w:rFonts w:ascii="Arial" w:cs="Arial" w:eastAsia="Arial" w:hAnsi="Arial"/>
          <w:b w:val="false"/>
          <w:bCs w:val="false"/>
          <w:color w:val="595959"/>
          <w:sz w:val="20"/>
          <w:szCs w:val="20"/>
        </w:rPr>
        <w:t xml:space="preserve">With a BSc in Actuarial Science, you are a strong candidate for MS programs in Statistics, Applied Statistics, and Data Science. Your quantitative background in probability, calculus, and statistical modelling aligns well with these programs. Below are state (public) universities offering good funding via TA/RA positions and not requiring WES.</w:t>
      </w:r>
    </w:p>
    <w:p>
      <w:pPr>
        <w:spacing w:after="120"/>
      </w:pPr>
      <w:r>
        <w:t xml:space="preserve"/>
      </w:r>
    </w:p>
    <w:p>
      <w:pPr>
        <w:pStyle w:val="Heading2"/>
        <w:spacing w:after="120" w:before="240"/>
      </w:pPr>
      <w:r>
        <w:rPr>
          <w:rFonts w:ascii="Arial" w:cs="Arial" w:eastAsia="Arial" w:hAnsi="Arial"/>
          <w:b/>
          <w:bCs/>
          <w:color w:val="2E75B6"/>
          <w:sz w:val="24"/>
          <w:szCs w:val="24"/>
        </w:rPr>
        <w:t xml:space="preserve">Top State Universities — Data Science &amp;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2000"/>
        <w:gridCol w:w="1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University</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Funding</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WES Required?</w:t>
            </w:r>
          </w:p>
        </w:tc>
        <w:tc>
          <w:tcPr>
            <w:tcW w:type="dxa" w:w="1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Wisconsin-Madison</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Statistics / Data Science</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TA/RA available; competitive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Strong statistics dept; no GRE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Michigan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Data Science (LSA Statistics)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Limited for MS; TA competitive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GRE optional; direct transcript accepted</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North Carolina State Univ.</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Statistics / Analytics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TA/RA for thesis track</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Strong applied stats; STEM OPT eligible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Oregon State University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Statistics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 funding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Friendly to international applicants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Colorado State University</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Statistics / Applied Statistics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TA/RA common</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 GRE required; thesis track funded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Rochester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Data 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Paid internships via NY Center of Excellence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NIH-funded fellowships; practicum model</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Florida</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Statistics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TA/RA available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Strong quant program; STEM designated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Michigan State University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Data 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 available; competitive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2-year program; concentrations in MLOps, DL</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Georgia Institute of Technology</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Analytics / CS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~21% of MS get GRA</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Highly ranked; $37,500 stipend for funded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Arizona State University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 in Social Data Science /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Scholarships offered (highest volume)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Largest intl. aid volume nationally</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Key Funding Facts for US Programs</w:t>
      </w:r>
    </w:p>
    <w:p>
      <w:pPr>
        <w:pStyle w:val="ListParagraph"/>
        <w:numPr>
          <w:ilvl w:val="0"/>
          <w:numId w:val="2"/>
        </w:numPr>
        <w:spacing w:after="80"/>
      </w:pPr>
      <w:r>
        <w:rPr>
          <w:rFonts w:ascii="Arial" w:cs="Arial" w:eastAsia="Arial" w:hAnsi="Arial"/>
          <w:b w:val="false"/>
          <w:bCs w:val="false"/>
          <w:sz w:val="20"/>
          <w:szCs w:val="20"/>
        </w:rPr>
        <w:t xml:space="preserve">Only ~10% of international MS students receive TA/RA funding nationally — competition is intense.</w:t>
      </w:r>
    </w:p>
    <w:p>
      <w:pPr>
        <w:pStyle w:val="ListParagraph"/>
        <w:numPr>
          <w:ilvl w:val="0"/>
          <w:numId w:val="2"/>
        </w:numPr>
        <w:spacing w:after="80"/>
      </w:pPr>
      <w:r>
        <w:rPr>
          <w:rFonts w:ascii="Arial" w:cs="Arial" w:eastAsia="Arial" w:hAnsi="Arial"/>
          <w:b w:val="false"/>
          <w:bCs w:val="false"/>
          <w:sz w:val="20"/>
          <w:szCs w:val="20"/>
        </w:rPr>
        <w:t xml:space="preserve">Thesis-track programs are more likely to come with TA/RA support than professional/course-only tracks.</w:t>
      </w:r>
    </w:p>
    <w:p>
      <w:pPr>
        <w:pStyle w:val="ListParagraph"/>
        <w:numPr>
          <w:ilvl w:val="0"/>
          <w:numId w:val="2"/>
        </w:numPr>
        <w:spacing w:after="80"/>
      </w:pPr>
      <w:r>
        <w:rPr>
          <w:rFonts w:ascii="Arial" w:cs="Arial" w:eastAsia="Arial" w:hAnsi="Arial"/>
          <w:b w:val="false"/>
          <w:bCs w:val="false"/>
          <w:sz w:val="20"/>
          <w:szCs w:val="20"/>
        </w:rPr>
        <w:t xml:space="preserve">Universities like Wisconsin, Michigan, Penn State, Michigan State, and Georgia Tech offer the best volume of opportunities.</w:t>
      </w:r>
    </w:p>
    <w:p>
      <w:pPr>
        <w:pStyle w:val="ListParagraph"/>
        <w:numPr>
          <w:ilvl w:val="0"/>
          <w:numId w:val="2"/>
        </w:numPr>
        <w:spacing w:after="80"/>
      </w:pPr>
      <w:r>
        <w:rPr>
          <w:rFonts w:ascii="Arial" w:cs="Arial" w:eastAsia="Arial" w:hAnsi="Arial"/>
          <w:b w:val="false"/>
          <w:bCs w:val="false"/>
          <w:sz w:val="20"/>
          <w:szCs w:val="20"/>
        </w:rPr>
        <w:t xml:space="preserve">STEM OPT designation allows you to work in the US for up to 3 years after graduation (1 year OPT + 2 year STEM extension).</w:t>
      </w:r>
    </w:p>
    <w:p>
      <w:pPr>
        <w:pStyle w:val="ListParagraph"/>
        <w:numPr>
          <w:ilvl w:val="0"/>
          <w:numId w:val="2"/>
        </w:numPr>
        <w:spacing w:after="80"/>
      </w:pPr>
      <w:r>
        <w:rPr>
          <w:rFonts w:ascii="Arial" w:cs="Arial" w:eastAsia="Arial" w:hAnsi="Arial"/>
          <w:b w:val="false"/>
          <w:bCs w:val="false"/>
          <w:sz w:val="20"/>
          <w:szCs w:val="20"/>
        </w:rPr>
        <w:t xml:space="preserve">For Ghanaian applicants: send official transcripts directly from your university — WES is generally NOT required for these programs.</w:t>
      </w:r>
    </w:p>
    <w:p>
      <w:pPr>
        <w:spacing w:after="120"/>
      </w:pPr>
      <w:r>
        <w:t xml:space="preserve"/>
      </w:r>
    </w:p>
    <w:p>
      <w:pPr>
        <w:pStyle w:val="Heading1"/>
        <w:spacing w:after="180" w:before="360"/>
      </w:pPr>
      <w:r>
        <w:rPr>
          <w:rFonts w:ascii="Arial" w:cs="Arial" w:eastAsia="Arial" w:hAnsi="Arial"/>
          <w:b/>
          <w:bCs/>
          <w:color w:val="1F3864"/>
          <w:sz w:val="28"/>
          <w:szCs w:val="28"/>
        </w:rPr>
        <w:t xml:space="preserve">SECTION 2: Canada</w:t>
      </w:r>
    </w:p>
    <w:p>
      <w:pPr>
        <w:spacing w:after="100"/>
      </w:pPr>
      <w:r>
        <w:rPr>
          <w:rFonts w:ascii="Arial" w:cs="Arial" w:eastAsia="Arial" w:hAnsi="Arial"/>
          <w:b w:val="false"/>
          <w:bCs w:val="false"/>
          <w:color w:val="595959"/>
          <w:sz w:val="20"/>
          <w:szCs w:val="20"/>
        </w:rPr>
        <w:t xml:space="preserve">Canada has seen 402% growth in Ghanaian student visas (2021–2023). Many top Canadian universities do not require WES evaluations and accept official transcripts directly. Below are strong options with funding.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University</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WES Required?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Funding &amp; Notes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Toronto</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in Statistics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 — explicitly stated</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TA/RA; 3 reference letters; Jan 22 deadline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Guelph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Master of Data Science (MDS)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 explicitly stated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GRE/GMAT either; fall entry; strong applied focus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British Columbia (UBC)</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Master of Data Science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Scholarship up to CAD $25,000 for intl. students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Waterloo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Data Analytics / Statistics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CAD $2,500 award for Faculty of Mathematics intl. students; strong co-op ties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McGill University</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Statistics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TA/RA for thesis students; strong research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Simon Fraser University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Data Science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One of Canada's first dedicated DS programs; research RA available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Alberta</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Data Analytics / Statistics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Research-focused; strong TA/RA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Saskatchewan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Statistics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More affordable; smaller cohort; good funding chances</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Additional Canada Notes</w:t>
      </w:r>
    </w:p>
    <w:p>
      <w:pPr>
        <w:pStyle w:val="ListParagraph"/>
        <w:numPr>
          <w:ilvl w:val="0"/>
          <w:numId w:val="2"/>
        </w:numPr>
        <w:spacing w:after="80"/>
      </w:pPr>
      <w:r>
        <w:rPr>
          <w:rFonts w:ascii="Arial" w:cs="Arial" w:eastAsia="Arial" w:hAnsi="Arial"/>
          <w:b w:val="false"/>
          <w:bCs w:val="false"/>
          <w:sz w:val="20"/>
          <w:szCs w:val="20"/>
        </w:rPr>
        <w:t xml:space="preserve">International students in Canada can work up to 20 hours/week on a study permit.</w:t>
      </w:r>
    </w:p>
    <w:p>
      <w:pPr>
        <w:pStyle w:val="ListParagraph"/>
        <w:numPr>
          <w:ilvl w:val="0"/>
          <w:numId w:val="2"/>
        </w:numPr>
        <w:spacing w:after="80"/>
      </w:pPr>
      <w:r>
        <w:rPr>
          <w:rFonts w:ascii="Arial" w:cs="Arial" w:eastAsia="Arial" w:hAnsi="Arial"/>
          <w:b w:val="false"/>
          <w:bCs w:val="false"/>
          <w:sz w:val="20"/>
          <w:szCs w:val="20"/>
        </w:rPr>
        <w:t xml:space="preserve">Post-Graduation Work Permit (PGWP) allows work for up to 3 years after graduation — a key advantage.</w:t>
      </w:r>
    </w:p>
    <w:p>
      <w:pPr>
        <w:pStyle w:val="ListParagraph"/>
        <w:numPr>
          <w:ilvl w:val="0"/>
          <w:numId w:val="2"/>
        </w:numPr>
        <w:spacing w:after="80"/>
      </w:pPr>
      <w:r>
        <w:rPr>
          <w:rFonts w:ascii="Arial" w:cs="Arial" w:eastAsia="Arial" w:hAnsi="Arial"/>
          <w:b w:val="false"/>
          <w:bCs w:val="false"/>
          <w:sz w:val="20"/>
          <w:szCs w:val="20"/>
        </w:rPr>
        <w:t xml:space="preserve">Canada's Global Affairs Study in Canada Scholarships explicitly list Ghana as an eligible country (up to CAD $14,000 for graduate students).</w:t>
      </w:r>
    </w:p>
    <w:p>
      <w:pPr>
        <w:pStyle w:val="ListParagraph"/>
        <w:numPr>
          <w:ilvl w:val="0"/>
          <w:numId w:val="2"/>
        </w:numPr>
        <w:spacing w:after="80"/>
      </w:pPr>
      <w:r>
        <w:rPr>
          <w:rFonts w:ascii="Arial" w:cs="Arial" w:eastAsia="Arial" w:hAnsi="Arial"/>
          <w:b w:val="false"/>
          <w:bCs w:val="false"/>
          <w:sz w:val="20"/>
          <w:szCs w:val="20"/>
        </w:rPr>
        <w:t xml:space="preserve">English-language universities in Canada do not require IELTS/TOEFL if your prior instruction was in English — confirm with each institution.</w:t>
      </w:r>
    </w:p>
    <w:p>
      <w:pPr>
        <w:spacing w:after="120"/>
      </w:pPr>
      <w:r>
        <w:t xml:space="preserve"/>
      </w:r>
    </w:p>
    <w:p>
      <w:pPr>
        <w:pStyle w:val="Heading1"/>
        <w:spacing w:after="180" w:before="360"/>
      </w:pPr>
      <w:r>
        <w:rPr>
          <w:rFonts w:ascii="Arial" w:cs="Arial" w:eastAsia="Arial" w:hAnsi="Arial"/>
          <w:b/>
          <w:bCs/>
          <w:color w:val="1F3864"/>
          <w:sz w:val="28"/>
          <w:szCs w:val="28"/>
        </w:rPr>
        <w:t xml:space="preserve">SECTION 3: Europe — Public Universities</w:t>
      </w:r>
    </w:p>
    <w:p>
      <w:pPr>
        <w:spacing w:after="100"/>
      </w:pPr>
      <w:r>
        <w:rPr>
          <w:rFonts w:ascii="Arial" w:cs="Arial" w:eastAsia="Arial" w:hAnsi="Arial"/>
          <w:b w:val="false"/>
          <w:bCs w:val="false"/>
          <w:color w:val="595959"/>
          <w:sz w:val="20"/>
          <w:szCs w:val="20"/>
        </w:rPr>
        <w:t xml:space="preserve">Europe is one of the most affordable regions globally for graduate study. Public universities in Germany, Norway, and the Netherlands offer tuition-free or very low-cost programs. Crucially, European universities evaluate transcripts directly — WES is not used or required in Europe.</w:t>
      </w:r>
    </w:p>
    <w:p>
      <w:pPr>
        <w:spacing w:after="120"/>
      </w:pPr>
      <w:r>
        <w:t xml:space="preserve"/>
      </w:r>
    </w:p>
    <w:p>
      <w:pPr>
        <w:pStyle w:val="Heading2"/>
        <w:spacing w:after="120" w:before="240"/>
      </w:pPr>
      <w:r>
        <w:rPr>
          <w:rFonts w:ascii="Arial" w:cs="Arial" w:eastAsia="Arial" w:hAnsi="Arial"/>
          <w:b/>
          <w:bCs/>
          <w:color w:val="2E75B6"/>
          <w:sz w:val="24"/>
          <w:szCs w:val="24"/>
        </w:rPr>
        <w:t xml:space="preserve">Germany — Tuition-Free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University</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Tuition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LMU Munich</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Statistics and Data Science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~€180–200/semester admin fee only</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 tuition fees for consecutive Master's; English-taught; DAAD scholarships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TU Munich (TUM)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Data Engineering &amp; Analytics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~€6,000/semester (non-EU)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Top-ranked; strong industry links; DAAD can offset costs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Mannheim</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Data Science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Low fees (~€1,500/year)</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Strong stats &amp; CS focus; English-taught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Göttingen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Applied Statistics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tuition fees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Research-oriented; DAAD-funded opportunities</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Norway — Tuition-Free for All Nationalities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University</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Oslo</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in Statistics / Data Science</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 tuition for all students; living costs ~NOK 11,000/month; Norwegian Gov. scholarships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NTNU (Trondheim)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in Computer Science / Data Science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tuition; strong engineering and data focus; campus living affordable</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Bergen</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in Statistics</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No tuition; smaller cohort; good supervisor access</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Netherlands &amp; Other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University</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Annual Fees (Non-EU)</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Amsterdam</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Data Science / Statistics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~€16,000/year</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Amsterdam Scholarship; leading European DS program; includes insurance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TU Wien (Austria)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Data Science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Semester admin fee only (~€400)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tuition; English-taught; 4 semesters; application deadlines May 15 / Nov 15</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ETH Zürich (Switzerland)</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Data Science</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~CHF 730/year</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World top-10; merit scholarships cover 50%+; highly competitive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Uppsala University (Sweden)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Statistics / Data Science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~€13,000/year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 Scholarships available; strong research culture</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Key Europe Funding Mechanisms</w:t>
      </w:r>
    </w:p>
    <w:p>
      <w:pPr>
        <w:pStyle w:val="ListParagraph"/>
        <w:numPr>
          <w:ilvl w:val="0"/>
          <w:numId w:val="2"/>
        </w:numPr>
        <w:spacing w:after="80"/>
      </w:pPr>
      <w:r>
        <w:rPr>
          <w:rFonts w:ascii="Arial" w:cs="Arial" w:eastAsia="Arial" w:hAnsi="Arial"/>
          <w:b w:val="false"/>
          <w:bCs w:val="false"/>
          <w:sz w:val="20"/>
          <w:szCs w:val="20"/>
        </w:rPr>
        <w:t xml:space="preserve">DAAD (Germany): Stipends up to €934/month for international students — Leadership for Africa programme specifically for Ghanaians.</w:t>
      </w:r>
    </w:p>
    <w:p>
      <w:pPr>
        <w:pStyle w:val="ListParagraph"/>
        <w:numPr>
          <w:ilvl w:val="0"/>
          <w:numId w:val="2"/>
        </w:numPr>
        <w:spacing w:after="80"/>
      </w:pPr>
      <w:r>
        <w:rPr>
          <w:rFonts w:ascii="Arial" w:cs="Arial" w:eastAsia="Arial" w:hAnsi="Arial"/>
          <w:b w:val="false"/>
          <w:bCs w:val="false"/>
          <w:sz w:val="20"/>
          <w:szCs w:val="20"/>
        </w:rPr>
        <w:t xml:space="preserve">Erasmus Mundus: Joint master programmes with stipends ~€1,000/month; no WES required.</w:t>
      </w:r>
    </w:p>
    <w:p>
      <w:pPr>
        <w:pStyle w:val="ListParagraph"/>
        <w:numPr>
          <w:ilvl w:val="0"/>
          <w:numId w:val="2"/>
        </w:numPr>
        <w:spacing w:after="80"/>
      </w:pPr>
      <w:r>
        <w:rPr>
          <w:rFonts w:ascii="Arial" w:cs="Arial" w:eastAsia="Arial" w:hAnsi="Arial"/>
          <w:b w:val="false"/>
          <w:bCs w:val="false"/>
          <w:sz w:val="20"/>
          <w:szCs w:val="20"/>
        </w:rPr>
        <w:t xml:space="preserve">ETH Excellence Scholarship: Highly competitive merit awards that cut fees in half or more.</w:t>
      </w:r>
    </w:p>
    <w:p>
      <w:pPr>
        <w:pStyle w:val="ListParagraph"/>
        <w:numPr>
          <w:ilvl w:val="0"/>
          <w:numId w:val="2"/>
        </w:numPr>
        <w:spacing w:after="80"/>
      </w:pPr>
      <w:r>
        <w:rPr>
          <w:rFonts w:ascii="Arial" w:cs="Arial" w:eastAsia="Arial" w:hAnsi="Arial"/>
          <w:b w:val="false"/>
          <w:bCs w:val="false"/>
          <w:sz w:val="20"/>
          <w:szCs w:val="20"/>
        </w:rPr>
        <w:t xml:space="preserve">Commonwealth Scholarships: Fully funded (tuition + stipend + travel) for Commonwealth countries including Ghana — deadline typically October.</w:t>
      </w:r>
    </w:p>
    <w:p>
      <w:pPr>
        <w:pStyle w:val="ListParagraph"/>
        <w:numPr>
          <w:ilvl w:val="0"/>
          <w:numId w:val="2"/>
        </w:numPr>
        <w:spacing w:after="80"/>
      </w:pPr>
      <w:r>
        <w:rPr>
          <w:rFonts w:ascii="Arial" w:cs="Arial" w:eastAsia="Arial" w:hAnsi="Arial"/>
          <w:b w:val="false"/>
          <w:bCs w:val="false"/>
          <w:sz w:val="20"/>
          <w:szCs w:val="20"/>
        </w:rPr>
        <w:t xml:space="preserve">Post-study work visas in Europe typically range 12–24 months depending on the country.</w:t>
      </w:r>
    </w:p>
    <w:p>
      <w:pPr>
        <w:spacing w:after="120"/>
      </w:pPr>
      <w:r>
        <w:t xml:space="preserve"/>
      </w:r>
    </w:p>
    <w:p>
      <w:pPr>
        <w:pStyle w:val="Heading1"/>
        <w:spacing w:after="180" w:before="360"/>
      </w:pPr>
      <w:r>
        <w:rPr>
          <w:rFonts w:ascii="Arial" w:cs="Arial" w:eastAsia="Arial" w:hAnsi="Arial"/>
          <w:b/>
          <w:bCs/>
          <w:color w:val="1F3864"/>
          <w:sz w:val="28"/>
          <w:szCs w:val="28"/>
        </w:rPr>
        <w:t xml:space="preserve">SECTION 4: United Kingdom</w:t>
      </w:r>
    </w:p>
    <w:p>
      <w:pPr>
        <w:spacing w:after="100"/>
      </w:pPr>
      <w:r>
        <w:rPr>
          <w:rFonts w:ascii="Arial" w:cs="Arial" w:eastAsia="Arial" w:hAnsi="Arial"/>
          <w:b w:val="false"/>
          <w:bCs w:val="false"/>
          <w:color w:val="595959"/>
          <w:sz w:val="20"/>
          <w:szCs w:val="20"/>
        </w:rPr>
        <w:t xml:space="preserve">UK universities are familiar with Ghanaian qualifications and evaluate transcripts directly — WES is NOT required. UK MSc programs are typically 1 year full-time, making them cost-efficient. Ghana is a Commonwealth member, which opens additional funding routes.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2000"/>
        <w:gridCol w:w="1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University</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Fees (Intl)</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Funding Options</w:t>
            </w:r>
          </w:p>
        </w:tc>
        <w:tc>
          <w:tcPr>
            <w:tcW w:type="dxa" w:w="1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Edinburgh</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in Data Science / Statistics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~£30,000/year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Commonwealth Scholarship; Edinburgh Global Scholarship</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Top-5 UK; 1 year; strong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King's College London (KCL)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Data 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~£34,500/year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KCL Graduate Scholarships; Commonwealth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6th UK for CS (QS 2025); capstone with Google, Meta</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LSE (London School of Economics)</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Data Science</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~£35,000/year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ESRC 1+3 funding (links to PhD)</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Capstone with top industry partners; research 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Manchester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Data 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~£27,500/year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President's Award; Commonwealth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Strong industry connections; 2-year post-study visa</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University of Leeds</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MSc Data Science / Statistics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~£24,000/year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Partial scholarships; Commonwealth</w:t>
            </w:r>
          </w:p>
        </w:tc>
        <w:tc>
          <w:tcPr>
            <w:tcW w:type="dxa" w:w="1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Affordable UK option; STEM visa eligible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Warwick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MSc Statistics / Data 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~£28,500/year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Warwick Chancellor's Scholarship</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Strong maths/stats tradition; research active</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UK-Specific Notes</w:t>
      </w:r>
    </w:p>
    <w:p>
      <w:pPr>
        <w:pStyle w:val="ListParagraph"/>
        <w:numPr>
          <w:ilvl w:val="0"/>
          <w:numId w:val="2"/>
        </w:numPr>
        <w:spacing w:after="80"/>
      </w:pPr>
      <w:r>
        <w:rPr>
          <w:rFonts w:ascii="Arial" w:cs="Arial" w:eastAsia="Arial" w:hAnsi="Arial"/>
          <w:b w:val="false"/>
          <w:bCs w:val="false"/>
          <w:sz w:val="20"/>
          <w:szCs w:val="20"/>
        </w:rPr>
        <w:t xml:space="preserve">UK's Graduate Route visa: Allows 2 years of post-study work (3 years for PhD) after graduation — very valuable for work experience.</w:t>
      </w:r>
    </w:p>
    <w:p>
      <w:pPr>
        <w:pStyle w:val="ListParagraph"/>
        <w:numPr>
          <w:ilvl w:val="0"/>
          <w:numId w:val="2"/>
        </w:numPr>
        <w:spacing w:after="80"/>
      </w:pPr>
      <w:r>
        <w:rPr>
          <w:rFonts w:ascii="Arial" w:cs="Arial" w:eastAsia="Arial" w:hAnsi="Arial"/>
          <w:b w:val="false"/>
          <w:bCs w:val="false"/>
          <w:sz w:val="20"/>
          <w:szCs w:val="20"/>
        </w:rPr>
        <w:t xml:space="preserve">Commonwealth Master's Scholarships: Fully-funded (tuition + stipend + airfare) for students from Commonwealth countries like Ghana. Apply separately through the Commonwealth Scholarship Commission.</w:t>
      </w:r>
    </w:p>
    <w:p>
      <w:pPr>
        <w:pStyle w:val="ListParagraph"/>
        <w:numPr>
          <w:ilvl w:val="0"/>
          <w:numId w:val="2"/>
        </w:numPr>
        <w:spacing w:after="80"/>
      </w:pPr>
      <w:r>
        <w:rPr>
          <w:rFonts w:ascii="Arial" w:cs="Arial" w:eastAsia="Arial" w:hAnsi="Arial"/>
          <w:b w:val="false"/>
          <w:bCs w:val="false"/>
          <w:sz w:val="20"/>
          <w:szCs w:val="20"/>
        </w:rPr>
        <w:t xml:space="preserve">UK universities accept official transcripts directly — NO WES required. Bring certified copies.</w:t>
      </w:r>
    </w:p>
    <w:p>
      <w:pPr>
        <w:pStyle w:val="ListParagraph"/>
        <w:numPr>
          <w:ilvl w:val="0"/>
          <w:numId w:val="2"/>
        </w:numPr>
        <w:spacing w:after="80"/>
      </w:pPr>
      <w:r>
        <w:rPr>
          <w:rFonts w:ascii="Arial" w:cs="Arial" w:eastAsia="Arial" w:hAnsi="Arial"/>
          <w:b w:val="false"/>
          <w:bCs w:val="false"/>
          <w:sz w:val="20"/>
          <w:szCs w:val="20"/>
        </w:rPr>
        <w:t xml:space="preserve">English proficiency: If your BSc was taught entirely in English (as at most Ghanaian public universities), many UK universities will waive IELTS — confirm with each institution.</w:t>
      </w:r>
    </w:p>
    <w:p>
      <w:pPr>
        <w:spacing w:after="120"/>
      </w:pPr>
      <w:r>
        <w:t xml:space="preserve"/>
      </w:r>
    </w:p>
    <w:p>
      <w:pPr>
        <w:pStyle w:val="Heading1"/>
        <w:spacing w:after="180" w:before="360"/>
      </w:pPr>
      <w:r>
        <w:rPr>
          <w:rFonts w:ascii="Arial" w:cs="Arial" w:eastAsia="Arial" w:hAnsi="Arial"/>
          <w:b/>
          <w:bCs/>
          <w:color w:val="1F3864"/>
          <w:sz w:val="28"/>
          <w:szCs w:val="28"/>
        </w:rPr>
        <w:t xml:space="preserve">SECTION 5: Actuarial Science Background — Fit Assessment</w:t>
      </w:r>
    </w:p>
    <w:p>
      <w:pPr>
        <w:spacing w:after="100"/>
      </w:pPr>
      <w:r>
        <w:rPr>
          <w:rFonts w:ascii="Arial" w:cs="Arial" w:eastAsia="Arial" w:hAnsi="Arial"/>
          <w:b w:val="false"/>
          <w:bCs w:val="false"/>
          <w:color w:val="000000"/>
          <w:sz w:val="20"/>
          <w:szCs w:val="20"/>
        </w:rPr>
        <w:t xml:space="preserve">Your BSc in Actuarial Science is an excellent foundation. Here is how it aligns with each program type: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 Type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Alignment with Actuarial Science</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Statistics</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Excellent — probability, stochastic processes, and inference are core to both fields</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Highlight relevant coursework (probability theory, regression, time series)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Applied Statistics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Very strong — actuarial methods overlap heavily with applied statistical modelling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Emphasize experience with risk models, survival analysis, and financial data</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Data Science</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Strong — quantitative foundation is a major advantage; may need to show programming skills</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Mention any Python/R/SQL experience; reference data-driven projects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 in Computer Science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Moderate — math is solid but CS foundations (algorithms, systems) may be lighter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Consider taking a Python or algorithms MOOC before applying; highlight analytical skills</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Application Strengthening Tips</w:t>
      </w:r>
    </w:p>
    <w:p>
      <w:pPr>
        <w:pStyle w:val="ListParagraph"/>
        <w:numPr>
          <w:ilvl w:val="0"/>
          <w:numId w:val="2"/>
        </w:numPr>
        <w:spacing w:after="80"/>
      </w:pPr>
      <w:r>
        <w:rPr>
          <w:rFonts w:ascii="Arial" w:cs="Arial" w:eastAsia="Arial" w:hAnsi="Arial"/>
          <w:b w:val="false"/>
          <w:bCs w:val="false"/>
          <w:sz w:val="20"/>
          <w:szCs w:val="20"/>
        </w:rPr>
        <w:t xml:space="preserve">Statement of Purpose: Connect actuarial background to data science — e.g., risk modelling, predictive analytics, financial forecasting.</w:t>
      </w:r>
    </w:p>
    <w:p>
      <w:pPr>
        <w:pStyle w:val="ListParagraph"/>
        <w:numPr>
          <w:ilvl w:val="0"/>
          <w:numId w:val="2"/>
        </w:numPr>
        <w:spacing w:after="80"/>
      </w:pPr>
      <w:r>
        <w:rPr>
          <w:rFonts w:ascii="Arial" w:cs="Arial" w:eastAsia="Arial" w:hAnsi="Arial"/>
          <w:b w:val="false"/>
          <w:bCs w:val="false"/>
          <w:sz w:val="20"/>
          <w:szCs w:val="20"/>
        </w:rPr>
        <w:t xml:space="preserve">Programming: Demonstrate Python and/or R skills (even through Coursera/edX certifications).</w:t>
      </w:r>
    </w:p>
    <w:p>
      <w:pPr>
        <w:pStyle w:val="ListParagraph"/>
        <w:numPr>
          <w:ilvl w:val="0"/>
          <w:numId w:val="2"/>
        </w:numPr>
        <w:spacing w:after="80"/>
      </w:pPr>
      <w:r>
        <w:rPr>
          <w:rFonts w:ascii="Arial" w:cs="Arial" w:eastAsia="Arial" w:hAnsi="Arial"/>
          <w:b w:val="false"/>
          <w:bCs w:val="false"/>
          <w:sz w:val="20"/>
          <w:szCs w:val="20"/>
        </w:rPr>
        <w:t xml:space="preserve">GRE: Not required at most listed universities — but a strong quant score (160+) could help at competitive programs.</w:t>
      </w:r>
    </w:p>
    <w:p>
      <w:pPr>
        <w:pStyle w:val="ListParagraph"/>
        <w:numPr>
          <w:ilvl w:val="0"/>
          <w:numId w:val="2"/>
        </w:numPr>
        <w:spacing w:after="80"/>
      </w:pPr>
      <w:r>
        <w:rPr>
          <w:rFonts w:ascii="Arial" w:cs="Arial" w:eastAsia="Arial" w:hAnsi="Arial"/>
          <w:b w:val="false"/>
          <w:bCs w:val="false"/>
          <w:sz w:val="20"/>
          <w:szCs w:val="20"/>
        </w:rPr>
        <w:t xml:space="preserve">Letters of Recommendation: Prioritize academic referees who can speak to your mathematical abilities.</w:t>
      </w:r>
    </w:p>
    <w:p>
      <w:pPr>
        <w:pStyle w:val="ListParagraph"/>
        <w:numPr>
          <w:ilvl w:val="0"/>
          <w:numId w:val="2"/>
        </w:numPr>
        <w:spacing w:after="80"/>
      </w:pPr>
      <w:r>
        <w:rPr>
          <w:rFonts w:ascii="Arial" w:cs="Arial" w:eastAsia="Arial" w:hAnsi="Arial"/>
          <w:b w:val="false"/>
          <w:bCs w:val="false"/>
          <w:sz w:val="20"/>
          <w:szCs w:val="20"/>
        </w:rPr>
        <w:t xml:space="preserve">Research: If possible, do a short research project or thesis at your home institution before applying.</w:t>
      </w:r>
    </w:p>
    <w:p>
      <w:pPr>
        <w:spacing w:after="120"/>
      </w:pPr>
      <w:r>
        <w:t xml:space="preserve"/>
      </w:r>
    </w:p>
    <w:p>
      <w:pPr>
        <w:pStyle w:val="Heading1"/>
        <w:spacing w:after="180" w:before="360"/>
      </w:pPr>
      <w:r>
        <w:rPr>
          <w:rFonts w:ascii="Arial" w:cs="Arial" w:eastAsia="Arial" w:hAnsi="Arial"/>
          <w:b/>
          <w:bCs/>
          <w:color w:val="1F3864"/>
          <w:sz w:val="28"/>
          <w:szCs w:val="28"/>
        </w:rPr>
        <w:t xml:space="preserve">SECTION 6: Quick Reference Summary</w:t>
      </w:r>
    </w:p>
    <w:p>
      <w:pPr>
        <w:pStyle w:val="Heading2"/>
        <w:spacing w:after="120" w:before="240"/>
      </w:pPr>
      <w:r>
        <w:rPr>
          <w:rFonts w:ascii="Arial" w:cs="Arial" w:eastAsia="Arial" w:hAnsi="Arial"/>
          <w:b/>
          <w:bCs/>
          <w:color w:val="2E75B6"/>
          <w:sz w:val="24"/>
          <w:szCs w:val="24"/>
        </w:rPr>
        <w:t xml:space="preserve">Best Bets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Top Recommendations</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Funding + No WES</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Oregon State, Colorado State, NC State (USA); Guelph, U of Toronto (Canada)</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Explicit no-WES policy + TA/RA available for thesis tracks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Lowest Cost / Tuition-Free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LMU Munich, TU Wien, University of Oslo, University of Bergen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tuition fees; DAAD funding available for Ghanaians</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Prestige + Scholarships</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ETH Zürich, University of Edinburgh, LSE, McGill</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World-class programs with merit-based awards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Commonwealth Pathway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University of Manchester, Leeds, Warwick, Edinburgh (UK)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Ghana is Commonwealth — fully-funded awards possible</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Actuarial Science Fit</w:t>
            </w:r>
          </w:p>
        </w:tc>
        <w:tc>
          <w:tcPr>
            <w:tcW w:type="dxa" w:w="4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MS in Statistics programs (any region)</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000000"/>
                <w:sz w:val="18"/>
                <w:szCs w:val="18"/>
              </w:rPr>
              <w:t xml:space="preserve">Closest curriculum match; strong competitive advantage</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Application Timeline Recommendation</w:t>
      </w:r>
    </w:p>
    <w:p>
      <w:pPr>
        <w:pStyle w:val="ListParagraph"/>
        <w:numPr>
          <w:ilvl w:val="0"/>
          <w:numId w:val="2"/>
        </w:numPr>
        <w:spacing w:after="80"/>
      </w:pPr>
      <w:r>
        <w:rPr>
          <w:rFonts w:ascii="Arial" w:cs="Arial" w:eastAsia="Arial" w:hAnsi="Arial"/>
          <w:b w:val="false"/>
          <w:bCs w:val="false"/>
          <w:sz w:val="20"/>
          <w:szCs w:val="20"/>
        </w:rPr>
        <w:t xml:space="preserve">September–October: Research programs, contact professors (for research-track programs), start SOP drafting</w:t>
      </w:r>
    </w:p>
    <w:p>
      <w:pPr>
        <w:pStyle w:val="ListParagraph"/>
        <w:numPr>
          <w:ilvl w:val="0"/>
          <w:numId w:val="2"/>
        </w:numPr>
        <w:spacing w:after="80"/>
      </w:pPr>
      <w:r>
        <w:rPr>
          <w:rFonts w:ascii="Arial" w:cs="Arial" w:eastAsia="Arial" w:hAnsi="Arial"/>
          <w:b w:val="false"/>
          <w:bCs w:val="false"/>
          <w:sz w:val="20"/>
          <w:szCs w:val="20"/>
        </w:rPr>
        <w:t xml:space="preserve">October–November: Apply for Commonwealth Scholarships (UK) and DAAD (Germany) — these have early deadlines</w:t>
      </w:r>
    </w:p>
    <w:p>
      <w:pPr>
        <w:pStyle w:val="ListParagraph"/>
        <w:numPr>
          <w:ilvl w:val="0"/>
          <w:numId w:val="2"/>
        </w:numPr>
        <w:spacing w:after="80"/>
      </w:pPr>
      <w:r>
        <w:rPr>
          <w:rFonts w:ascii="Arial" w:cs="Arial" w:eastAsia="Arial" w:hAnsi="Arial"/>
          <w:b w:val="false"/>
          <w:bCs w:val="false"/>
          <w:sz w:val="20"/>
          <w:szCs w:val="20"/>
        </w:rPr>
        <w:t xml:space="preserve">November–January: Submit US/Canada applications (most deadlines Dec 1 – Jan 31)</w:t>
      </w:r>
    </w:p>
    <w:p>
      <w:pPr>
        <w:pStyle w:val="ListParagraph"/>
        <w:numPr>
          <w:ilvl w:val="0"/>
          <w:numId w:val="2"/>
        </w:numPr>
        <w:spacing w:after="80"/>
      </w:pPr>
      <w:r>
        <w:rPr>
          <w:rFonts w:ascii="Arial" w:cs="Arial" w:eastAsia="Arial" w:hAnsi="Arial"/>
          <w:b w:val="false"/>
          <w:bCs w:val="false"/>
          <w:sz w:val="20"/>
          <w:szCs w:val="20"/>
        </w:rPr>
        <w:t xml:space="preserve">January–March: Submit UK and European applications</w:t>
      </w:r>
    </w:p>
    <w:p>
      <w:pPr>
        <w:pStyle w:val="ListParagraph"/>
        <w:numPr>
          <w:ilvl w:val="0"/>
          <w:numId w:val="2"/>
        </w:numPr>
        <w:spacing w:after="80"/>
      </w:pPr>
      <w:r>
        <w:rPr>
          <w:rFonts w:ascii="Arial" w:cs="Arial" w:eastAsia="Arial" w:hAnsi="Arial"/>
          <w:b w:val="false"/>
          <w:bCs w:val="false"/>
          <w:sz w:val="20"/>
          <w:szCs w:val="20"/>
        </w:rPr>
        <w:t xml:space="preserve">April–June: Receive decisions; compare funding offers; apply for student visa</w:t>
      </w:r>
    </w:p>
    <w:p>
      <w:pPr>
        <w:spacing w:after="120"/>
      </w:pPr>
      <w:r>
        <w:t xml:space="preserve"/>
      </w:r>
    </w:p>
    <w:p>
      <w:pPr>
        <w:pBdr>
          <w:top w:val="single" w:color="CCCCCC" w:sz="4"/>
        </w:pBdr>
        <w:spacing w:after="60" w:before="240"/>
      </w:pPr>
      <w:r>
        <w:rPr>
          <w:rFonts w:ascii="Arial" w:cs="Arial" w:eastAsia="Arial" w:hAnsi="Arial"/>
          <w:color w:val="808080"/>
          <w:sz w:val="18"/>
          <w:szCs w:val="18"/>
        </w:rPr>
        <w:t xml:space="preserve">Disclaimer: Admission requirements, tuition fees, and funding availability change regularly. Always verify details directly on each university's official website before applying. This guide reflects information available as of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2026-06-23T09:49:04.760Z</dcterms:created>
  <dcterms:modified xsi:type="dcterms:W3CDTF">2026-06-23T09:49:04.760Z</dcterms:modified>
</cp:coreProperties>
</file>

<file path=docProps/custom.xml><?xml version="1.0" encoding="utf-8"?>
<Properties xmlns="http://schemas.openxmlformats.org/officeDocument/2006/custom-properties" xmlns:vt="http://schemas.openxmlformats.org/officeDocument/2006/docPropsVTypes"/>
</file>