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A38" w:rsidRDefault="00162802" w:rsidP="00A848D1">
      <w:pPr>
        <w:pStyle w:val="Title"/>
      </w:pPr>
      <w:r>
        <w:t xml:space="preserve">Interfacing </w:t>
      </w:r>
      <w:r w:rsidR="00EB2F47">
        <w:t xml:space="preserve">SciScan </w:t>
      </w:r>
      <w:r>
        <w:t xml:space="preserve">with other </w:t>
      </w:r>
      <w:r w:rsidR="006B180C">
        <w:t>A</w:t>
      </w:r>
      <w:r>
        <w:t>pplications using</w:t>
      </w:r>
      <w:r w:rsidR="00EB2F47">
        <w:t xml:space="preserve"> ActiveX</w:t>
      </w:r>
    </w:p>
    <w:p w:rsidR="00A848D1" w:rsidRDefault="00A848D1" w:rsidP="007F4859">
      <w:pPr>
        <w:spacing w:line="360" w:lineRule="auto"/>
      </w:pPr>
    </w:p>
    <w:p w:rsidR="00EB2F47" w:rsidRDefault="00EB2F47" w:rsidP="007F4859">
      <w:pPr>
        <w:spacing w:line="360" w:lineRule="auto"/>
      </w:pPr>
      <w:r>
        <w:t xml:space="preserve">This document outlines the technique used to </w:t>
      </w:r>
      <w:r w:rsidR="00923263">
        <w:t xml:space="preserve">set and get </w:t>
      </w:r>
      <w:r>
        <w:t xml:space="preserve">SciScan software </w:t>
      </w:r>
      <w:r w:rsidR="00923263">
        <w:t>variables from other</w:t>
      </w:r>
      <w:r>
        <w:t xml:space="preserve"> application</w:t>
      </w:r>
      <w:r w:rsidR="00923263">
        <w:t>s</w:t>
      </w:r>
      <w:r w:rsidR="00162802">
        <w:t>. This has been tested with MATLAB and Python</w:t>
      </w:r>
      <w:r w:rsidR="00A848D1">
        <w:t>.</w:t>
      </w:r>
      <w:r>
        <w:t xml:space="preserve"> </w:t>
      </w:r>
      <w:r w:rsidR="00162802">
        <w:t xml:space="preserve">Please refer to the </w:t>
      </w:r>
      <w:r w:rsidR="00923263">
        <w:t xml:space="preserve">relevant </w:t>
      </w:r>
      <w:r w:rsidR="00162802">
        <w:t xml:space="preserve">example script files </w:t>
      </w:r>
      <w:r w:rsidR="00B44A1D">
        <w:t>(.m or .py)</w:t>
      </w:r>
      <w:r w:rsidR="00B44A1D">
        <w:t xml:space="preserve"> </w:t>
      </w:r>
      <w:r w:rsidR="00162802">
        <w:t>for the application you are interested in</w:t>
      </w:r>
      <w:r w:rsidR="00923263">
        <w:t>t.</w:t>
      </w:r>
      <w:r w:rsidR="00795D6E">
        <w:t xml:space="preserve"> These examples should be easily adaptable to other programming languages that support ActiveX.</w:t>
      </w:r>
    </w:p>
    <w:p w:rsidR="00902844" w:rsidRDefault="00902844" w:rsidP="00902844">
      <w:pPr>
        <w:pStyle w:val="Heading1"/>
        <w:spacing w:line="360" w:lineRule="auto"/>
      </w:pPr>
      <w:r>
        <w:t>Points to note:</w:t>
      </w:r>
    </w:p>
    <w:p w:rsidR="00902844" w:rsidRDefault="00902844" w:rsidP="00902844">
      <w:pPr>
        <w:pStyle w:val="ListParagraph"/>
        <w:numPr>
          <w:ilvl w:val="0"/>
          <w:numId w:val="7"/>
        </w:numPr>
        <w:spacing w:after="0" w:line="360" w:lineRule="auto"/>
      </w:pPr>
      <w:r w:rsidRPr="007D0808">
        <w:rPr>
          <w:i/>
        </w:rPr>
        <w:t>GFG_Translator.vi</w:t>
      </w:r>
      <w:r w:rsidRPr="00616981">
        <w:t xml:space="preserve"> should NOT </w:t>
      </w:r>
      <w:r>
        <w:t xml:space="preserve">be </w:t>
      </w:r>
      <w:r w:rsidRPr="00616981">
        <w:t xml:space="preserve">added to the LabVIEW project of SciScan (or any other project). Calling a VI inside a project </w:t>
      </w:r>
      <w:r>
        <w:t>using this technique</w:t>
      </w:r>
      <w:r w:rsidRPr="00616981">
        <w:t xml:space="preserve"> crash</w:t>
      </w:r>
      <w:r>
        <w:t>es</w:t>
      </w:r>
      <w:r w:rsidRPr="00616981">
        <w:t xml:space="preserve"> LabVIEW</w:t>
      </w:r>
    </w:p>
    <w:p w:rsidR="00902844" w:rsidRDefault="00902844" w:rsidP="00902844">
      <w:pPr>
        <w:pStyle w:val="ListParagraph"/>
        <w:numPr>
          <w:ilvl w:val="0"/>
          <w:numId w:val="7"/>
        </w:numPr>
        <w:spacing w:after="0" w:line="360" w:lineRule="auto"/>
      </w:pPr>
      <w:r w:rsidRPr="00902844">
        <w:rPr>
          <w:i/>
        </w:rPr>
        <w:t>FOCUS</w:t>
      </w:r>
      <w:r>
        <w:t xml:space="preserve">, </w:t>
      </w:r>
      <w:r w:rsidRPr="00902844">
        <w:rPr>
          <w:i/>
        </w:rPr>
        <w:t>Record</w:t>
      </w:r>
      <w:r>
        <w:t xml:space="preserve"> and </w:t>
      </w:r>
      <w:r w:rsidRPr="00902844">
        <w:rPr>
          <w:i/>
        </w:rPr>
        <w:t>Cancel</w:t>
      </w:r>
      <w:r>
        <w:t xml:space="preserve"> cannot be set using the standard set method for Booleans due to restrictions enforced in SciScan.</w:t>
      </w:r>
      <w:r>
        <w:t xml:space="preserve"> Please see the separate examples below to programmatically control </w:t>
      </w:r>
      <w:r w:rsidRPr="00902844">
        <w:rPr>
          <w:i/>
        </w:rPr>
        <w:t>FOCUS</w:t>
      </w:r>
      <w:r>
        <w:t xml:space="preserve">, </w:t>
      </w:r>
      <w:r w:rsidRPr="00902844">
        <w:rPr>
          <w:i/>
        </w:rPr>
        <w:t>Record</w:t>
      </w:r>
      <w:r>
        <w:t xml:space="preserve"> and </w:t>
      </w:r>
      <w:r w:rsidRPr="00902844">
        <w:rPr>
          <w:i/>
        </w:rPr>
        <w:t>Cancel</w:t>
      </w:r>
      <w:r>
        <w:t>.</w:t>
      </w:r>
    </w:p>
    <w:p w:rsidR="00902844" w:rsidRDefault="00902844" w:rsidP="00902844">
      <w:pPr>
        <w:pStyle w:val="ListParagraph"/>
        <w:spacing w:after="0" w:line="360" w:lineRule="auto"/>
      </w:pPr>
    </w:p>
    <w:p w:rsidR="00E67782" w:rsidRDefault="00E67782" w:rsidP="00E67782">
      <w:pPr>
        <w:spacing w:line="360" w:lineRule="auto"/>
      </w:pPr>
      <w:r>
        <w:t xml:space="preserve">The state of the different components in SciScan are stored in a Generalized Functional Global variable (GFG) named GFG_Core.vi. To access </w:t>
      </w:r>
      <w:r>
        <w:t xml:space="preserve">this </w:t>
      </w:r>
      <w:r>
        <w:t xml:space="preserve">data </w:t>
      </w:r>
      <w:r>
        <w:t>(read/write)</w:t>
      </w:r>
      <w:r>
        <w:t xml:space="preserve"> from </w:t>
      </w:r>
      <w:r w:rsidRPr="00595869">
        <w:rPr>
          <w:u w:val="single"/>
        </w:rPr>
        <w:t>outside</w:t>
      </w:r>
      <w:r>
        <w:t xml:space="preserve"> the project, a ‘middleman’ </w:t>
      </w:r>
      <w:r w:rsidRPr="00A848D1">
        <w:rPr>
          <w:i/>
        </w:rPr>
        <w:t>VI</w:t>
      </w:r>
      <w:r>
        <w:t xml:space="preserve"> called </w:t>
      </w:r>
      <w:r w:rsidRPr="00A848D1">
        <w:rPr>
          <w:i/>
        </w:rPr>
        <w:t>GFGTranslator.vi</w:t>
      </w:r>
      <w:r>
        <w:t xml:space="preserve"> is made available. </w:t>
      </w:r>
    </w:p>
    <w:p w:rsidR="00E67782" w:rsidRPr="00E67782" w:rsidRDefault="007D0808" w:rsidP="007F4859">
      <w:pPr>
        <w:spacing w:line="360" w:lineRule="auto"/>
        <w:rPr>
          <w:i/>
        </w:rPr>
      </w:pPr>
      <w:r w:rsidRPr="00616981">
        <w:rPr>
          <w:b/>
        </w:rPr>
        <w:t>[</w:t>
      </w:r>
      <w:r>
        <w:rPr>
          <w:b/>
        </w:rPr>
        <w:t>Note</w:t>
      </w:r>
      <w:r w:rsidR="00E67782" w:rsidRPr="00E67782">
        <w:rPr>
          <w:b/>
        </w:rPr>
        <w:t xml:space="preserve"> for advanced users</w:t>
      </w:r>
      <w:r w:rsidR="00E67782">
        <w:t>:</w:t>
      </w:r>
    </w:p>
    <w:p w:rsidR="002F18C7" w:rsidRDefault="00595869" w:rsidP="007F4859">
      <w:pPr>
        <w:spacing w:line="360" w:lineRule="auto"/>
      </w:pPr>
      <w:r w:rsidRPr="00E67782">
        <w:rPr>
          <w:i/>
        </w:rPr>
        <w:t xml:space="preserve">To access data stored in GFG_Core.vi in SciScan </w:t>
      </w:r>
      <w:r w:rsidR="008F24E8" w:rsidRPr="00E67782">
        <w:rPr>
          <w:i/>
        </w:rPr>
        <w:t xml:space="preserve">from </w:t>
      </w:r>
      <w:r w:rsidRPr="00E67782">
        <w:rPr>
          <w:i/>
          <w:u w:val="single"/>
        </w:rPr>
        <w:t>outside</w:t>
      </w:r>
      <w:r w:rsidRPr="00E67782">
        <w:rPr>
          <w:i/>
        </w:rPr>
        <w:t xml:space="preserve"> the project, it is required to use the reference number of the GFG_Core</w:t>
      </w:r>
      <w:r w:rsidR="00BA4244" w:rsidRPr="00E67782">
        <w:rPr>
          <w:i/>
        </w:rPr>
        <w:t>,</w:t>
      </w:r>
      <w:r w:rsidRPr="00E67782">
        <w:rPr>
          <w:i/>
        </w:rPr>
        <w:t xml:space="preserve"> which gets written into a file &lt;SciScan application path&gt;\GFG\GFG_core.ref when SciScan starts up.</w:t>
      </w:r>
      <w:r w:rsidR="00E67782" w:rsidRPr="00E67782">
        <w:rPr>
          <w:i/>
        </w:rPr>
        <w:t xml:space="preserve"> Internally, the GFGTranslator.vi uses this reference number to gain access to the GFG_Core.vi.  Please refer to the LabVIEW code </w:t>
      </w:r>
      <w:r w:rsidR="0079013C">
        <w:rPr>
          <w:i/>
        </w:rPr>
        <w:t xml:space="preserve">of GFGTranslator.vi </w:t>
      </w:r>
      <w:r w:rsidR="00E67782" w:rsidRPr="00E67782">
        <w:rPr>
          <w:i/>
        </w:rPr>
        <w:t>for more details</w:t>
      </w:r>
      <w:r w:rsidR="007D0808">
        <w:rPr>
          <w:i/>
        </w:rPr>
        <w:t xml:space="preserve">. </w:t>
      </w:r>
      <w:r w:rsidR="00E67782" w:rsidRPr="00616981">
        <w:rPr>
          <w:b/>
        </w:rPr>
        <w:t>]</w:t>
      </w:r>
    </w:p>
    <w:p w:rsidR="00902844" w:rsidRDefault="00902844" w:rsidP="007F4859">
      <w:pPr>
        <w:spacing w:line="360" w:lineRule="auto"/>
      </w:pPr>
    </w:p>
    <w:p w:rsidR="00A848D1" w:rsidRPr="00595869" w:rsidRDefault="00616981" w:rsidP="00902844">
      <w:pPr>
        <w:pStyle w:val="Heading1"/>
      </w:pPr>
      <w:r w:rsidRPr="00A848D1">
        <w:rPr>
          <w:i/>
        </w:rPr>
        <w:t>GFGTranslator.vi</w:t>
      </w:r>
      <w:r>
        <w:t xml:space="preserve"> </w:t>
      </w:r>
      <w:r w:rsidR="00902844">
        <w:t>usage instructions:</w:t>
      </w:r>
    </w:p>
    <w:p w:rsidR="002F18C7" w:rsidRPr="00616981" w:rsidRDefault="002F18C7" w:rsidP="007F4859">
      <w:pPr>
        <w:spacing w:after="0" w:line="360" w:lineRule="auto"/>
      </w:pPr>
    </w:p>
    <w:p w:rsidR="00616981" w:rsidRPr="00616981" w:rsidRDefault="00616981" w:rsidP="00616981">
      <w:pPr>
        <w:pStyle w:val="ListParagraph"/>
        <w:numPr>
          <w:ilvl w:val="0"/>
          <w:numId w:val="1"/>
        </w:numPr>
        <w:spacing w:after="0" w:line="360" w:lineRule="auto"/>
        <w:rPr>
          <w:b/>
        </w:rPr>
      </w:pPr>
      <w:r>
        <w:t xml:space="preserve">Using </w:t>
      </w:r>
      <w:r w:rsidRPr="00616981">
        <w:rPr>
          <w:u w:val="single"/>
        </w:rPr>
        <w:t>windows explorer</w:t>
      </w:r>
      <w:r>
        <w:t>, ensure that</w:t>
      </w:r>
      <w:r w:rsidR="00B77FDF">
        <w:t xml:space="preserve"> </w:t>
      </w:r>
      <w:r w:rsidR="002F18C7" w:rsidRPr="002F18C7">
        <w:t xml:space="preserve">GFGTranslator.vi </w:t>
      </w:r>
      <w:r>
        <w:t xml:space="preserve">is present in your SciScan root folder. Note that this will NOT be visible in your </w:t>
      </w:r>
      <w:r w:rsidRPr="00702596">
        <w:rPr>
          <w:i/>
        </w:rPr>
        <w:t>Sci_Scan.lvproj</w:t>
      </w:r>
      <w:r>
        <w:t xml:space="preserve"> LabVIEW project. </w:t>
      </w:r>
      <w:r w:rsidRPr="00616981">
        <w:t xml:space="preserve"> It </w:t>
      </w:r>
      <w:r w:rsidRPr="00702596">
        <w:rPr>
          <w:u w:val="single"/>
        </w:rPr>
        <w:t>should</w:t>
      </w:r>
      <w:r w:rsidRPr="00702596">
        <w:rPr>
          <w:u w:val="single"/>
        </w:rPr>
        <w:t xml:space="preserve"> NOT</w:t>
      </w:r>
      <w:r w:rsidRPr="00616981">
        <w:t xml:space="preserve"> </w:t>
      </w:r>
      <w:r>
        <w:t xml:space="preserve">be </w:t>
      </w:r>
      <w:r w:rsidRPr="00616981">
        <w:t xml:space="preserve">added to the SciScan </w:t>
      </w:r>
      <w:r w:rsidR="00702596">
        <w:t xml:space="preserve">project </w:t>
      </w:r>
      <w:r w:rsidRPr="00616981">
        <w:t xml:space="preserve">(or any other project). Calling a VI inside a project </w:t>
      </w:r>
      <w:r>
        <w:t>using this technique</w:t>
      </w:r>
      <w:r w:rsidRPr="00616981">
        <w:t xml:space="preserve"> crash</w:t>
      </w:r>
      <w:r>
        <w:t>es</w:t>
      </w:r>
      <w:r w:rsidRPr="00616981">
        <w:t xml:space="preserve"> LabVIEW</w:t>
      </w:r>
    </w:p>
    <w:p w:rsidR="00BD4D75" w:rsidRDefault="00BD4D75" w:rsidP="00694233">
      <w:pPr>
        <w:pStyle w:val="ListParagraph"/>
        <w:numPr>
          <w:ilvl w:val="0"/>
          <w:numId w:val="1"/>
        </w:numPr>
        <w:spacing w:after="0" w:line="360" w:lineRule="auto"/>
      </w:pPr>
      <w:r>
        <w:lastRenderedPageBreak/>
        <w:t>Run SciScan</w:t>
      </w:r>
    </w:p>
    <w:p w:rsidR="0055232F" w:rsidRDefault="0055232F" w:rsidP="0055232F">
      <w:pPr>
        <w:pStyle w:val="ListParagraph"/>
        <w:spacing w:after="0" w:line="360" w:lineRule="auto"/>
      </w:pPr>
    </w:p>
    <w:p w:rsidR="002F18C7" w:rsidRDefault="00BD4D75" w:rsidP="007F4859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Open the </w:t>
      </w:r>
      <w:r w:rsidR="00616981">
        <w:t>script file (P</w:t>
      </w:r>
      <w:r>
        <w:t>ython</w:t>
      </w:r>
      <w:r w:rsidR="00616981">
        <w:t>/MATLAB)</w:t>
      </w:r>
      <w:r>
        <w:t xml:space="preserve"> and</w:t>
      </w:r>
      <w:r w:rsidR="002F18C7" w:rsidRPr="002F18C7">
        <w:t xml:space="preserve"> </w:t>
      </w:r>
      <w:r w:rsidR="00FF0466">
        <w:t xml:space="preserve">make the following changes: </w:t>
      </w:r>
    </w:p>
    <w:p w:rsidR="00BD4D75" w:rsidRDefault="00BD4D75" w:rsidP="007F4859">
      <w:pPr>
        <w:pStyle w:val="ListParagraph"/>
        <w:numPr>
          <w:ilvl w:val="0"/>
          <w:numId w:val="2"/>
        </w:numPr>
        <w:spacing w:after="0" w:line="360" w:lineRule="auto"/>
      </w:pPr>
      <w:r>
        <w:t>Set the path to the GFG_translator</w:t>
      </w:r>
      <w:r w:rsidR="00FF0466">
        <w:t>.vi</w:t>
      </w:r>
      <w:r w:rsidR="00795D6E">
        <w:t xml:space="preserve"> </w:t>
      </w:r>
    </w:p>
    <w:p w:rsidR="00616981" w:rsidRDefault="00616981" w:rsidP="00616981">
      <w:pPr>
        <w:pStyle w:val="ListParagraph"/>
        <w:numPr>
          <w:ilvl w:val="0"/>
          <w:numId w:val="4"/>
        </w:numPr>
        <w:spacing w:after="0" w:line="360" w:lineRule="auto"/>
      </w:pPr>
      <w:r>
        <w:t>Python  Example</w:t>
      </w:r>
    </w:p>
    <w:p w:rsidR="00FF0466" w:rsidRDefault="00616981" w:rsidP="0055232F">
      <w:pPr>
        <w:pStyle w:val="ListParagraph"/>
        <w:spacing w:after="0" w:line="36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842662" cy="748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421" cy="76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981" w:rsidRDefault="00616981" w:rsidP="00616981">
      <w:pPr>
        <w:pStyle w:val="ListParagraph"/>
        <w:numPr>
          <w:ilvl w:val="0"/>
          <w:numId w:val="4"/>
        </w:numPr>
        <w:spacing w:after="0" w:line="360" w:lineRule="auto"/>
      </w:pPr>
      <w:r>
        <w:t>MATLAB Example</w:t>
      </w:r>
    </w:p>
    <w:p w:rsidR="00616981" w:rsidRDefault="00616981" w:rsidP="0055232F">
      <w:pPr>
        <w:pStyle w:val="ListParagraph"/>
        <w:spacing w:after="0" w:line="360" w:lineRule="auto"/>
        <w:jc w:val="center"/>
      </w:pPr>
      <w:r>
        <w:rPr>
          <w:noProof/>
          <w:lang w:eastAsia="en-GB"/>
        </w:rPr>
        <w:drawing>
          <wp:inline distT="0" distB="0" distL="0" distR="0">
            <wp:extent cx="4820716" cy="8431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92" cy="85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2F" w:rsidRDefault="0055232F" w:rsidP="00616981">
      <w:pPr>
        <w:pStyle w:val="ListParagraph"/>
        <w:spacing w:after="0" w:line="360" w:lineRule="auto"/>
        <w:ind w:left="0"/>
        <w:jc w:val="center"/>
      </w:pPr>
    </w:p>
    <w:p w:rsidR="00E77C40" w:rsidRDefault="00982C41" w:rsidP="008E15ED">
      <w:pPr>
        <w:pStyle w:val="ListParagraph"/>
        <w:numPr>
          <w:ilvl w:val="0"/>
          <w:numId w:val="2"/>
        </w:numPr>
        <w:spacing w:after="0" w:line="360" w:lineRule="auto"/>
      </w:pPr>
      <w:r>
        <w:t>Navigate to the</w:t>
      </w:r>
      <w:r w:rsidR="00FF0466" w:rsidRPr="002F18C7">
        <w:t xml:space="preserve"> code snippet </w:t>
      </w:r>
      <w:r>
        <w:t xml:space="preserve">relevant to the </w:t>
      </w:r>
      <w:r>
        <w:t>action (</w:t>
      </w:r>
      <w:r w:rsidRPr="00E77C40">
        <w:rPr>
          <w:i/>
        </w:rPr>
        <w:t>get, set</w:t>
      </w:r>
      <w:r>
        <w:t>)</w:t>
      </w:r>
      <w:r>
        <w:t xml:space="preserve"> and data type (</w:t>
      </w:r>
      <w:r w:rsidRPr="00E77C40">
        <w:rPr>
          <w:i/>
        </w:rPr>
        <w:t>string, path, numeric, boolean, booleanref, all, variant (Read Only), image (Read Only)</w:t>
      </w:r>
      <w:r>
        <w:t xml:space="preserve">). </w:t>
      </w:r>
      <w:r w:rsidR="00FF0466" w:rsidRPr="002F18C7">
        <w:t>Read examples</w:t>
      </w:r>
      <w:r>
        <w:t xml:space="preserve"> (“Get”)</w:t>
      </w:r>
      <w:r w:rsidR="00FF0466" w:rsidRPr="002F18C7">
        <w:t xml:space="preserve"> can</w:t>
      </w:r>
      <w:r w:rsidR="00FF0466">
        <w:t xml:space="preserve"> </w:t>
      </w:r>
      <w:r w:rsidR="00FF0466" w:rsidRPr="002F18C7">
        <w:t>be found in '</w:t>
      </w:r>
      <w:r w:rsidR="002E2B5D">
        <w:t xml:space="preserve">Example </w:t>
      </w:r>
      <w:r w:rsidR="00FF0466" w:rsidRPr="002F18C7">
        <w:t xml:space="preserve">A' and write examples </w:t>
      </w:r>
      <w:r>
        <w:t xml:space="preserve">(“Set”) </w:t>
      </w:r>
      <w:r w:rsidR="00FF0466" w:rsidRPr="002F18C7">
        <w:t>can be found in '</w:t>
      </w:r>
      <w:r w:rsidR="002E2B5D">
        <w:t xml:space="preserve">Example </w:t>
      </w:r>
      <w:r>
        <w:t>B'.</w:t>
      </w:r>
    </w:p>
    <w:p w:rsidR="00DB7811" w:rsidRDefault="00DB7811" w:rsidP="00DB7811">
      <w:pPr>
        <w:pStyle w:val="ListParagraph"/>
        <w:numPr>
          <w:ilvl w:val="0"/>
          <w:numId w:val="5"/>
        </w:numPr>
        <w:spacing w:after="0" w:line="360" w:lineRule="auto"/>
      </w:pPr>
      <w:r>
        <w:t>Python Example</w:t>
      </w:r>
    </w:p>
    <w:p w:rsidR="0055232F" w:rsidRDefault="00FF0466" w:rsidP="00E77C40">
      <w:pPr>
        <w:pStyle w:val="ListParagraph"/>
        <w:spacing w:after="0" w:line="360" w:lineRule="auto"/>
        <w:ind w:left="0"/>
        <w:jc w:val="center"/>
      </w:pPr>
      <w:r>
        <w:rPr>
          <w:noProof/>
          <w:lang w:eastAsia="en-GB"/>
        </w:rPr>
        <w:drawing>
          <wp:inline distT="0" distB="0" distL="0" distR="0">
            <wp:extent cx="4027057" cy="3986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57" cy="406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32F">
        <w:br w:type="page"/>
      </w:r>
    </w:p>
    <w:p w:rsidR="00DB7811" w:rsidRDefault="00DB7811" w:rsidP="0055232F">
      <w:pPr>
        <w:pStyle w:val="ListParagraph"/>
        <w:numPr>
          <w:ilvl w:val="0"/>
          <w:numId w:val="5"/>
        </w:numPr>
        <w:spacing w:after="0" w:line="360" w:lineRule="auto"/>
      </w:pPr>
      <w:r>
        <w:lastRenderedPageBreak/>
        <w:t>MATLAB example</w:t>
      </w:r>
    </w:p>
    <w:p w:rsidR="0055232F" w:rsidRDefault="0055232F" w:rsidP="0055232F">
      <w:pPr>
        <w:pStyle w:val="ListParagraph"/>
        <w:spacing w:after="0" w:line="360" w:lineRule="auto"/>
        <w:ind w:left="0"/>
        <w:jc w:val="center"/>
        <w:rPr>
          <w:noProof/>
          <w:lang w:eastAsia="en-GB"/>
        </w:rPr>
      </w:pPr>
    </w:p>
    <w:p w:rsidR="0055232F" w:rsidRDefault="0055232F" w:rsidP="0055232F">
      <w:pPr>
        <w:pStyle w:val="ListParagraph"/>
        <w:spacing w:after="0" w:line="360" w:lineRule="auto"/>
        <w:ind w:left="360"/>
        <w:jc w:val="center"/>
      </w:pPr>
      <w:r>
        <w:rPr>
          <w:noProof/>
          <w:lang w:eastAsia="en-GB"/>
        </w:rPr>
        <w:drawing>
          <wp:inline distT="0" distB="0" distL="0" distR="0">
            <wp:extent cx="5288915" cy="4857115"/>
            <wp:effectExtent l="0" t="0" r="698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2F" w:rsidRDefault="0055232F" w:rsidP="0055232F">
      <w:pPr>
        <w:pStyle w:val="ListParagraph"/>
        <w:spacing w:after="0" w:line="360" w:lineRule="auto"/>
        <w:ind w:left="360"/>
        <w:jc w:val="center"/>
      </w:pPr>
    </w:p>
    <w:p w:rsidR="007D0808" w:rsidRDefault="00982C41" w:rsidP="0055232F">
      <w:pPr>
        <w:pStyle w:val="ListParagraph"/>
        <w:numPr>
          <w:ilvl w:val="0"/>
          <w:numId w:val="1"/>
        </w:numPr>
        <w:spacing w:after="0" w:line="360" w:lineRule="auto"/>
      </w:pPr>
      <w:r>
        <w:t>Un-comment the relevant code snippet and r</w:t>
      </w:r>
      <w:r w:rsidR="0055232F">
        <w:t>un the Script</w:t>
      </w:r>
      <w:r>
        <w:t xml:space="preserve"> to</w:t>
      </w:r>
      <w:r w:rsidR="0055232F">
        <w:t xml:space="preserve"> execute the selected example. </w:t>
      </w:r>
    </w:p>
    <w:p w:rsidR="007D0808" w:rsidRDefault="007D0808" w:rsidP="007D0808">
      <w:pPr>
        <w:pStyle w:val="ListParagraph"/>
        <w:spacing w:after="0" w:line="360" w:lineRule="auto"/>
      </w:pPr>
    </w:p>
    <w:p w:rsidR="007F4859" w:rsidRDefault="007D0808" w:rsidP="0055232F">
      <w:pPr>
        <w:pStyle w:val="ListParagraph"/>
        <w:numPr>
          <w:ilvl w:val="0"/>
          <w:numId w:val="1"/>
        </w:numPr>
        <w:spacing w:after="0" w:line="360" w:lineRule="auto"/>
      </w:pPr>
      <w:r>
        <w:t>Once you are familiar with the calling conventions for the different data types, y</w:t>
      </w:r>
      <w:r w:rsidR="0055232F">
        <w:t xml:space="preserve">ou can </w:t>
      </w:r>
      <w:r w:rsidR="00982C41">
        <w:t>modify the examples and incorporate them into your own</w:t>
      </w:r>
      <w:r w:rsidR="0055232F">
        <w:t xml:space="preserve"> </w:t>
      </w:r>
      <w:r>
        <w:t xml:space="preserve">code </w:t>
      </w:r>
      <w:r w:rsidR="0055232F">
        <w:t xml:space="preserve">to control SciScan from </w:t>
      </w:r>
      <w:r>
        <w:t xml:space="preserve">within </w:t>
      </w:r>
      <w:r w:rsidR="0055232F">
        <w:t xml:space="preserve">your </w:t>
      </w:r>
      <w:r>
        <w:t>existing work flow</w:t>
      </w:r>
    </w:p>
    <w:p w:rsidR="00902844" w:rsidRDefault="00902844" w:rsidP="00902844">
      <w:pPr>
        <w:pStyle w:val="Heading1"/>
        <w:spacing w:line="360" w:lineRule="auto"/>
      </w:pPr>
      <w:r w:rsidRPr="00902844">
        <w:rPr>
          <w:i/>
        </w:rPr>
        <w:t>FOCUS</w:t>
      </w:r>
      <w:r w:rsidRPr="00902844">
        <w:t xml:space="preserve">, </w:t>
      </w:r>
      <w:r w:rsidRPr="00902844">
        <w:rPr>
          <w:i/>
        </w:rPr>
        <w:t>Record</w:t>
      </w:r>
      <w:r w:rsidRPr="00902844">
        <w:t xml:space="preserve"> and </w:t>
      </w:r>
      <w:r w:rsidRPr="00902844">
        <w:rPr>
          <w:i/>
        </w:rPr>
        <w:t>Cancel</w:t>
      </w:r>
      <w:r w:rsidRPr="00902844">
        <w:t xml:space="preserve"> </w:t>
      </w:r>
    </w:p>
    <w:p w:rsidR="00D8742B" w:rsidRDefault="00902844" w:rsidP="00902844">
      <w:pPr>
        <w:spacing w:after="0" w:line="360" w:lineRule="auto"/>
        <w:ind w:left="360"/>
      </w:pPr>
      <w:r w:rsidRPr="00902844">
        <w:rPr>
          <w:i/>
        </w:rPr>
        <w:t>FOCUS</w:t>
      </w:r>
      <w:r>
        <w:t xml:space="preserve">, </w:t>
      </w:r>
      <w:r w:rsidRPr="00902844">
        <w:rPr>
          <w:i/>
        </w:rPr>
        <w:t>Record</w:t>
      </w:r>
      <w:r>
        <w:t xml:space="preserve"> and </w:t>
      </w:r>
      <w:r w:rsidRPr="00902844">
        <w:rPr>
          <w:i/>
        </w:rPr>
        <w:t>Cancel</w:t>
      </w:r>
      <w:r>
        <w:t xml:space="preserve"> cannot be set using the standard set method for Booleans due to restrictions enforced in SciScan. </w:t>
      </w:r>
      <w:r w:rsidR="00D8742B">
        <w:t>To set these controls</w:t>
      </w:r>
      <w:r>
        <w:t xml:space="preserve"> </w:t>
      </w:r>
      <w:r w:rsidR="00E77C40">
        <w:t>programmatically;</w:t>
      </w:r>
      <w:r w:rsidR="00D8742B">
        <w:t xml:space="preserve"> for example, to programmatically trigger a ‘Record’ use the </w:t>
      </w:r>
      <w:r w:rsidR="00D8742B" w:rsidRPr="00902844">
        <w:rPr>
          <w:i/>
        </w:rPr>
        <w:t>booleanref</w:t>
      </w:r>
      <w:r w:rsidR="007F4859" w:rsidRPr="00902844">
        <w:rPr>
          <w:i/>
        </w:rPr>
        <w:t xml:space="preserve"> </w:t>
      </w:r>
      <w:r w:rsidR="007F4859">
        <w:t>data type as show</w:t>
      </w:r>
      <w:bookmarkStart w:id="0" w:name="_GoBack"/>
      <w:bookmarkEnd w:id="0"/>
      <w:r w:rsidR="007F4859">
        <w:t xml:space="preserve">n in the </w:t>
      </w:r>
      <w:r w:rsidR="00E77C40">
        <w:t xml:space="preserve">following </w:t>
      </w:r>
      <w:r w:rsidR="007F4859">
        <w:t>example</w:t>
      </w:r>
      <w:r w:rsidR="00E77C40">
        <w:t>s</w:t>
      </w:r>
      <w:r w:rsidR="007F4859">
        <w:t>:</w:t>
      </w:r>
    </w:p>
    <w:p w:rsidR="007D0808" w:rsidRPr="007D0808" w:rsidRDefault="007D0808" w:rsidP="00C372A2">
      <w:pPr>
        <w:pStyle w:val="ListParagraph"/>
        <w:autoSpaceDE w:val="0"/>
        <w:autoSpaceDN w:val="0"/>
        <w:adjustRightInd w:val="0"/>
        <w:spacing w:after="0" w:line="360" w:lineRule="auto"/>
      </w:pPr>
    </w:p>
    <w:p w:rsidR="007D0808" w:rsidRDefault="007D0808" w:rsidP="007D0808">
      <w:pPr>
        <w:pStyle w:val="ListParagraph"/>
        <w:numPr>
          <w:ilvl w:val="0"/>
          <w:numId w:val="8"/>
        </w:numPr>
        <w:spacing w:after="0" w:line="360" w:lineRule="auto"/>
      </w:pPr>
      <w:r>
        <w:lastRenderedPageBreak/>
        <w:t>Python Example</w:t>
      </w:r>
    </w:p>
    <w:p w:rsidR="007F4859" w:rsidRDefault="007F4859" w:rsidP="007F4859">
      <w:pPr>
        <w:pStyle w:val="ListParagraph"/>
        <w:spacing w:after="0" w:line="360" w:lineRule="auto"/>
      </w:pPr>
      <w:r>
        <w:rPr>
          <w:noProof/>
          <w:lang w:eastAsia="en-GB"/>
        </w:rPr>
        <w:drawing>
          <wp:inline distT="0" distB="0" distL="0" distR="0">
            <wp:extent cx="5222955" cy="3779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714" cy="37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808" w:rsidRDefault="007D0808" w:rsidP="007D0808">
      <w:pPr>
        <w:pStyle w:val="ListParagraph"/>
        <w:numPr>
          <w:ilvl w:val="0"/>
          <w:numId w:val="8"/>
        </w:numPr>
        <w:spacing w:after="0" w:line="360" w:lineRule="auto"/>
      </w:pPr>
      <w:r>
        <w:t>MATLAB Example</w:t>
      </w:r>
    </w:p>
    <w:p w:rsidR="007F4859" w:rsidRDefault="007D0808" w:rsidP="007F4859">
      <w:pPr>
        <w:pStyle w:val="ListParagraph"/>
        <w:spacing w:after="0" w:line="360" w:lineRule="auto"/>
      </w:pPr>
      <w:r>
        <w:rPr>
          <w:noProof/>
          <w:lang w:eastAsia="en-GB"/>
        </w:rPr>
        <w:drawing>
          <wp:inline distT="0" distB="0" distL="0" distR="0">
            <wp:extent cx="4740275" cy="339407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8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1BA4"/>
    <w:multiLevelType w:val="hybridMultilevel"/>
    <w:tmpl w:val="8A5C877A"/>
    <w:lvl w:ilvl="0" w:tplc="87DC8AA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57000"/>
    <w:multiLevelType w:val="hybridMultilevel"/>
    <w:tmpl w:val="4CD28786"/>
    <w:lvl w:ilvl="0" w:tplc="B964C99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2513C1"/>
    <w:multiLevelType w:val="hybridMultilevel"/>
    <w:tmpl w:val="F604AFA4"/>
    <w:lvl w:ilvl="0" w:tplc="B59C964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A2D84"/>
    <w:multiLevelType w:val="hybridMultilevel"/>
    <w:tmpl w:val="1B8C2D9C"/>
    <w:lvl w:ilvl="0" w:tplc="0BB44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C40B5"/>
    <w:multiLevelType w:val="hybridMultilevel"/>
    <w:tmpl w:val="58760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77C6A"/>
    <w:multiLevelType w:val="hybridMultilevel"/>
    <w:tmpl w:val="31C49340"/>
    <w:lvl w:ilvl="0" w:tplc="AB881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734E0"/>
    <w:multiLevelType w:val="hybridMultilevel"/>
    <w:tmpl w:val="715C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A7663FE"/>
    <w:multiLevelType w:val="hybridMultilevel"/>
    <w:tmpl w:val="98DEEBE8"/>
    <w:lvl w:ilvl="0" w:tplc="BB0C4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66"/>
    <w:rsid w:val="0000103B"/>
    <w:rsid w:val="000161BB"/>
    <w:rsid w:val="0003411C"/>
    <w:rsid w:val="000765E3"/>
    <w:rsid w:val="000A3134"/>
    <w:rsid w:val="000B0325"/>
    <w:rsid w:val="000C6B5B"/>
    <w:rsid w:val="00137EA0"/>
    <w:rsid w:val="00162802"/>
    <w:rsid w:val="00174022"/>
    <w:rsid w:val="00186CB2"/>
    <w:rsid w:val="00190677"/>
    <w:rsid w:val="00195E60"/>
    <w:rsid w:val="0019693E"/>
    <w:rsid w:val="001E7698"/>
    <w:rsid w:val="001F4CA4"/>
    <w:rsid w:val="002042C0"/>
    <w:rsid w:val="002529AC"/>
    <w:rsid w:val="00290DD3"/>
    <w:rsid w:val="002A45C6"/>
    <w:rsid w:val="002D240B"/>
    <w:rsid w:val="002E2B5D"/>
    <w:rsid w:val="002F18C7"/>
    <w:rsid w:val="003828ED"/>
    <w:rsid w:val="003F6B0C"/>
    <w:rsid w:val="00451A1B"/>
    <w:rsid w:val="004520B5"/>
    <w:rsid w:val="00474A38"/>
    <w:rsid w:val="0048293E"/>
    <w:rsid w:val="00483B56"/>
    <w:rsid w:val="00490394"/>
    <w:rsid w:val="00513338"/>
    <w:rsid w:val="005313E6"/>
    <w:rsid w:val="0055232F"/>
    <w:rsid w:val="00595869"/>
    <w:rsid w:val="005F3300"/>
    <w:rsid w:val="0060281E"/>
    <w:rsid w:val="00616981"/>
    <w:rsid w:val="00686CFF"/>
    <w:rsid w:val="006B0243"/>
    <w:rsid w:val="006B180C"/>
    <w:rsid w:val="006B1D40"/>
    <w:rsid w:val="006D1F3B"/>
    <w:rsid w:val="006F67F3"/>
    <w:rsid w:val="00702596"/>
    <w:rsid w:val="00706368"/>
    <w:rsid w:val="00765DC7"/>
    <w:rsid w:val="00782A92"/>
    <w:rsid w:val="007846C1"/>
    <w:rsid w:val="0079013C"/>
    <w:rsid w:val="00795D6E"/>
    <w:rsid w:val="007A5D7F"/>
    <w:rsid w:val="007B5782"/>
    <w:rsid w:val="007C5DA8"/>
    <w:rsid w:val="007D0808"/>
    <w:rsid w:val="007D1B73"/>
    <w:rsid w:val="007E12F8"/>
    <w:rsid w:val="007E57FD"/>
    <w:rsid w:val="007F4859"/>
    <w:rsid w:val="008116AF"/>
    <w:rsid w:val="00853427"/>
    <w:rsid w:val="00897BEA"/>
    <w:rsid w:val="008D27AF"/>
    <w:rsid w:val="008F24E8"/>
    <w:rsid w:val="008F27D2"/>
    <w:rsid w:val="00902844"/>
    <w:rsid w:val="00923263"/>
    <w:rsid w:val="00927B1E"/>
    <w:rsid w:val="00946E66"/>
    <w:rsid w:val="00982C41"/>
    <w:rsid w:val="009D4470"/>
    <w:rsid w:val="009F485A"/>
    <w:rsid w:val="00A049BE"/>
    <w:rsid w:val="00A24952"/>
    <w:rsid w:val="00A416A3"/>
    <w:rsid w:val="00A50D06"/>
    <w:rsid w:val="00A848D1"/>
    <w:rsid w:val="00AA2128"/>
    <w:rsid w:val="00AA3BD6"/>
    <w:rsid w:val="00AF1384"/>
    <w:rsid w:val="00B23941"/>
    <w:rsid w:val="00B44A1D"/>
    <w:rsid w:val="00B77FDF"/>
    <w:rsid w:val="00B86E8A"/>
    <w:rsid w:val="00BA4244"/>
    <w:rsid w:val="00BD4D75"/>
    <w:rsid w:val="00C03493"/>
    <w:rsid w:val="00C100DE"/>
    <w:rsid w:val="00C16EFD"/>
    <w:rsid w:val="00C25DEA"/>
    <w:rsid w:val="00C372A2"/>
    <w:rsid w:val="00C649EF"/>
    <w:rsid w:val="00C91A7C"/>
    <w:rsid w:val="00D05BCA"/>
    <w:rsid w:val="00D1289F"/>
    <w:rsid w:val="00D75E18"/>
    <w:rsid w:val="00D812C2"/>
    <w:rsid w:val="00D8742B"/>
    <w:rsid w:val="00DB362F"/>
    <w:rsid w:val="00DB7811"/>
    <w:rsid w:val="00DC620F"/>
    <w:rsid w:val="00DE5660"/>
    <w:rsid w:val="00E23EEF"/>
    <w:rsid w:val="00E67782"/>
    <w:rsid w:val="00E755AB"/>
    <w:rsid w:val="00E77C40"/>
    <w:rsid w:val="00E87636"/>
    <w:rsid w:val="00E9732C"/>
    <w:rsid w:val="00EB2F47"/>
    <w:rsid w:val="00EB4E51"/>
    <w:rsid w:val="00ED0D45"/>
    <w:rsid w:val="00F11C49"/>
    <w:rsid w:val="00F13FAA"/>
    <w:rsid w:val="00F16375"/>
    <w:rsid w:val="00F65DAA"/>
    <w:rsid w:val="00F86035"/>
    <w:rsid w:val="00FA4770"/>
    <w:rsid w:val="00FA49E6"/>
    <w:rsid w:val="00FC0B54"/>
    <w:rsid w:val="00FD6DCE"/>
    <w:rsid w:val="00FF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A2E0F-C0EA-4413-AB8B-DF673A0C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A49E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848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48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4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5707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Prakash</dc:creator>
  <cp:keywords/>
  <dc:description/>
  <cp:lastModifiedBy>Arjun Prakash</cp:lastModifiedBy>
  <cp:revision>29</cp:revision>
  <dcterms:created xsi:type="dcterms:W3CDTF">2015-07-24T12:42:00Z</dcterms:created>
  <dcterms:modified xsi:type="dcterms:W3CDTF">2015-11-12T11:13:00Z</dcterms:modified>
</cp:coreProperties>
</file>