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697CD4">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697CD4">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697CD4">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697CD4">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697CD4">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lastRenderedPageBreak/>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de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r>
        <w:rPr>
          <w:rFonts w:eastAsia="Times New Roman"/>
          <w:b/>
          <w:bCs/>
          <w:color w:val="000000"/>
          <w:lang w:val="en-US" w:eastAsia="zh-CN"/>
        </w:rPr>
        <w:t>Lineamientos Generales</w:t>
      </w:r>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(ElmerX/NombreProyecto/Gestión)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(ElmerX/NombreProyecto/Análisis)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(ElmerX/NombreProyecto/Análisis)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(ElmerX/NombreProyecto/Análisis)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(ElmerX/NombreProyecto/Desarrollo)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Pruebas</w:t>
      </w:r>
    </w:p>
    <w:p w:rsidR="00A00DF8" w:rsidRDefault="00A00DF8" w:rsidP="00EF28B5">
      <w:pPr>
        <w:numPr>
          <w:ilvl w:val="0"/>
          <w:numId w:val="5"/>
        </w:numPr>
        <w:spacing w:line="240" w:lineRule="auto"/>
        <w:ind w:left="1565"/>
        <w:contextualSpacing w:val="0"/>
      </w:pPr>
      <w:r>
        <w:t>Cada proyecto debe incorporar las prácticas de TDD (Test Driven Development).</w:t>
      </w:r>
    </w:p>
    <w:p w:rsidR="00A00DF8" w:rsidRDefault="00A00DF8" w:rsidP="00EF28B5">
      <w:pPr>
        <w:numPr>
          <w:ilvl w:val="0"/>
          <w:numId w:val="5"/>
        </w:numPr>
        <w:spacing w:line="240" w:lineRule="auto"/>
        <w:ind w:left="1565"/>
        <w:contextualSpacing w:val="0"/>
      </w:pPr>
      <w:r>
        <w:t>Cada uno de los entregables, deberá contener scripts de pruebas unitarias, integrales, funcionales, etc; mediante la utilización de frameworks como junit, dbunit, mockObjtects, etc.</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Documentación</w:t>
      </w:r>
    </w:p>
    <w:p w:rsidR="00A00DF8" w:rsidRDefault="00A00DF8" w:rsidP="00EF28B5">
      <w:pPr>
        <w:numPr>
          <w:ilvl w:val="0"/>
          <w:numId w:val="3"/>
        </w:numPr>
        <w:spacing w:line="240" w:lineRule="auto"/>
        <w:ind w:left="1565"/>
        <w:contextualSpacing w:val="0"/>
      </w:pPr>
      <w: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Riesgos</w:t>
      </w:r>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(ElmerX/NombreProyecto/Gestión)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Artefactos</w:t>
      </w:r>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Spring Boot</w:t>
            </w:r>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Glassfish</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Andorid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Postgresql</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Heroku</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Amazon Web Services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de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Inventariar los Items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Pr="00EF28B5" w:rsidRDefault="00EF28B5" w:rsidP="00F16B11">
      <w:pPr>
        <w:pStyle w:val="Ttulo2"/>
        <w:numPr>
          <w:ilvl w:val="1"/>
          <w:numId w:val="1"/>
        </w:numPr>
      </w:pPr>
      <w:r>
        <w:t>Lista de clasificación de CI</w:t>
      </w:r>
    </w:p>
    <w:p w:rsidR="00EF28B5" w:rsidRDefault="00EF28B5" w:rsidP="00EF28B5">
      <w:pPr>
        <w:pStyle w:val="Ttulo2"/>
        <w:numPr>
          <w:ilvl w:val="1"/>
          <w:numId w:val="1"/>
        </w:numPr>
      </w:pPr>
      <w:r>
        <w:t>Definición de la Nomenclatura</w:t>
      </w:r>
    </w:p>
    <w:p w:rsidR="00F16B11" w:rsidRDefault="00F16B11" w:rsidP="00F16B11">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F16B11" w:rsidRPr="00F16B11" w:rsidRDefault="00F16B11" w:rsidP="00F16B11">
      <w:pPr>
        <w:pStyle w:val="Prrafodelista"/>
        <w:spacing w:after="0" w:line="240" w:lineRule="auto"/>
        <w:contextualSpacing w:val="0"/>
        <w:rPr>
          <w:rFonts w:ascii="Times New Roman" w:eastAsia="Times New Roman" w:hAnsi="Times New Roman" w:cs="Times New Roman"/>
          <w:sz w:val="24"/>
          <w:szCs w:val="24"/>
          <w:lang w:val="es-PE" w:eastAsia="es-PE"/>
        </w:rPr>
      </w:pPr>
      <w:bookmarkStart w:id="16" w:name="_GoBack"/>
      <w:bookmarkEnd w:id="16"/>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F16B11" w:rsidRPr="00F16B11" w:rsidTr="00F16B11">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B11" w:rsidRPr="00F16B11" w:rsidRDefault="00F16B11" w:rsidP="00F16B11">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Acronimo del proyecto + “_” + Acronimo del item</w:t>
            </w:r>
          </w:p>
        </w:tc>
      </w:tr>
    </w:tbl>
    <w:p w:rsidR="00EF28B5" w:rsidRPr="00EF28B5" w:rsidRDefault="00EF28B5" w:rsidP="00EF28B5">
      <w:pPr>
        <w:ind w:left="720"/>
      </w:pPr>
    </w:p>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CD4" w:rsidRDefault="00697CD4">
      <w:pPr>
        <w:spacing w:after="0" w:line="240" w:lineRule="auto"/>
      </w:pPr>
      <w:r>
        <w:separator/>
      </w:r>
    </w:p>
  </w:endnote>
  <w:endnote w:type="continuationSeparator" w:id="0">
    <w:p w:rsidR="00697CD4" w:rsidRDefault="0069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5841DA">
    <w:pPr>
      <w:contextualSpacing w:val="0"/>
    </w:pPr>
    <w:r>
      <w:fldChar w:fldCharType="begin"/>
    </w:r>
    <w:r>
      <w:instrText>PAGE</w:instrText>
    </w:r>
    <w:r>
      <w:fldChar w:fldCharType="separate"/>
    </w:r>
    <w:r w:rsidR="00F16B11">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CD4" w:rsidRDefault="00697CD4">
      <w:pPr>
        <w:spacing w:after="0" w:line="240" w:lineRule="auto"/>
      </w:pPr>
      <w:r>
        <w:separator/>
      </w:r>
    </w:p>
  </w:footnote>
  <w:footnote w:type="continuationSeparator" w:id="0">
    <w:p w:rsidR="00697CD4" w:rsidRDefault="00697C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460C"/>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97CD4"/>
    <w:rsid w:val="006F0F4E"/>
    <w:rsid w:val="00715ADA"/>
    <w:rsid w:val="00724A17"/>
    <w:rsid w:val="0079440B"/>
    <w:rsid w:val="007D5A97"/>
    <w:rsid w:val="0080791D"/>
    <w:rsid w:val="00821E44"/>
    <w:rsid w:val="00840330"/>
    <w:rsid w:val="008764F0"/>
    <w:rsid w:val="008F2949"/>
    <w:rsid w:val="00917ECE"/>
    <w:rsid w:val="00956846"/>
    <w:rsid w:val="00973409"/>
    <w:rsid w:val="009A2651"/>
    <w:rsid w:val="009B790C"/>
    <w:rsid w:val="00A00DF8"/>
    <w:rsid w:val="00A61787"/>
    <w:rsid w:val="00AF7419"/>
    <w:rsid w:val="00B30360"/>
    <w:rsid w:val="00B760A6"/>
    <w:rsid w:val="00B8167C"/>
    <w:rsid w:val="00C52F3B"/>
    <w:rsid w:val="00C5625E"/>
    <w:rsid w:val="00C6189B"/>
    <w:rsid w:val="00C6665E"/>
    <w:rsid w:val="00CB3699"/>
    <w:rsid w:val="00CB7681"/>
    <w:rsid w:val="00CC30FC"/>
    <w:rsid w:val="00D5566E"/>
    <w:rsid w:val="00DD7AAB"/>
    <w:rsid w:val="00E1775B"/>
    <w:rsid w:val="00E25AA8"/>
    <w:rsid w:val="00EC5F90"/>
    <w:rsid w:val="00EF28B5"/>
    <w:rsid w:val="00F16B11"/>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8922">
      <w:bodyDiv w:val="1"/>
      <w:marLeft w:val="0"/>
      <w:marRight w:val="0"/>
      <w:marTop w:val="0"/>
      <w:marBottom w:val="0"/>
      <w:divBdr>
        <w:top w:val="none" w:sz="0" w:space="0" w:color="auto"/>
        <w:left w:val="none" w:sz="0" w:space="0" w:color="auto"/>
        <w:bottom w:val="none" w:sz="0" w:space="0" w:color="auto"/>
        <w:right w:val="none" w:sz="0" w:space="0" w:color="auto"/>
      </w:divBdr>
      <w:divsChild>
        <w:div w:id="690395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1510</Words>
  <Characters>8309</Characters>
  <Application>Microsoft Office Word</Application>
  <DocSecurity>0</DocSecurity>
  <Lines>69</Lines>
  <Paragraphs>19</Paragraphs>
  <ScaleCrop>false</ScaleCrop>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Steve Sader Matos Manguinuri</cp:lastModifiedBy>
  <cp:revision>36</cp:revision>
  <dcterms:created xsi:type="dcterms:W3CDTF">2018-09-15T01:19:00Z</dcterms:created>
  <dcterms:modified xsi:type="dcterms:W3CDTF">2018-10-12T16:42:00Z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