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3" w:rsidRPr="00F53C12" w:rsidRDefault="00A95FE3" w:rsidP="00A95FE3">
      <w:pPr>
        <w:jc w:val="center"/>
        <w:rPr>
          <w:rFonts w:ascii="Times New Roman" w:hAnsi="Times New Roman" w:cs="Times New Roman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3C12">
        <w:rPr>
          <w:rFonts w:ascii="Times New Roman" w:hAnsi="Times New Roman" w:cs="Times New Roman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UNIVERSIDAD CRISTIANA DE LAS ASAMBLEAS DE DIOS</w:t>
      </w:r>
    </w:p>
    <w:p w:rsidR="00A95FE3" w:rsidRPr="00A02086" w:rsidRDefault="00A95FE3" w:rsidP="00A95FE3">
      <w:pPr>
        <w:jc w:val="center"/>
        <w:rPr>
          <w:b/>
        </w:rPr>
      </w:pPr>
    </w:p>
    <w:p w:rsidR="00A95FE3" w:rsidRDefault="00A95FE3" w:rsidP="00A95FE3">
      <w:pPr>
        <w:jc w:val="center"/>
        <w:rPr>
          <w:noProof/>
          <w:lang w:eastAsia="es-SV"/>
        </w:rPr>
      </w:pPr>
    </w:p>
    <w:p w:rsidR="00A95FE3" w:rsidRDefault="00A95FE3" w:rsidP="00A95FE3">
      <w:pPr>
        <w:jc w:val="center"/>
      </w:pPr>
      <w:r>
        <w:rPr>
          <w:noProof/>
          <w:lang w:eastAsia="es-SV"/>
        </w:rPr>
        <w:drawing>
          <wp:inline distT="0" distB="0" distL="0" distR="0" wp14:anchorId="5C543524" wp14:editId="2587829E">
            <wp:extent cx="1427018" cy="1427018"/>
            <wp:effectExtent l="152400" t="152400" r="154305" b="154305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31" cy="14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95FE3" w:rsidRDefault="00A95FE3" w:rsidP="00A95FE3">
      <w:pPr>
        <w:jc w:val="center"/>
      </w:pPr>
    </w:p>
    <w:p w:rsidR="00A95FE3" w:rsidRDefault="00A95FE3" w:rsidP="00A95FE3">
      <w:pPr>
        <w:jc w:val="center"/>
      </w:pPr>
    </w:p>
    <w:p w:rsidR="00A95FE3" w:rsidRPr="00A02086" w:rsidRDefault="00A95FE3" w:rsidP="00A95FE3">
      <w:pPr>
        <w:jc w:val="center"/>
        <w:rPr>
          <w:sz w:val="40"/>
          <w:szCs w:val="40"/>
        </w:rPr>
      </w:pPr>
      <w:r w:rsidRPr="00F53C12"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Nombre:</w:t>
      </w:r>
      <w:r w:rsidRPr="00F53C12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53C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Gerson Habacuc Umaña Portillo</w:t>
      </w:r>
    </w:p>
    <w:p w:rsidR="00A95FE3" w:rsidRPr="00A02086" w:rsidRDefault="00A95FE3" w:rsidP="00A95FE3">
      <w:pPr>
        <w:jc w:val="center"/>
        <w:rPr>
          <w:sz w:val="40"/>
          <w:szCs w:val="40"/>
        </w:rPr>
      </w:pPr>
    </w:p>
    <w:p w:rsidR="00A95FE3" w:rsidRPr="00A02086" w:rsidRDefault="00A95FE3" w:rsidP="00A95FE3">
      <w:pPr>
        <w:jc w:val="center"/>
        <w:rPr>
          <w:sz w:val="40"/>
          <w:szCs w:val="40"/>
        </w:rPr>
      </w:pPr>
      <w:r w:rsidRPr="00F53C12"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Faculta:</w:t>
      </w:r>
      <w:r w:rsidRPr="00F53C12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53C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Ciencias Económicas</w:t>
      </w:r>
    </w:p>
    <w:p w:rsidR="00A95FE3" w:rsidRPr="00A02086" w:rsidRDefault="00A95FE3" w:rsidP="00A95FE3">
      <w:pPr>
        <w:jc w:val="center"/>
        <w:rPr>
          <w:sz w:val="40"/>
          <w:szCs w:val="40"/>
        </w:rPr>
      </w:pPr>
    </w:p>
    <w:p w:rsidR="00A95FE3" w:rsidRPr="00A02086" w:rsidRDefault="00A95FE3" w:rsidP="00A95FE3">
      <w:pPr>
        <w:jc w:val="center"/>
        <w:rPr>
          <w:sz w:val="40"/>
          <w:szCs w:val="40"/>
        </w:rPr>
      </w:pPr>
      <w:r w:rsidRPr="00F53C12"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Carrera:</w:t>
      </w:r>
      <w:r w:rsidRPr="00F53C12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53C12"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Ingeniería en Ciencias de la Computación</w:t>
      </w:r>
    </w:p>
    <w:p w:rsidR="00A95FE3" w:rsidRPr="00A02086" w:rsidRDefault="00A95FE3" w:rsidP="00A95FE3">
      <w:pPr>
        <w:jc w:val="center"/>
        <w:rPr>
          <w:sz w:val="40"/>
          <w:szCs w:val="40"/>
        </w:rPr>
      </w:pPr>
    </w:p>
    <w:p w:rsidR="00A95FE3" w:rsidRDefault="00A95FE3" w:rsidP="00A95FE3">
      <w:pPr>
        <w:jc w:val="center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3C12"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Cátedra:</w:t>
      </w:r>
      <w:r w:rsidRPr="00F53C12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Bases de Datos 1</w:t>
      </w:r>
    </w:p>
    <w:p w:rsidR="00A95FE3" w:rsidRDefault="00A95FE3" w:rsidP="00A95FE3">
      <w:pPr>
        <w:jc w:val="center"/>
        <w:rPr>
          <w:rFonts w:ascii="Times New Roman" w:hAnsi="Times New Roman" w:cs="Times New Roman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95FE3" w:rsidRDefault="00A95FE3" w:rsidP="00A95FE3">
      <w:pPr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Catedrático: </w:t>
      </w:r>
      <w:r>
        <w:rPr>
          <w:rFonts w:ascii="Times New Roman" w:hAnsi="Times New Roman" w:cs="Times New Roman"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Ing. Josué Mejía  </w:t>
      </w:r>
      <w:r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A95FE3" w:rsidRDefault="00A95FE3" w:rsidP="00A95FE3">
      <w:pPr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E29AD" w:rsidRPr="00CE67E0" w:rsidRDefault="00CE67E0" w:rsidP="00A95F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</w:p>
    <w:p w:rsidR="00CE67E0" w:rsidRPr="00CE67E0" w:rsidRDefault="00CE67E0" w:rsidP="00A95F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67E0">
        <w:rPr>
          <w:rFonts w:ascii="Times New Roman" w:hAnsi="Times New Roman" w:cs="Times New Roman"/>
          <w:b/>
          <w:sz w:val="32"/>
          <w:szCs w:val="32"/>
        </w:rPr>
        <w:t xml:space="preserve">Otros tipos de datos en </w:t>
      </w:r>
      <w:proofErr w:type="spellStart"/>
      <w:r w:rsidRPr="00CE67E0"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 w:rsidRPr="00CE67E0">
        <w:rPr>
          <w:rFonts w:ascii="Times New Roman" w:hAnsi="Times New Roman" w:cs="Times New Roman"/>
          <w:b/>
          <w:sz w:val="32"/>
          <w:szCs w:val="32"/>
        </w:rPr>
        <w:t xml:space="preserve"> Server y su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A95FE3" w:rsidRPr="00CE67E0" w:rsidTr="00A95FE3">
        <w:tc>
          <w:tcPr>
            <w:tcW w:w="2122" w:type="dxa"/>
          </w:tcPr>
          <w:bookmarkEnd w:id="0"/>
          <w:p w:rsidR="00A95FE3" w:rsidRPr="00CE67E0" w:rsidRDefault="00A95FE3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67E0">
              <w:rPr>
                <w:rFonts w:ascii="Times New Roman" w:hAnsi="Times New Roman" w:cs="Times New Roman"/>
                <w:b/>
                <w:sz w:val="28"/>
              </w:rPr>
              <w:t>Tipo de datos</w:t>
            </w:r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Descripción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SQl</w:t>
            </w:r>
            <w:r w:rsidR="00A95FE3" w:rsidRPr="00CE67E0">
              <w:rPr>
                <w:rFonts w:ascii="Times New Roman" w:hAnsi="Times New Roman" w:cs="Times New Roman"/>
                <w:b/>
                <w:sz w:val="28"/>
              </w:rPr>
              <w:t>_variant</w:t>
            </w:r>
            <w:proofErr w:type="spellEnd"/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lmacena hasta 8,000 bytes de datos de varios tipos de datos, excepto texto,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ntext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e indicación de fecha y hora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U</w:t>
            </w:r>
            <w:r w:rsidR="00A95FE3" w:rsidRPr="00CE67E0">
              <w:rPr>
                <w:rFonts w:ascii="Times New Roman" w:hAnsi="Times New Roman" w:cs="Times New Roman"/>
                <w:b/>
                <w:sz w:val="28"/>
              </w:rPr>
              <w:t>niqueidentifier</w:t>
            </w:r>
            <w:proofErr w:type="spellEnd"/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Almacena un identificador único global (GUID)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X</w:t>
            </w:r>
            <w:r w:rsidR="00A95FE3" w:rsidRPr="00CE67E0">
              <w:rPr>
                <w:rFonts w:ascii="Times New Roman" w:hAnsi="Times New Roman" w:cs="Times New Roman"/>
                <w:b/>
                <w:sz w:val="28"/>
              </w:rPr>
              <w:t>ml</w:t>
            </w:r>
            <w:proofErr w:type="spellEnd"/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Almacena datos formateados en XML. Máximo 2 GB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E67E0">
              <w:rPr>
                <w:rFonts w:ascii="Times New Roman" w:hAnsi="Times New Roman" w:cs="Times New Roman"/>
                <w:b/>
                <w:sz w:val="28"/>
              </w:rPr>
              <w:t>C</w:t>
            </w:r>
            <w:r w:rsidR="00A95FE3" w:rsidRPr="00CE67E0">
              <w:rPr>
                <w:rFonts w:ascii="Times New Roman" w:hAnsi="Times New Roman" w:cs="Times New Roman"/>
                <w:b/>
                <w:sz w:val="28"/>
              </w:rPr>
              <w:t>ursor</w:t>
            </w:r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Almacena una referencia a un cursor utilizado para las operaciones de la base de datos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T</w:t>
            </w:r>
            <w:r w:rsidR="00A95FE3" w:rsidRPr="00CE67E0">
              <w:rPr>
                <w:rFonts w:ascii="Times New Roman" w:hAnsi="Times New Roman" w:cs="Times New Roman"/>
                <w:b/>
                <w:sz w:val="28"/>
              </w:rPr>
              <w:t>able</w:t>
            </w:r>
            <w:proofErr w:type="spellEnd"/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Almacena un conjunto de resultados para un procesamiento posterior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</w:t>
            </w:r>
            <w:r w:rsidR="00A95FE3" w:rsidRPr="00CE67E0">
              <w:rPr>
                <w:rStyle w:val="Textoennegrita"/>
                <w:rFonts w:ascii="Times New Roman" w:hAnsi="Times New Roman" w:cs="Times New Roman"/>
                <w:sz w:val="28"/>
              </w:rPr>
              <w:t>ierarchyid</w:t>
            </w:r>
            <w:proofErr w:type="spellEnd"/>
          </w:p>
        </w:tc>
        <w:tc>
          <w:tcPr>
            <w:tcW w:w="7228" w:type="dxa"/>
          </w:tcPr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 xml:space="preserve">El tipo de datos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hierarchyid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es un tipo de datos del sistema de longitud variable. Use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hierarchyid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para representar la posición en una jerarquía. Una columna de tipo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hierarchyid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no representa automáticamente un árbol. Dependerá de la aplicación generar y asignar los valores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hierarchyid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de tal forma que la relación deseada entre las filas se refleje en los valores.</w:t>
            </w:r>
          </w:p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 xml:space="preserve">Un valor del tipo de datos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hierarchyid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representa una posición en una jerarquía de árbol.</w:t>
            </w:r>
            <w:r w:rsidRPr="00CE67E0">
              <w:rPr>
                <w:rFonts w:ascii="Times New Roman" w:hAnsi="Times New Roman" w:cs="Times New Roman"/>
                <w:sz w:val="28"/>
              </w:rPr>
              <w:br/>
            </w:r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Muy compactos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: el número medio de bits necesarios para representar un nodo en un árbol con </w:t>
            </w:r>
            <w:r w:rsidRPr="00CE67E0">
              <w:rPr>
                <w:rStyle w:val="nfasis"/>
                <w:rFonts w:ascii="Times New Roman" w:hAnsi="Times New Roman" w:cs="Times New Roman"/>
                <w:sz w:val="28"/>
              </w:rPr>
              <w:t>n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 nodos depende del promedio de distribución ramificada secundarios (el promedio de elementos secundarios de un nodo). Para distribuciones ramificadas pequeñas (0-7), el tamaño es aproximadamente 6*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logA</w:t>
            </w:r>
            <w:r w:rsidRPr="00CE67E0">
              <w:rPr>
                <w:rStyle w:val="nfasis"/>
                <w:rFonts w:ascii="Times New Roman" w:hAnsi="Times New Roman" w:cs="Times New Roman"/>
                <w:sz w:val="28"/>
              </w:rPr>
              <w:t>n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bits, donde A es el promedio de distribución ramificada. Un nodo en una jerarquía organizativa de 100.000 personas con un promedio de nodos secundarios de 6 niveles supone aproximadamente 38 bits. Esto se redondea a 40 bits (o 5 bytes) para el almacenamiento.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R</w:t>
            </w:r>
            <w:r w:rsidR="00A95FE3" w:rsidRPr="00CE67E0">
              <w:rPr>
                <w:rStyle w:val="Textoennegrita"/>
                <w:rFonts w:ascii="Times New Roman" w:hAnsi="Times New Roman" w:cs="Times New Roman"/>
                <w:sz w:val="28"/>
              </w:rPr>
              <w:t>owversion</w:t>
            </w:r>
            <w:proofErr w:type="spellEnd"/>
          </w:p>
        </w:tc>
        <w:tc>
          <w:tcPr>
            <w:tcW w:w="72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861"/>
            </w:tblGrid>
            <w:tr w:rsidR="00A95FE3" w:rsidRPr="00A95FE3" w:rsidTr="00A95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95FE3" w:rsidRPr="00A95FE3" w:rsidRDefault="00A95FE3" w:rsidP="00A95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5FE3" w:rsidRPr="00A95FE3" w:rsidRDefault="00A95FE3" w:rsidP="00A95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</w:pPr>
                  <w:r w:rsidRPr="00A95FE3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  <w:t xml:space="preserve">Es un tipo de datos que expone números binarios únicos generados automáticamente en una base de datos. </w:t>
                  </w:r>
                  <w:proofErr w:type="spellStart"/>
                  <w:r w:rsidRPr="00CE67E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s-SV"/>
                    </w:rPr>
                    <w:t>rowversion</w:t>
                  </w:r>
                  <w:proofErr w:type="spellEnd"/>
                  <w:r w:rsidRPr="00A95FE3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  <w:t xml:space="preserve"> se suele usar como mecanismo para marcar la versión de las filas de la tabla. El tamaño de almacenamiento es de 8 bytes. El tipo de datos </w:t>
                  </w:r>
                  <w:proofErr w:type="spellStart"/>
                  <w:r w:rsidRPr="00CE67E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s-SV"/>
                    </w:rPr>
                    <w:t>rowversion</w:t>
                  </w:r>
                  <w:proofErr w:type="spellEnd"/>
                  <w:r w:rsidRPr="00A95FE3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  <w:t xml:space="preserve"> es simplemente un número que se </w:t>
                  </w:r>
                  <w:r w:rsidRPr="00A95FE3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  <w:lastRenderedPageBreak/>
                    <w:t xml:space="preserve">incrementa y no conserva una fecha o una hora. Para registrar una fecha o una hora, use un tipo de datos </w:t>
                  </w:r>
                  <w:r w:rsidRPr="00CE67E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24"/>
                      <w:lang w:eastAsia="es-SV"/>
                    </w:rPr>
                    <w:t>datetime2</w:t>
                  </w:r>
                  <w:r w:rsidRPr="00A95FE3">
                    <w:rPr>
                      <w:rFonts w:ascii="Times New Roman" w:eastAsia="Times New Roman" w:hAnsi="Times New Roman" w:cs="Times New Roman"/>
                      <w:sz w:val="32"/>
                      <w:szCs w:val="24"/>
                      <w:lang w:eastAsia="es-SV"/>
                    </w:rPr>
                    <w:t>.</w:t>
                  </w:r>
                </w:p>
              </w:tc>
            </w:tr>
          </w:tbl>
          <w:p w:rsidR="00A95FE3" w:rsidRPr="00CE67E0" w:rsidRDefault="00A95FE3" w:rsidP="00A95FE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lastRenderedPageBreak/>
              <w:t>Tipos de geometría espacial</w:t>
            </w:r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 xml:space="preserve">El tipo de datos espaciales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planares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geometry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>, se implementa como un tipo de datos CLR (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Common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Language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Runtime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) en SQL Server. Este tipo representa datos en un sistema de coordenadas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euclídeo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(plano).</w:t>
            </w:r>
            <w:r w:rsidRPr="00CE67E0">
              <w:rPr>
                <w:rFonts w:ascii="Times New Roman" w:hAnsi="Times New Roman" w:cs="Times New Roman"/>
                <w:sz w:val="28"/>
              </w:rPr>
              <w:br/>
              <w:t xml:space="preserve">SQL Server admite un conjunto de métodos para el tipo de datos espaciales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geography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. Este métodos incluyen a su vez métodos de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geometry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definidos por el estándar Open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Geospatial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Consortium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(OGC) y un conjunto de extensiones de Microsoft para dicho estándar.</w:t>
            </w:r>
            <w:r w:rsidRPr="00CE67E0">
              <w:rPr>
                <w:rFonts w:ascii="Times New Roman" w:hAnsi="Times New Roman" w:cs="Times New Roman"/>
                <w:sz w:val="28"/>
              </w:rPr>
              <w:br/>
              <w:t xml:space="preserve">La tolerancia de error para los métodos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geometry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puede ser de hasta 1,0e-7 * extensiones. Las extensiones hacen referencia a la distancia máxima aproximada entre los puntos del objeto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geometry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Tipos de geografía espacial</w:t>
            </w:r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 xml:space="preserve">El tipo de datos de geografía espacial,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geography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>, se implementa como un tipo de datos de .NET CLR (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Common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Language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Runtime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) en SQL Server. Este tipo representa los datos en un sistema de coordenadas de tierra redonda. El tipo de datos SQL Server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geography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almacena datos elipsoidales (globo), como coordenadas de latitud y longitud de GPS.</w:t>
            </w:r>
            <w:r w:rsidRPr="00CE67E0">
              <w:rPr>
                <w:rFonts w:ascii="Times New Roman" w:hAnsi="Times New Roman" w:cs="Times New Roman"/>
                <w:sz w:val="28"/>
              </w:rPr>
              <w:br/>
              <w:t xml:space="preserve">SQL Server admite un conjunto de métodos para el tipo de datos espacial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geography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. Se incluyen los métodos de </w:t>
            </w:r>
            <w:proofErr w:type="spellStart"/>
            <w:r w:rsidRPr="00CE67E0">
              <w:rPr>
                <w:rStyle w:val="Textoennegrita"/>
                <w:rFonts w:ascii="Times New Roman" w:hAnsi="Times New Roman" w:cs="Times New Roman"/>
                <w:sz w:val="28"/>
              </w:rPr>
              <w:t>geography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definidos por el estándar Open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Geospatial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E67E0">
              <w:rPr>
                <w:rFonts w:ascii="Times New Roman" w:hAnsi="Times New Roman" w:cs="Times New Roman"/>
                <w:sz w:val="28"/>
              </w:rPr>
              <w:t>Consortium</w:t>
            </w:r>
            <w:proofErr w:type="spellEnd"/>
            <w:r w:rsidRPr="00CE67E0">
              <w:rPr>
                <w:rFonts w:ascii="Times New Roman" w:hAnsi="Times New Roman" w:cs="Times New Roman"/>
                <w:sz w:val="28"/>
              </w:rPr>
              <w:t xml:space="preserve"> (OGC) y un conjunto de extensiones de Microsoft a dicho estándar.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nchar</w:t>
            </w:r>
            <w:proofErr w:type="spellEnd"/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Cadena Unicode de ancho fijo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. </w:t>
            </w:r>
            <w:r w:rsidRPr="00CE67E0">
              <w:rPr>
                <w:rFonts w:ascii="Times New Roman" w:hAnsi="Times New Roman" w:cs="Times New Roman"/>
                <w:sz w:val="28"/>
              </w:rPr>
              <w:t>4.000 caracteres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 y </w:t>
            </w:r>
            <w:r w:rsidRPr="00CE67E0">
              <w:rPr>
                <w:rFonts w:ascii="Times New Roman" w:hAnsi="Times New Roman" w:cs="Times New Roman"/>
                <w:sz w:val="28"/>
              </w:rPr>
              <w:t>Ancho definido x 2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nvarchar</w:t>
            </w:r>
            <w:proofErr w:type="spellEnd"/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Ancho de cadena Unicode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CE67E0">
              <w:rPr>
                <w:rFonts w:ascii="Times New Roman" w:hAnsi="Times New Roman" w:cs="Times New Roman"/>
                <w:sz w:val="28"/>
              </w:rPr>
              <w:t>4.000 caracteres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nvarchar</w:t>
            </w:r>
            <w:proofErr w:type="spellEnd"/>
            <w:r w:rsidRPr="00CE67E0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max</w:t>
            </w:r>
            <w:proofErr w:type="spellEnd"/>
            <w:r w:rsidRPr="00CE67E0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Ancho de cadena Unicode</w:t>
            </w:r>
            <w:r w:rsidRPr="00CE67E0"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CE67E0">
              <w:rPr>
                <w:rFonts w:ascii="Times New Roman" w:hAnsi="Times New Roman" w:cs="Times New Roman"/>
                <w:sz w:val="28"/>
              </w:rPr>
              <w:t>536,870,912 caracteres</w:t>
            </w:r>
            <w:r w:rsidRPr="00CE67E0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95FE3" w:rsidRPr="00CE67E0" w:rsidTr="00A95FE3">
        <w:tc>
          <w:tcPr>
            <w:tcW w:w="2122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67E0">
              <w:rPr>
                <w:rFonts w:ascii="Times New Roman" w:hAnsi="Times New Roman" w:cs="Times New Roman"/>
                <w:b/>
                <w:sz w:val="28"/>
              </w:rPr>
              <w:t>ntext</w:t>
            </w:r>
            <w:proofErr w:type="spellEnd"/>
          </w:p>
        </w:tc>
        <w:tc>
          <w:tcPr>
            <w:tcW w:w="7228" w:type="dxa"/>
          </w:tcPr>
          <w:p w:rsidR="00A95FE3" w:rsidRPr="00CE67E0" w:rsidRDefault="00CE67E0" w:rsidP="00A95FE3">
            <w:pPr>
              <w:rPr>
                <w:rFonts w:ascii="Times New Roman" w:hAnsi="Times New Roman" w:cs="Times New Roman"/>
                <w:sz w:val="28"/>
              </w:rPr>
            </w:pPr>
            <w:r w:rsidRPr="00CE67E0">
              <w:rPr>
                <w:rFonts w:ascii="Times New Roman" w:hAnsi="Times New Roman" w:cs="Times New Roman"/>
                <w:sz w:val="28"/>
              </w:rPr>
              <w:t>Representa datos Unicode de longitud variable con una longitud máxima de cadena de 2^30 – 1 (1.073.741.823) bytes. </w:t>
            </w:r>
          </w:p>
        </w:tc>
      </w:tr>
    </w:tbl>
    <w:p w:rsidR="00A95FE3" w:rsidRPr="00CE67E0" w:rsidRDefault="00A95FE3" w:rsidP="00A95FE3">
      <w:pPr>
        <w:rPr>
          <w:rFonts w:ascii="Times New Roman" w:hAnsi="Times New Roman" w:cs="Times New Roman"/>
          <w:sz w:val="28"/>
        </w:rPr>
      </w:pPr>
    </w:p>
    <w:p w:rsidR="00A95FE3" w:rsidRPr="00CE67E0" w:rsidRDefault="00A95FE3" w:rsidP="00A95FE3">
      <w:pPr>
        <w:jc w:val="center"/>
        <w:rPr>
          <w:rFonts w:ascii="Times New Roman" w:hAnsi="Times New Roman" w:cs="Times New Roman"/>
          <w:sz w:val="28"/>
        </w:rPr>
      </w:pPr>
    </w:p>
    <w:sectPr w:rsidR="00A95FE3" w:rsidRPr="00CE6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E3"/>
    <w:rsid w:val="004C7763"/>
    <w:rsid w:val="00A95FE3"/>
    <w:rsid w:val="00B30EF8"/>
    <w:rsid w:val="00C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E9A7D"/>
  <w15:chartTrackingRefBased/>
  <w15:docId w15:val="{03B9F93A-E3AC-47D7-B3A7-6FEF5F33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95FE3"/>
    <w:rPr>
      <w:b/>
      <w:bCs/>
    </w:rPr>
  </w:style>
  <w:style w:type="character" w:styleId="nfasis">
    <w:name w:val="Emphasis"/>
    <w:basedOn w:val="Fuentedeprrafopredeter"/>
    <w:uiPriority w:val="20"/>
    <w:qFormat/>
    <w:rsid w:val="00A95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1</cp:revision>
  <dcterms:created xsi:type="dcterms:W3CDTF">2023-10-03T00:02:00Z</dcterms:created>
  <dcterms:modified xsi:type="dcterms:W3CDTF">2023-10-03T00:23:00Z</dcterms:modified>
</cp:coreProperties>
</file>