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OSPF Commando's — Snelreferentie</w:t>
      </w:r>
    </w:p>
    <w:p>
      <w:pPr>
        <w:pStyle w:val="Heading2"/>
      </w:pPr>
      <w:r>
        <w:t>OSPF activeren en basis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 ospf [process-id]                    ! OSPF-proces starten</w:t>
        <w:br/>
        <w:t xml:space="preserve">  router-id [X.X.X.X]                       ! Router ID handmatig instellen</w:t>
        <w:br/>
        <w:t xml:space="preserve">  passive-interface [interface]             ! Stop Hello-pakketten op LAN-interface</w:t>
        <w:br/>
        <w:t xml:space="preserve">  passive-interface default                 ! Alle interfaces passief maken</w:t>
        <w:br/>
        <w:t xml:space="preserve">  no passive-interface [interface]          ! Specifieke interface terug actief</w:t>
        <w:br/>
        <w:t xml:space="preserve">  default-information originate             ! Default route propageren naar OSPF-buren</w:t>
        <w:br/>
        <w:t xml:space="preserve">  auto-cost reference-bandwidth [Mbps]      ! Referentiebandbreedte aanpassen (bv. 1000)</w:t>
      </w:r>
    </w:p>
    <w:p>
      <w:pPr>
        <w:pStyle w:val="Heading2"/>
      </w:pPr>
      <w:r>
        <w:t>OSPF op interface-niveau (aanbevolen)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interface [interface]</w:t>
        <w:br/>
        <w:t xml:space="preserve">  ip ospf [process-id] area [area-id]       ! OSPF activeren op interface</w:t>
        <w:br/>
        <w:t xml:space="preserve">  ip ospf priority [0-255]                  ! DR/BDR-prioriteit (0 = nooit DR/BDR)</w:t>
        <w:br/>
        <w:t xml:space="preserve">  ip ospf network point-to-point            ! P2P-modus (geen DR/BDR-verkiezing)</w:t>
        <w:br/>
        <w:t xml:space="preserve">  ip ospf cost [waarde]                     ! Cost manueel instellen</w:t>
        <w:br/>
        <w:t xml:space="preserve">  ip ospf hello-interval [seconden]         ! Hello-timer aanpassen</w:t>
        <w:br/>
        <w:t xml:space="preserve">  ip ospf dead-interval [seconden]          ! Dead-timer aanpassen</w:t>
      </w:r>
    </w:p>
    <w:p>
      <w:pPr>
        <w:pStyle w:val="Heading2"/>
      </w:pPr>
      <w:r>
        <w:t>OSPF via network statements (oudere methode)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 ospf [process-id]</w:t>
        <w:br/>
        <w:t xml:space="preserve">  network [netwerk] [wildcard] area [area]  ! Interface in OSPF-area brengen</w:t>
      </w:r>
    </w:p>
    <w:p>
      <w:pPr>
        <w:pStyle w:val="Heading2"/>
      </w:pPr>
      <w:r>
        <w:t>Verificatie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show ip ospf neighbor                       ! Neighbor-tabel + state</w:t>
        <w:br/>
        <w:t>show ip ospf neighbor detail                ! Volledige neighbor-info</w:t>
        <w:br/>
        <w:t>show ip ospf interface [interface]          ! OSPF-details per interface (timer, DR/BDR)</w:t>
        <w:br/>
        <w:t>show ip ospf                                ! OSPF-procesinfo + Router ID</w:t>
        <w:br/>
        <w:t>show ip ospf database                       ! Link-State Database (LSDB)</w:t>
        <w:br/>
        <w:t>show ip route ospf                          ! Alleen OSPF-routes in routeringstabel</w:t>
        <w:br/>
        <w:t>show ip protocols                           ! Routing-protocol overzicht + passive interfaces</w:t>
        <w:br/>
        <w:t>show ip protocols | include Router ID       ! Snel Router ID opzoeken</w:t>
      </w:r>
    </w:p>
    <w:p>
      <w:pPr>
        <w:pStyle w:val="Heading2"/>
      </w:pPr>
      <w:r>
        <w:t>Troubleshooting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clear ip ospf process                       ! OSPF herstart (vereist bij RID-wijziging)</w:t>
        <w:br/>
        <w:t>debug ip ospf events                        ! Live OSPF-events bekijken</w:t>
        <w:br/>
        <w:t>debug ip ospf adj                           ! Adjacency-opbouwproces debuggen</w:t>
        <w:br/>
        <w:t>no debug all                                ! Alle debug uitschakelen</w:t>
      </w:r>
    </w:p>
    <w:p>
      <w:pPr>
        <w:pStyle w:val="Heading2"/>
      </w:pPr>
      <w:r>
        <w:t>Loopback interface (voor stabiele Router ID)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interface Loopback0</w:t>
        <w:br/>
        <w:t xml:space="preserve">  ip address 1.1.1.1 255.255.255.255        ! /32 = host-adres op loopback</w:t>
        <w:br/>
        <w:t xml:space="preserve">  ip ospf 1 area 0                          ! Loopback in OSPF brengen</w:t>
        <w:br/>
        <w:br/>
        <w:t>router ospf 1</w:t>
        <w:br/>
        <w:t xml:space="preserve">  passive-interface Loopback0               ! Geen Hello's op loopback</w:t>
      </w:r>
    </w:p>
    <w:p>
      <w:pPr>
        <w:pStyle w:val="Heading2"/>
      </w:pPr>
      <w:r>
        <w:t>Veelgebruikte voorbeeldconfig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 ospf 1</w:t>
        <w:br/>
        <w:t xml:space="preserve"> router-id 1.1.1.1</w:t>
        <w:br/>
        <w:t xml:space="preserve"> passive-interface GigabitEthernet0/0/0</w:t>
        <w:br/>
        <w:t xml:space="preserve"> passive-interface Loopback0</w:t>
        <w:br/>
        <w:t xml:space="preserve"> default-information originate</w:t>
        <w:br/>
        <w:br/>
        <w:t>interface GigabitEthernet0/0/0</w:t>
        <w:br/>
        <w:t xml:space="preserve"> ip ospf 1 area 0</w:t>
        <w:br/>
        <w:br/>
        <w:t>interface GigabitEthernet0/0/1</w:t>
        <w:br/>
        <w:t xml:space="preserve"> ip ospf 1 area 0</w:t>
        <w:br/>
        <w:br/>
        <w:t>interface Loopback0</w:t>
        <w:br/>
        <w:t xml:space="preserve"> ip address 1.1.1.1 255.255.255.255</w:t>
        <w:br/>
        <w:t xml:space="preserve"> ip ospf 1 area 0</w:t>
      </w:r>
    </w:p>
    <w:p>
      <w:pPr>
        <w:pStyle w:val="Heading2"/>
      </w:pPr>
      <w:r>
        <w:t>Gewenste OSPF neighbor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State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Betekenis</w:t>
            </w:r>
          </w:p>
        </w:tc>
      </w:tr>
      <w:tr>
        <w:tc>
          <w:tcPr>
            <w:tcW w:type="dxa" w:w="4320"/>
          </w:tcPr>
          <w:p>
            <w:r/>
            <w:r>
              <w:t>FULL/DR</w:t>
            </w:r>
          </w:p>
        </w:tc>
        <w:tc>
          <w:tcPr>
            <w:tcW w:type="dxa" w:w="4320"/>
          </w:tcPr>
          <w:p>
            <w:r/>
            <w:r>
              <w:t>Buur is DR; jij bent BDR/DROTHER</w:t>
            </w:r>
          </w:p>
        </w:tc>
      </w:tr>
      <w:tr>
        <w:tc>
          <w:tcPr>
            <w:tcW w:type="dxa" w:w="4320"/>
          </w:tcPr>
          <w:p>
            <w:r/>
            <w:r>
              <w:t>FULL/BDR</w:t>
            </w:r>
          </w:p>
        </w:tc>
        <w:tc>
          <w:tcPr>
            <w:tcW w:type="dxa" w:w="4320"/>
          </w:tcPr>
          <w:p>
            <w:r/>
            <w:r>
              <w:t>Buur is BDR; jij bent DR</w:t>
            </w:r>
          </w:p>
        </w:tc>
      </w:tr>
      <w:tr>
        <w:tc>
          <w:tcPr>
            <w:tcW w:type="dxa" w:w="4320"/>
          </w:tcPr>
          <w:p>
            <w:r/>
            <w:r>
              <w:t>FULL/DROTHER</w:t>
            </w:r>
          </w:p>
        </w:tc>
        <w:tc>
          <w:tcPr>
            <w:tcW w:type="dxa" w:w="4320"/>
          </w:tcPr>
          <w:p>
            <w:r/>
            <w:r>
              <w:t>Buur is DROTHER; jij bent DR of BDR</w:t>
            </w:r>
          </w:p>
        </w:tc>
      </w:tr>
      <w:tr>
        <w:tc>
          <w:tcPr>
            <w:tcW w:type="dxa" w:w="4320"/>
          </w:tcPr>
          <w:p>
            <w:r/>
            <w:r>
              <w:t>FULL/-</w:t>
            </w:r>
          </w:p>
        </w:tc>
        <w:tc>
          <w:tcPr>
            <w:tcW w:type="dxa" w:w="4320"/>
          </w:tcPr>
          <w:p>
            <w:r/>
            <w:r>
              <w:t>Point-to-point (geen DR/BDR)</w:t>
            </w:r>
          </w:p>
        </w:tc>
      </w:tr>
      <w:tr>
        <w:tc>
          <w:tcPr>
            <w:tcW w:type="dxa" w:w="4320"/>
          </w:tcPr>
          <w:p>
            <w:r/>
            <w:r>
              <w:t>2WAY/DROTHER</w:t>
            </w:r>
          </w:p>
        </w:tc>
        <w:tc>
          <w:tcPr>
            <w:tcW w:type="dxa" w:w="4320"/>
          </w:tcPr>
          <w:p>
            <w:r/>
            <w:r>
              <w:t>Beide zijn DROTHER (normaal op switch)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