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00D29B" w14:textId="0C888439" w:rsidR="00577CEE" w:rsidRPr="00577CEE" w:rsidRDefault="00E2575B" w:rsidP="00577CEE">
      <w:pPr>
        <w:bidi w:val="0"/>
        <w:rPr>
          <w:b/>
          <w:bCs/>
          <w:u w:val="single"/>
          <w:lang w:val="en-IL"/>
        </w:rPr>
      </w:pPr>
      <w:r>
        <w:rPr>
          <w:b/>
          <w:bCs/>
          <w:u w:val="single"/>
          <w:lang w:val="en-IL"/>
        </w:rPr>
        <w:t>Deciding what options are best for each method</w:t>
      </w:r>
    </w:p>
    <w:p w14:paraId="2990627D" w14:textId="5F7A2F54" w:rsidR="004314F3" w:rsidRDefault="00E372BB" w:rsidP="00577CEE">
      <w:pPr>
        <w:bidi w:val="0"/>
        <w:rPr>
          <w:u w:val="single"/>
          <w:lang w:val="en-IL"/>
        </w:rPr>
      </w:pPr>
      <w:proofErr w:type="spellStart"/>
      <w:r>
        <w:rPr>
          <w:u w:val="single"/>
          <w:lang w:val="en-IL"/>
        </w:rPr>
        <w:t>YemeniteStep</w:t>
      </w:r>
      <w:proofErr w:type="spellEnd"/>
      <w:r w:rsidR="00577CEE" w:rsidRPr="00577CEE">
        <w:rPr>
          <w:u w:val="single"/>
          <w:lang w:val="en-IL"/>
        </w:rPr>
        <w:t xml:space="preserve"> with Louvain</w:t>
      </w:r>
    </w:p>
    <w:p w14:paraId="032E6447" w14:textId="24519556" w:rsidR="00577CEE" w:rsidRDefault="00577CEE" w:rsidP="00577CEE">
      <w:pPr>
        <w:bidi w:val="0"/>
        <w:rPr>
          <w:lang w:val="en-IL"/>
        </w:rPr>
      </w:pPr>
      <w:r>
        <w:rPr>
          <w:lang w:val="en-IL"/>
        </w:rPr>
        <w:t>These are the results for how the three different options effected the evaluation metrices, when using Louvain as the splitting function.</w:t>
      </w:r>
    </w:p>
    <w:p w14:paraId="6CD21BBD" w14:textId="77777777" w:rsidR="00C44EF6" w:rsidRDefault="009A253A" w:rsidP="00C44EF6">
      <w:pPr>
        <w:bidi w:val="0"/>
        <w:rPr>
          <w:lang w:val="en-IL"/>
        </w:rPr>
      </w:pPr>
      <w:r>
        <w:rPr>
          <w:lang w:val="en-IL"/>
        </w:rPr>
        <w:t xml:space="preserve">For each option (Random, Remerge, Relative) and for each graph size (1000, 10000) we calculated the affect on each metric (Modularity, Conductance, Jaccard). The </w:t>
      </w:r>
      <w:r w:rsidRPr="009A253A">
        <w:rPr>
          <w:i/>
          <w:iCs/>
          <w:lang w:val="en-IL"/>
        </w:rPr>
        <w:t>affect</w:t>
      </w:r>
      <w:r>
        <w:rPr>
          <w:lang w:val="en-IL"/>
        </w:rPr>
        <w:t xml:space="preserve"> is the relative change of the average value</w:t>
      </w:r>
      <w:r w:rsidRPr="009A253A">
        <w:rPr>
          <w:lang w:val="en-IL"/>
        </w:rPr>
        <w:t>:</w:t>
      </w:r>
    </w:p>
    <w:p w14:paraId="4F71B20B" w14:textId="2C25EC38" w:rsidR="009A253A" w:rsidRPr="009A253A" w:rsidRDefault="009A253A" w:rsidP="00C44EF6">
      <w:pPr>
        <w:bidi w:val="0"/>
        <w:jc w:val="center"/>
        <w:rPr>
          <w:lang w:val="en-IL"/>
        </w:rPr>
      </w:pPr>
      <m:oMathPara>
        <m:oMath>
          <m:r>
            <w:rPr>
              <w:rFonts w:ascii="Cambria Math" w:hAnsi="Cambria Math"/>
              <w:lang w:val="en-IL"/>
            </w:rPr>
            <m:t xml:space="preserve">affect= </m:t>
          </m:r>
          <m:r>
            <w:rPr>
              <w:rFonts w:ascii="Cambria Math" w:hAnsi="Cambria Math"/>
              <w:lang w:val="en-IL"/>
            </w:rPr>
            <m:t>100*</m:t>
          </m:r>
          <m:f>
            <m:fPr>
              <m:ctrlPr>
                <w:rPr>
                  <w:rFonts w:ascii="Cambria Math" w:hAnsi="Cambria Math"/>
                  <w:i/>
                  <w:lang w:val="en-IL"/>
                </w:rPr>
              </m:ctrlPr>
            </m:fPr>
            <m:num>
              <m:r>
                <w:rPr>
                  <w:rFonts w:ascii="Cambria Math" w:hAnsi="Cambria Math"/>
                  <w:lang w:val="en-IL"/>
                </w:rPr>
                <m:t xml:space="preserve">Average value </m:t>
              </m:r>
              <m:r>
                <w:rPr>
                  <w:rFonts w:ascii="Cambria Math" w:hAnsi="Cambria Math"/>
                  <w:lang w:val="en-IL"/>
                </w:rPr>
                <m:t>with</m:t>
              </m:r>
              <m:r>
                <w:rPr>
                  <w:rFonts w:ascii="Cambria Math" w:hAnsi="Cambria Math"/>
                  <w:lang w:val="en-IL"/>
                </w:rPr>
                <m:t xml:space="preserve"> Option </m:t>
              </m:r>
              <m:r>
                <m:rPr>
                  <m:sty m:val="bi"/>
                </m:rPr>
                <w:rPr>
                  <w:rFonts w:ascii="Cambria Math" w:hAnsi="Cambria Math"/>
                  <w:lang w:val="en-IL"/>
                </w:rPr>
                <m:t>on</m:t>
              </m:r>
              <m:r>
                <w:rPr>
                  <w:rFonts w:ascii="Cambria Math" w:hAnsi="Cambria Math"/>
                  <w:lang w:val="en-IL"/>
                </w:rPr>
                <m:t>-</m:t>
              </m:r>
              <m:r>
                <w:rPr>
                  <w:rFonts w:ascii="Cambria Math" w:hAnsi="Cambria Math"/>
                  <w:lang w:val="en-IL"/>
                </w:rPr>
                <m:t xml:space="preserve">Average value </m:t>
              </m:r>
              <m:r>
                <w:rPr>
                  <w:rFonts w:ascii="Cambria Math" w:hAnsi="Cambria Math"/>
                  <w:lang w:val="en-IL"/>
                </w:rPr>
                <m:t>with</m:t>
              </m:r>
              <m:r>
                <w:rPr>
                  <w:rFonts w:ascii="Cambria Math" w:hAnsi="Cambria Math"/>
                  <w:lang w:val="en-IL"/>
                </w:rPr>
                <m:t xml:space="preserve"> </m:t>
              </m:r>
              <m:r>
                <w:rPr>
                  <w:rFonts w:ascii="Cambria Math" w:hAnsi="Cambria Math"/>
                  <w:lang w:val="en-IL"/>
                </w:rPr>
                <m:t xml:space="preserve">Option </m:t>
              </m:r>
              <m:r>
                <m:rPr>
                  <m:sty m:val="bi"/>
                </m:rPr>
                <w:rPr>
                  <w:rFonts w:ascii="Cambria Math" w:hAnsi="Cambria Math"/>
                  <w:lang w:val="en-IL"/>
                </w:rPr>
                <m:t>off</m:t>
              </m:r>
            </m:num>
            <m:den>
              <m:r>
                <w:rPr>
                  <w:rFonts w:ascii="Cambria Math" w:hAnsi="Cambria Math"/>
                  <w:lang w:val="en-IL"/>
                </w:rPr>
                <m:t xml:space="preserve">Average metric value Option </m:t>
              </m:r>
              <m:r>
                <m:rPr>
                  <m:sty m:val="bi"/>
                </m:rPr>
                <w:rPr>
                  <w:rFonts w:ascii="Cambria Math" w:hAnsi="Cambria Math"/>
                  <w:lang w:val="en-IL"/>
                </w:rPr>
                <m:t>off</m:t>
              </m:r>
            </m:den>
          </m:f>
        </m:oMath>
      </m:oMathPara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894"/>
        <w:gridCol w:w="2061"/>
        <w:gridCol w:w="2061"/>
      </w:tblGrid>
      <w:tr w:rsidR="009A253A" w:rsidRPr="009A253A" w14:paraId="6EFE3C02" w14:textId="77777777" w:rsidTr="00C44EF6">
        <w:trPr>
          <w:trHeight w:val="276"/>
          <w:jc w:val="center"/>
        </w:trPr>
        <w:tc>
          <w:tcPr>
            <w:tcW w:w="2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5377894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FFFFFF"/>
                <w:szCs w:val="22"/>
              </w:rPr>
              <w:t>Adding</w:t>
            </w:r>
            <w:r w:rsidRPr="009A253A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 xml:space="preserve"> Random </w:t>
            </w:r>
            <w:r w:rsidRPr="009A253A">
              <w:rPr>
                <w:rFonts w:ascii="Arial" w:eastAsia="Times New Roman" w:hAnsi="Arial" w:cs="Arial"/>
                <w:color w:val="FFFFFF"/>
                <w:szCs w:val="22"/>
              </w:rPr>
              <w:t>Option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C19B9E7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9A253A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1FDC1BD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9A253A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9A253A" w:rsidRPr="009A253A" w14:paraId="30F63590" w14:textId="77777777" w:rsidTr="00C44EF6">
        <w:trPr>
          <w:trHeight w:val="276"/>
          <w:jc w:val="center"/>
        </w:trPr>
        <w:tc>
          <w:tcPr>
            <w:tcW w:w="2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A511C74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9A253A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4BD4E35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C00000"/>
                <w:szCs w:val="22"/>
              </w:rPr>
              <w:t>-0.06%▼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D6E0657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C00000"/>
                <w:szCs w:val="22"/>
              </w:rPr>
              <w:t>-0.01%▼</w:t>
            </w:r>
          </w:p>
        </w:tc>
      </w:tr>
      <w:tr w:rsidR="009A253A" w:rsidRPr="009A253A" w14:paraId="2F9F3AD4" w14:textId="77777777" w:rsidTr="00C44EF6">
        <w:trPr>
          <w:trHeight w:val="276"/>
          <w:jc w:val="center"/>
        </w:trPr>
        <w:tc>
          <w:tcPr>
            <w:tcW w:w="2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07195D3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9A253A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08DA88D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C00000"/>
                <w:szCs w:val="22"/>
              </w:rPr>
              <w:t>-0.05%▼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5880E73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C00000"/>
                <w:szCs w:val="22"/>
              </w:rPr>
              <w:t>-0.01%▼</w:t>
            </w:r>
          </w:p>
        </w:tc>
      </w:tr>
      <w:tr w:rsidR="009A253A" w:rsidRPr="009A253A" w14:paraId="601E4498" w14:textId="77777777" w:rsidTr="00C44EF6">
        <w:trPr>
          <w:trHeight w:val="276"/>
          <w:jc w:val="center"/>
        </w:trPr>
        <w:tc>
          <w:tcPr>
            <w:tcW w:w="27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AA0A3D2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9A253A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FB969BC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375623"/>
                <w:szCs w:val="22"/>
              </w:rPr>
              <w:t>0.04%▲</w:t>
            </w:r>
          </w:p>
        </w:tc>
        <w:tc>
          <w:tcPr>
            <w:tcW w:w="114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171A1EDA" w14:textId="77777777" w:rsidR="009A253A" w:rsidRPr="009A253A" w:rsidRDefault="009A253A" w:rsidP="009A253A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9A253A">
              <w:rPr>
                <w:rFonts w:ascii="Arial" w:eastAsia="Times New Roman" w:hAnsi="Arial" w:cs="Arial"/>
                <w:color w:val="C00000"/>
                <w:szCs w:val="22"/>
              </w:rPr>
              <w:t>-0.07%▼</w:t>
            </w:r>
          </w:p>
        </w:tc>
      </w:tr>
    </w:tbl>
    <w:p w14:paraId="7CC4839F" w14:textId="23E14B61" w:rsidR="00577CEE" w:rsidRDefault="00577CEE" w:rsidP="00577CEE">
      <w:pPr>
        <w:bidi w:val="0"/>
        <w:rPr>
          <w:lang w:val="en-I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25"/>
        <w:gridCol w:w="2204"/>
        <w:gridCol w:w="1987"/>
      </w:tblGrid>
      <w:tr w:rsidR="00C44EF6" w:rsidRPr="00C44EF6" w14:paraId="18FB29D1" w14:textId="77777777" w:rsidTr="00C44EF6">
        <w:trPr>
          <w:trHeight w:val="276"/>
        </w:trPr>
        <w:tc>
          <w:tcPr>
            <w:tcW w:w="2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F51AD76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FFFFFF"/>
                <w:szCs w:val="22"/>
              </w:rPr>
              <w:t>Adding</w:t>
            </w: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 xml:space="preserve"> Remerge </w:t>
            </w:r>
            <w:r w:rsidRPr="00C44EF6">
              <w:rPr>
                <w:rFonts w:ascii="Arial" w:eastAsia="Times New Roman" w:hAnsi="Arial" w:cs="Arial"/>
                <w:color w:val="FFFFFF"/>
                <w:szCs w:val="22"/>
              </w:rPr>
              <w:t>Option</w:t>
            </w:r>
          </w:p>
        </w:tc>
        <w:tc>
          <w:tcPr>
            <w:tcW w:w="122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B784468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10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FE540FD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C44EF6" w:rsidRPr="00C44EF6" w14:paraId="06420DD8" w14:textId="77777777" w:rsidTr="00C44EF6">
        <w:trPr>
          <w:trHeight w:val="276"/>
        </w:trPr>
        <w:tc>
          <w:tcPr>
            <w:tcW w:w="2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67FECCC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22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4AC3EF4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-11.12%▼</w:t>
            </w:r>
          </w:p>
        </w:tc>
        <w:tc>
          <w:tcPr>
            <w:tcW w:w="110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EF7DF64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-0.02%▼</w:t>
            </w:r>
          </w:p>
        </w:tc>
      </w:tr>
      <w:tr w:rsidR="00C44EF6" w:rsidRPr="00C44EF6" w14:paraId="379EF49D" w14:textId="77777777" w:rsidTr="00C44EF6">
        <w:trPr>
          <w:trHeight w:val="276"/>
        </w:trPr>
        <w:tc>
          <w:tcPr>
            <w:tcW w:w="2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F19DD87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22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0E545784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-11.65%▼</w:t>
            </w:r>
          </w:p>
        </w:tc>
        <w:tc>
          <w:tcPr>
            <w:tcW w:w="110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4AE23C4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-0.07%▼</w:t>
            </w:r>
          </w:p>
        </w:tc>
      </w:tr>
      <w:tr w:rsidR="00C44EF6" w:rsidRPr="00C44EF6" w14:paraId="1EDE0644" w14:textId="77777777" w:rsidTr="00C44EF6">
        <w:trPr>
          <w:trHeight w:val="276"/>
        </w:trPr>
        <w:tc>
          <w:tcPr>
            <w:tcW w:w="267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81AFFC7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222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ED35FD7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-16.16%▼</w:t>
            </w:r>
          </w:p>
        </w:tc>
        <w:tc>
          <w:tcPr>
            <w:tcW w:w="1102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E10A02F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375623"/>
                <w:szCs w:val="22"/>
              </w:rPr>
              <w:t>1.41%▲</w:t>
            </w:r>
          </w:p>
        </w:tc>
      </w:tr>
    </w:tbl>
    <w:p w14:paraId="15159C50" w14:textId="46DC7213" w:rsidR="00C44EF6" w:rsidRDefault="00C44EF6" w:rsidP="00C44EF6">
      <w:pPr>
        <w:bidi w:val="0"/>
        <w:rPr>
          <w:lang w:val="en-I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66"/>
        <w:gridCol w:w="2075"/>
        <w:gridCol w:w="2075"/>
      </w:tblGrid>
      <w:tr w:rsidR="00C44EF6" w:rsidRPr="00C44EF6" w14:paraId="54D7E920" w14:textId="77777777" w:rsidTr="00C44EF6">
        <w:trPr>
          <w:trHeight w:val="276"/>
        </w:trPr>
        <w:tc>
          <w:tcPr>
            <w:tcW w:w="2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960A4DB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Relative Option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BA11DC0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EFF57CB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C44E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C44EF6" w:rsidRPr="00C44EF6" w14:paraId="249B3B81" w14:textId="77777777" w:rsidTr="00C44EF6">
        <w:trPr>
          <w:trHeight w:val="276"/>
        </w:trPr>
        <w:tc>
          <w:tcPr>
            <w:tcW w:w="2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A175D7E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D6AA80D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-0.01%▼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2FBDEF8A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0%▼</w:t>
            </w:r>
          </w:p>
        </w:tc>
      </w:tr>
      <w:tr w:rsidR="00C44EF6" w:rsidRPr="00C44EF6" w14:paraId="58854BE0" w14:textId="77777777" w:rsidTr="00C44EF6">
        <w:trPr>
          <w:trHeight w:val="276"/>
        </w:trPr>
        <w:tc>
          <w:tcPr>
            <w:tcW w:w="2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2468A71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73A154D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-0.01%▼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A4FF561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-0.04%▼</w:t>
            </w:r>
          </w:p>
        </w:tc>
      </w:tr>
      <w:tr w:rsidR="00C44EF6" w:rsidRPr="00C44EF6" w14:paraId="200F52D8" w14:textId="77777777" w:rsidTr="00C44EF6">
        <w:trPr>
          <w:trHeight w:val="276"/>
        </w:trPr>
        <w:tc>
          <w:tcPr>
            <w:tcW w:w="26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CBCAEB7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C44EF6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D8749E5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C00000"/>
                <w:szCs w:val="22"/>
              </w:rPr>
              <w:t>-0.28%▼</w:t>
            </w:r>
          </w:p>
        </w:tc>
        <w:tc>
          <w:tcPr>
            <w:tcW w:w="1151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A2A9E80" w14:textId="77777777" w:rsidR="00C44EF6" w:rsidRPr="00C44EF6" w:rsidRDefault="00C44EF6" w:rsidP="00C44E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C44EF6">
              <w:rPr>
                <w:rFonts w:ascii="Arial" w:eastAsia="Times New Roman" w:hAnsi="Arial" w:cs="Arial"/>
                <w:color w:val="375623"/>
                <w:szCs w:val="22"/>
              </w:rPr>
              <w:t>0.59%▲</w:t>
            </w:r>
          </w:p>
        </w:tc>
      </w:tr>
    </w:tbl>
    <w:p w14:paraId="12112B48" w14:textId="7CC7A949" w:rsidR="00C44EF6" w:rsidRDefault="00C44EF6" w:rsidP="00C44EF6">
      <w:pPr>
        <w:bidi w:val="0"/>
        <w:rPr>
          <w:lang w:val="en-IL"/>
        </w:rPr>
      </w:pPr>
    </w:p>
    <w:p w14:paraId="12B651FB" w14:textId="694EDFA4" w:rsidR="00B2049C" w:rsidRDefault="00B2049C" w:rsidP="00B2049C">
      <w:pPr>
        <w:bidi w:val="0"/>
        <w:rPr>
          <w:lang w:val="en-IL"/>
        </w:rPr>
      </w:pPr>
      <w:r>
        <w:rPr>
          <w:lang w:val="en-IL"/>
        </w:rPr>
        <w:t xml:space="preserve">We conclude that when using Louvain as the splitting function, </w:t>
      </w:r>
      <w:proofErr w:type="gramStart"/>
      <w:r>
        <w:rPr>
          <w:lang w:val="en-IL"/>
        </w:rPr>
        <w:t>It</w:t>
      </w:r>
      <w:proofErr w:type="gramEnd"/>
      <w:r>
        <w:rPr>
          <w:lang w:val="en-IL"/>
        </w:rPr>
        <w:t xml:space="preserve"> is best to use it with all the options off.</w:t>
      </w:r>
    </w:p>
    <w:p w14:paraId="5F68CB9C" w14:textId="6D76981B" w:rsidR="00B2049C" w:rsidRDefault="00E372BB" w:rsidP="00B2049C">
      <w:pPr>
        <w:bidi w:val="0"/>
        <w:rPr>
          <w:u w:val="single"/>
          <w:lang w:val="en-IL"/>
        </w:rPr>
      </w:pPr>
      <w:proofErr w:type="spellStart"/>
      <w:r>
        <w:rPr>
          <w:u w:val="single"/>
          <w:lang w:val="en-IL"/>
        </w:rPr>
        <w:t>YemeniteStep</w:t>
      </w:r>
      <w:proofErr w:type="spellEnd"/>
      <w:r w:rsidRPr="00577CEE">
        <w:rPr>
          <w:u w:val="single"/>
          <w:lang w:val="en-IL"/>
        </w:rPr>
        <w:t xml:space="preserve"> </w:t>
      </w:r>
      <w:r w:rsidR="00B2049C" w:rsidRPr="00577CEE">
        <w:rPr>
          <w:u w:val="single"/>
          <w:lang w:val="en-IL"/>
        </w:rPr>
        <w:t xml:space="preserve">with </w:t>
      </w:r>
      <w:r w:rsidR="00B2049C">
        <w:rPr>
          <w:u w:val="single"/>
          <w:lang w:val="en-IL"/>
        </w:rPr>
        <w:t>GN Modularity</w:t>
      </w:r>
    </w:p>
    <w:p w14:paraId="525818C1" w14:textId="6246222C" w:rsidR="00B2049C" w:rsidRDefault="00B2049C" w:rsidP="00B2049C">
      <w:pPr>
        <w:bidi w:val="0"/>
        <w:rPr>
          <w:lang w:val="en-IL"/>
        </w:rPr>
      </w:pPr>
      <w:r>
        <w:rPr>
          <w:lang w:val="en-IL"/>
        </w:rPr>
        <w:t xml:space="preserve">These are the results for how the three different options effected the evaluation metrices, when using </w:t>
      </w:r>
      <w:r w:rsidRPr="00B2049C">
        <w:rPr>
          <w:lang w:val="en-IL"/>
        </w:rPr>
        <w:t>GN Modularity</w:t>
      </w:r>
      <w:r w:rsidRPr="00B2049C">
        <w:rPr>
          <w:lang w:val="en-IL"/>
        </w:rPr>
        <w:t xml:space="preserve"> </w:t>
      </w:r>
      <w:r>
        <w:rPr>
          <w:lang w:val="en-IL"/>
        </w:rPr>
        <w:t>as the splitting function.</w:t>
      </w:r>
    </w:p>
    <w:p w14:paraId="488CA823" w14:textId="1FD8E934" w:rsidR="00B2049C" w:rsidRDefault="00B2049C" w:rsidP="00B2049C">
      <w:pPr>
        <w:bidi w:val="0"/>
        <w:rPr>
          <w:lang w:val="en-IL"/>
        </w:rPr>
      </w:pPr>
      <w:r>
        <w:rPr>
          <w:lang w:val="en-IL"/>
        </w:rPr>
        <w:t xml:space="preserve">For each option (Random, Remerge, Relative) and for each graph size (1000, 10000) we calculated the affect on each metric (Modularity, Conductance, Jaccard). The </w:t>
      </w:r>
      <w:r w:rsidRPr="009A253A">
        <w:rPr>
          <w:i/>
          <w:iCs/>
          <w:lang w:val="en-IL"/>
        </w:rPr>
        <w:t>affect</w:t>
      </w:r>
      <w:r>
        <w:rPr>
          <w:lang w:val="en-IL"/>
        </w:rPr>
        <w:t xml:space="preserve"> is </w:t>
      </w:r>
      <w:r>
        <w:rPr>
          <w:lang w:val="en-IL"/>
        </w:rPr>
        <w:t xml:space="preserve">calculated as explained in </w:t>
      </w:r>
      <w:r w:rsidRPr="00B2049C">
        <w:rPr>
          <w:lang w:val="en-IL"/>
        </w:rPr>
        <w:t>Splitting with Louvain</w:t>
      </w:r>
      <w:r>
        <w:rPr>
          <w:lang w:val="en-IL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4"/>
        <w:gridCol w:w="2631"/>
        <w:gridCol w:w="2631"/>
      </w:tblGrid>
      <w:tr w:rsidR="00FC4AE9" w:rsidRPr="00FC4AE9" w14:paraId="5105220C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C65FB09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Random Option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0F5C59C2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64EC1C43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FC4AE9" w:rsidRPr="00FC4AE9" w14:paraId="26EB83A9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CF81780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4AA6DFA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-0.02%▼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949FFE9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0.02%▲</w:t>
            </w:r>
          </w:p>
        </w:tc>
      </w:tr>
      <w:tr w:rsidR="00FC4AE9" w:rsidRPr="00FC4AE9" w14:paraId="2A2F51E1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426A12B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901BFFE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0.02%▲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32F5727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-0.03%▼</w:t>
            </w:r>
          </w:p>
        </w:tc>
      </w:tr>
      <w:tr w:rsidR="00FC4AE9" w:rsidRPr="00FC4AE9" w14:paraId="190A6A0F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464EEFD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F316056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-0.21%▼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0449A9F9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1.6%▲</w:t>
            </w:r>
          </w:p>
        </w:tc>
      </w:tr>
    </w:tbl>
    <w:p w14:paraId="5F77357F" w14:textId="3F71201D" w:rsidR="00FC4AE9" w:rsidRDefault="00FC4AE9" w:rsidP="00FC4AE9">
      <w:pPr>
        <w:bidi w:val="0"/>
        <w:rPr>
          <w:lang w:val="en-I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23"/>
        <w:gridCol w:w="2747"/>
        <w:gridCol w:w="2746"/>
      </w:tblGrid>
      <w:tr w:rsidR="00FC4AE9" w:rsidRPr="00FC4AE9" w14:paraId="06FAEEB8" w14:textId="77777777" w:rsidTr="00FC4AE9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6B841E6C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Remerge Option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6900015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1D60005F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FC4AE9" w:rsidRPr="00FC4AE9" w14:paraId="0F32B9FB" w14:textId="77777777" w:rsidTr="00FC4AE9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3A4B0C7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01EBB61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-10.48%▼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6074017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-0.46%▼</w:t>
            </w:r>
          </w:p>
        </w:tc>
      </w:tr>
      <w:tr w:rsidR="00FC4AE9" w:rsidRPr="00FC4AE9" w14:paraId="06BB8862" w14:textId="77777777" w:rsidTr="00FC4AE9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8157CF8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B680511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-59.78%▼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40974840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-22.36%▼</w:t>
            </w:r>
          </w:p>
        </w:tc>
      </w:tr>
      <w:tr w:rsidR="00FC4AE9" w:rsidRPr="00FC4AE9" w14:paraId="2A58F031" w14:textId="77777777" w:rsidTr="00FC4AE9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36BD5DD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AF87D51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-16.73%▼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69EC53D5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9.1%▲</w:t>
            </w:r>
          </w:p>
        </w:tc>
      </w:tr>
    </w:tbl>
    <w:p w14:paraId="71E9CB2E" w14:textId="432DAE23" w:rsidR="00FC4AE9" w:rsidRDefault="00FC4AE9" w:rsidP="00FC4AE9">
      <w:pPr>
        <w:bidi w:val="0"/>
        <w:rPr>
          <w:lang w:val="en-I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54"/>
        <w:gridCol w:w="2631"/>
        <w:gridCol w:w="2631"/>
      </w:tblGrid>
      <w:tr w:rsidR="00FC4AE9" w:rsidRPr="00FC4AE9" w14:paraId="2D43F39C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1634A2E8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Relative Option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7C5A6AEE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3C525B2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FC4AE9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FC4AE9" w:rsidRPr="00FC4AE9" w14:paraId="5D5A86D3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2E56843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5DD9BD8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0.03%▲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1B08E94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0.5%▲</w:t>
            </w:r>
          </w:p>
        </w:tc>
      </w:tr>
      <w:tr w:rsidR="00FC4AE9" w:rsidRPr="00FC4AE9" w14:paraId="769B76EF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4F33C4B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25CFBD0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C00000"/>
                <w:szCs w:val="22"/>
              </w:rPr>
              <w:t>-0.17%▼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34352A10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0.52%▲</w:t>
            </w:r>
          </w:p>
        </w:tc>
      </w:tr>
      <w:tr w:rsidR="00FC4AE9" w:rsidRPr="00FC4AE9" w14:paraId="71417529" w14:textId="77777777" w:rsidTr="00FC4AE9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52EA7D5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FC4AE9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9E97DB5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1.88%▲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884EBC" w14:textId="77777777" w:rsidR="00FC4AE9" w:rsidRPr="00FC4AE9" w:rsidRDefault="00FC4AE9" w:rsidP="00FC4AE9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FC4AE9">
              <w:rPr>
                <w:rFonts w:ascii="Arial" w:eastAsia="Times New Roman" w:hAnsi="Arial" w:cs="Arial"/>
                <w:color w:val="375623"/>
                <w:szCs w:val="22"/>
              </w:rPr>
              <w:t>0.25%▲</w:t>
            </w:r>
          </w:p>
        </w:tc>
      </w:tr>
    </w:tbl>
    <w:p w14:paraId="4A7E42F1" w14:textId="77777777" w:rsidR="00FC4AE9" w:rsidRDefault="00FC4AE9" w:rsidP="00FC4AE9">
      <w:pPr>
        <w:bidi w:val="0"/>
        <w:rPr>
          <w:lang w:val="en-IL"/>
        </w:rPr>
      </w:pPr>
    </w:p>
    <w:p w14:paraId="15806BE1" w14:textId="07385A58" w:rsidR="00B2049C" w:rsidRDefault="00B2049C" w:rsidP="00B2049C">
      <w:pPr>
        <w:bidi w:val="0"/>
        <w:rPr>
          <w:lang w:val="en-IL"/>
        </w:rPr>
      </w:pPr>
      <w:r>
        <w:rPr>
          <w:lang w:val="en-IL"/>
        </w:rPr>
        <w:t xml:space="preserve">We conclude that when using </w:t>
      </w:r>
      <w:r w:rsidR="00DC170A" w:rsidRPr="00B2049C">
        <w:rPr>
          <w:lang w:val="en-IL"/>
        </w:rPr>
        <w:t xml:space="preserve">GN Modularity </w:t>
      </w:r>
      <w:r>
        <w:rPr>
          <w:lang w:val="en-IL"/>
        </w:rPr>
        <w:t xml:space="preserve">as the splitting function, </w:t>
      </w:r>
      <w:r w:rsidR="00FC4AE9">
        <w:rPr>
          <w:lang w:val="en-IL"/>
        </w:rPr>
        <w:t>it</w:t>
      </w:r>
      <w:r>
        <w:rPr>
          <w:lang w:val="en-IL"/>
        </w:rPr>
        <w:t xml:space="preserve"> is best to use it with </w:t>
      </w:r>
      <w:r w:rsidR="00FC4AE9">
        <w:rPr>
          <w:lang w:val="en-IL"/>
        </w:rPr>
        <w:t>the "Relative" option on, and while results on the "Random" option aren't as clear, we might still want to use it on large graphs.</w:t>
      </w:r>
    </w:p>
    <w:p w14:paraId="28A67996" w14:textId="79B647E7" w:rsidR="00FC4AE9" w:rsidRDefault="00E372BB" w:rsidP="00FC4AE9">
      <w:pPr>
        <w:bidi w:val="0"/>
        <w:rPr>
          <w:u w:val="single"/>
          <w:lang w:val="en-IL"/>
        </w:rPr>
      </w:pPr>
      <w:proofErr w:type="spellStart"/>
      <w:r>
        <w:rPr>
          <w:u w:val="single"/>
          <w:lang w:val="en-IL"/>
        </w:rPr>
        <w:t>YemeniteStep</w:t>
      </w:r>
      <w:proofErr w:type="spellEnd"/>
      <w:r w:rsidRPr="00577CEE">
        <w:rPr>
          <w:u w:val="single"/>
          <w:lang w:val="en-IL"/>
        </w:rPr>
        <w:t xml:space="preserve"> </w:t>
      </w:r>
      <w:r w:rsidR="00FC4AE9" w:rsidRPr="00577CEE">
        <w:rPr>
          <w:u w:val="single"/>
          <w:lang w:val="en-IL"/>
        </w:rPr>
        <w:t xml:space="preserve">with </w:t>
      </w:r>
      <w:r w:rsidR="00FC4AE9">
        <w:rPr>
          <w:u w:val="single"/>
          <w:lang w:val="en-IL"/>
        </w:rPr>
        <w:t xml:space="preserve">GN </w:t>
      </w:r>
      <w:r w:rsidR="00FC4AE9">
        <w:rPr>
          <w:u w:val="single"/>
          <w:lang w:val="en-IL"/>
        </w:rPr>
        <w:t>Conductance</w:t>
      </w:r>
    </w:p>
    <w:p w14:paraId="15934031" w14:textId="43A51B79" w:rsidR="00FC4AE9" w:rsidRDefault="00FC4AE9" w:rsidP="00FC4AE9">
      <w:pPr>
        <w:bidi w:val="0"/>
        <w:rPr>
          <w:lang w:val="en-IL"/>
        </w:rPr>
      </w:pPr>
      <w:r>
        <w:rPr>
          <w:lang w:val="en-IL"/>
        </w:rPr>
        <w:t xml:space="preserve">These are the results for how the three different options effected the evaluation metrices, when using </w:t>
      </w:r>
      <w:r w:rsidRPr="00B2049C">
        <w:rPr>
          <w:lang w:val="en-IL"/>
        </w:rPr>
        <w:t xml:space="preserve">GN </w:t>
      </w:r>
      <w:r w:rsidRPr="00FC4AE9">
        <w:rPr>
          <w:lang w:val="en-IL"/>
        </w:rPr>
        <w:t>Conductance</w:t>
      </w:r>
      <w:r w:rsidRPr="00FC4AE9">
        <w:rPr>
          <w:lang w:val="en-IL"/>
        </w:rPr>
        <w:t xml:space="preserve"> </w:t>
      </w:r>
      <w:r>
        <w:rPr>
          <w:lang w:val="en-IL"/>
        </w:rPr>
        <w:t>as the splitting function.</w:t>
      </w:r>
    </w:p>
    <w:p w14:paraId="4D126354" w14:textId="2DBED736" w:rsidR="00FC4AE9" w:rsidRDefault="00FC4AE9" w:rsidP="00FC4AE9">
      <w:pPr>
        <w:bidi w:val="0"/>
        <w:rPr>
          <w:lang w:val="en-IL"/>
        </w:rPr>
      </w:pPr>
      <w:r>
        <w:rPr>
          <w:lang w:val="en-IL"/>
        </w:rPr>
        <w:t xml:space="preserve">For each option (Random, Remerge) and for each graph size (1000, 10000) we calculated the affect on each metric (Modularity, Conductance, Jaccard). The </w:t>
      </w:r>
      <w:r w:rsidRPr="009A253A">
        <w:rPr>
          <w:i/>
          <w:iCs/>
          <w:lang w:val="en-IL"/>
        </w:rPr>
        <w:t>affect</w:t>
      </w:r>
      <w:r>
        <w:rPr>
          <w:lang w:val="en-IL"/>
        </w:rPr>
        <w:t xml:space="preserve"> is calculated as explained in </w:t>
      </w:r>
      <w:r w:rsidRPr="00B2049C">
        <w:rPr>
          <w:lang w:val="en-IL"/>
        </w:rPr>
        <w:t>Splitting with Louvain</w:t>
      </w:r>
      <w:r>
        <w:rPr>
          <w:lang w:val="en-IL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754"/>
        <w:gridCol w:w="2631"/>
        <w:gridCol w:w="2631"/>
      </w:tblGrid>
      <w:tr w:rsidR="008033F6" w:rsidRPr="008033F6" w14:paraId="5DAF6118" w14:textId="77777777" w:rsidTr="008033F6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0A78979A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8033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Random Option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F5CAB0A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8033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311A6C09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8033F6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8033F6" w:rsidRPr="008033F6" w14:paraId="6C44F68D" w14:textId="77777777" w:rsidTr="008033F6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2C2CCF07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8033F6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0F1C4E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375623"/>
                <w:szCs w:val="22"/>
              </w:rPr>
              <w:t>0.17%▲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34BDB13B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375623"/>
                <w:szCs w:val="22"/>
              </w:rPr>
              <w:t>0%▲</w:t>
            </w:r>
          </w:p>
        </w:tc>
      </w:tr>
      <w:tr w:rsidR="008033F6" w:rsidRPr="008033F6" w14:paraId="0645D2E2" w14:textId="77777777" w:rsidTr="008033F6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CB3826C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8033F6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7D9F452B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FF0000"/>
                <w:szCs w:val="22"/>
              </w:rPr>
              <w:t>-0.08%▼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622D7DF4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C00000"/>
                <w:szCs w:val="22"/>
              </w:rPr>
              <w:t>-0.04%▼</w:t>
            </w:r>
          </w:p>
        </w:tc>
      </w:tr>
      <w:tr w:rsidR="008033F6" w:rsidRPr="008033F6" w14:paraId="5745B82A" w14:textId="77777777" w:rsidTr="008033F6">
        <w:trPr>
          <w:trHeight w:val="276"/>
        </w:trPr>
        <w:tc>
          <w:tcPr>
            <w:tcW w:w="208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3FB7E864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8033F6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D5B1853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375623"/>
                <w:szCs w:val="22"/>
              </w:rPr>
              <w:t>3.41%▲</w:t>
            </w:r>
          </w:p>
        </w:tc>
        <w:tc>
          <w:tcPr>
            <w:tcW w:w="1459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AC0F361" w14:textId="77777777" w:rsidR="008033F6" w:rsidRPr="008033F6" w:rsidRDefault="008033F6" w:rsidP="008033F6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8033F6">
              <w:rPr>
                <w:rFonts w:ascii="Arial" w:eastAsia="Times New Roman" w:hAnsi="Arial" w:cs="Arial"/>
                <w:color w:val="375623"/>
                <w:szCs w:val="22"/>
              </w:rPr>
              <w:t>1.49%▲</w:t>
            </w:r>
          </w:p>
        </w:tc>
      </w:tr>
    </w:tbl>
    <w:p w14:paraId="03CF4F6B" w14:textId="77777777" w:rsidR="008033F6" w:rsidRDefault="008033F6" w:rsidP="008033F6">
      <w:pPr>
        <w:bidi w:val="0"/>
        <w:rPr>
          <w:lang w:val="en-IL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523"/>
        <w:gridCol w:w="2747"/>
        <w:gridCol w:w="2746"/>
      </w:tblGrid>
      <w:tr w:rsidR="00BD42DD" w:rsidRPr="00BD42DD" w14:paraId="03341FCA" w14:textId="77777777" w:rsidTr="00BD42DD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4217D321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BD42DD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Adding Remerge Option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0000"/>
            <w:noWrap/>
            <w:vAlign w:val="center"/>
            <w:hideMark/>
          </w:tcPr>
          <w:p w14:paraId="270B60B2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BD42DD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000000"/>
            <w:noWrap/>
            <w:vAlign w:val="center"/>
            <w:hideMark/>
          </w:tcPr>
          <w:p w14:paraId="7A895FFB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</w:pPr>
            <w:r w:rsidRPr="00BD42DD">
              <w:rPr>
                <w:rFonts w:ascii="Arial" w:eastAsia="Times New Roman" w:hAnsi="Arial" w:cs="Arial"/>
                <w:b/>
                <w:bCs/>
                <w:color w:val="FFFFFF"/>
                <w:szCs w:val="22"/>
              </w:rPr>
              <w:t>10000</w:t>
            </w:r>
          </w:p>
        </w:tc>
      </w:tr>
      <w:tr w:rsidR="00BD42DD" w:rsidRPr="00BD42DD" w14:paraId="0E827438" w14:textId="77777777" w:rsidTr="00BD42DD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01B448C0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BD42DD">
              <w:rPr>
                <w:rFonts w:ascii="Arial" w:eastAsia="Times New Roman" w:hAnsi="Arial" w:cs="Arial"/>
                <w:szCs w:val="22"/>
              </w:rPr>
              <w:t xml:space="preserve">Modularity 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C57A259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C00000"/>
                <w:szCs w:val="22"/>
              </w:rPr>
              <w:t>-6.82%▼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48FC34CD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C00000"/>
                <w:szCs w:val="22"/>
              </w:rPr>
              <w:t>-0.22%▼</w:t>
            </w:r>
          </w:p>
        </w:tc>
      </w:tr>
      <w:tr w:rsidR="00BD42DD" w:rsidRPr="00BD42DD" w14:paraId="2ED987AE" w14:textId="77777777" w:rsidTr="00BD42DD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DB1305B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BD42DD">
              <w:rPr>
                <w:rFonts w:ascii="Arial" w:eastAsia="Times New Roman" w:hAnsi="Arial" w:cs="Arial"/>
                <w:szCs w:val="22"/>
              </w:rPr>
              <w:t>Conductance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198ECBF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C00000"/>
                <w:szCs w:val="22"/>
              </w:rPr>
              <w:t>-33.58%▼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72BF457B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C00000"/>
                <w:szCs w:val="22"/>
              </w:rPr>
              <w:t>-14.78%▼</w:t>
            </w:r>
          </w:p>
        </w:tc>
      </w:tr>
      <w:tr w:rsidR="00BD42DD" w:rsidRPr="00BD42DD" w14:paraId="4CDDDA9A" w14:textId="77777777" w:rsidTr="00BD42DD">
        <w:trPr>
          <w:trHeight w:val="276"/>
        </w:trPr>
        <w:tc>
          <w:tcPr>
            <w:tcW w:w="19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6A36EBC2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szCs w:val="22"/>
              </w:rPr>
            </w:pPr>
            <w:r w:rsidRPr="00BD42DD">
              <w:rPr>
                <w:rFonts w:ascii="Arial" w:eastAsia="Times New Roman" w:hAnsi="Arial" w:cs="Arial"/>
                <w:szCs w:val="22"/>
              </w:rPr>
              <w:t>Jaccard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7FF719A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C00000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C00000"/>
                <w:szCs w:val="22"/>
              </w:rPr>
              <w:t>-7.25%▼</w:t>
            </w:r>
          </w:p>
        </w:tc>
        <w:tc>
          <w:tcPr>
            <w:tcW w:w="1523" w:type="pct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D9D9D9" w:fill="D9D9D9"/>
            <w:noWrap/>
            <w:vAlign w:val="center"/>
            <w:hideMark/>
          </w:tcPr>
          <w:p w14:paraId="7DB61202" w14:textId="77777777" w:rsidR="00BD42DD" w:rsidRPr="00BD42DD" w:rsidRDefault="00BD42DD" w:rsidP="00BD42DD">
            <w:pPr>
              <w:bidi w:val="0"/>
              <w:spacing w:after="0" w:line="240" w:lineRule="auto"/>
              <w:jc w:val="center"/>
              <w:rPr>
                <w:rFonts w:ascii="Arial" w:eastAsia="Times New Roman" w:hAnsi="Arial" w:cs="Arial"/>
                <w:color w:val="375623"/>
                <w:szCs w:val="22"/>
              </w:rPr>
            </w:pPr>
            <w:r w:rsidRPr="00BD42DD">
              <w:rPr>
                <w:rFonts w:ascii="Arial" w:eastAsia="Times New Roman" w:hAnsi="Arial" w:cs="Arial"/>
                <w:color w:val="375623"/>
                <w:szCs w:val="22"/>
              </w:rPr>
              <w:t>4.48%▲</w:t>
            </w:r>
          </w:p>
        </w:tc>
      </w:tr>
    </w:tbl>
    <w:p w14:paraId="03CD5F95" w14:textId="77777777" w:rsidR="00BD42DD" w:rsidRDefault="00BD42DD" w:rsidP="00BD42DD">
      <w:pPr>
        <w:bidi w:val="0"/>
        <w:rPr>
          <w:lang w:val="en-IL"/>
        </w:rPr>
      </w:pPr>
    </w:p>
    <w:p w14:paraId="346F074F" w14:textId="7EC1C319" w:rsidR="00BD42DD" w:rsidRDefault="00BD42DD" w:rsidP="00BD42DD">
      <w:pPr>
        <w:bidi w:val="0"/>
        <w:rPr>
          <w:lang w:val="en-IL"/>
        </w:rPr>
      </w:pPr>
      <w:r>
        <w:rPr>
          <w:lang w:val="en-IL"/>
        </w:rPr>
        <w:t xml:space="preserve">We conclude that when using </w:t>
      </w:r>
      <w:r w:rsidRPr="00B2049C">
        <w:rPr>
          <w:lang w:val="en-IL"/>
        </w:rPr>
        <w:t xml:space="preserve">GN </w:t>
      </w:r>
      <w:r w:rsidRPr="00FC4AE9">
        <w:rPr>
          <w:lang w:val="en-IL"/>
        </w:rPr>
        <w:t xml:space="preserve">Conductance </w:t>
      </w:r>
      <w:r>
        <w:rPr>
          <w:lang w:val="en-IL"/>
        </w:rPr>
        <w:t>as the splitting function, it is best to use it with the "</w:t>
      </w:r>
      <w:r>
        <w:rPr>
          <w:lang w:val="en-IL"/>
        </w:rPr>
        <w:t>Random</w:t>
      </w:r>
      <w:r>
        <w:rPr>
          <w:lang w:val="en-IL"/>
        </w:rPr>
        <w:t>" option on, and while results on the "</w:t>
      </w:r>
      <w:r>
        <w:rPr>
          <w:lang w:val="en-IL"/>
        </w:rPr>
        <w:t>Remerge</w:t>
      </w:r>
      <w:r>
        <w:rPr>
          <w:lang w:val="en-IL"/>
        </w:rPr>
        <w:t xml:space="preserve">" option </w:t>
      </w:r>
      <w:r w:rsidR="00E2575B">
        <w:rPr>
          <w:lang w:val="en-IL"/>
        </w:rPr>
        <w:t xml:space="preserve">have a </w:t>
      </w:r>
      <w:r>
        <w:rPr>
          <w:lang w:val="en-IL"/>
        </w:rPr>
        <w:t xml:space="preserve">surprising jump in </w:t>
      </w:r>
      <w:r w:rsidR="00E124B9">
        <w:rPr>
          <w:lang w:val="en-IL"/>
        </w:rPr>
        <w:t>Jaccard metric in large graph</w:t>
      </w:r>
      <w:r w:rsidR="00E2575B">
        <w:rPr>
          <w:lang w:val="en-IL"/>
        </w:rPr>
        <w:t xml:space="preserve">, we decide to not use this option. </w:t>
      </w:r>
    </w:p>
    <w:p w14:paraId="6A668845" w14:textId="7A86B85F" w:rsidR="00E2575B" w:rsidRDefault="00E2575B" w:rsidP="00E2575B">
      <w:pPr>
        <w:bidi w:val="0"/>
        <w:rPr>
          <w:lang w:val="en-IL"/>
        </w:rPr>
      </w:pPr>
    </w:p>
    <w:p w14:paraId="1BDDD191" w14:textId="7C7A5613" w:rsidR="00E2575B" w:rsidRDefault="00E2575B" w:rsidP="00E2575B">
      <w:pPr>
        <w:bidi w:val="0"/>
        <w:rPr>
          <w:b/>
          <w:bCs/>
          <w:u w:val="single"/>
          <w:lang w:val="en-IL"/>
        </w:rPr>
      </w:pPr>
      <w:r>
        <w:rPr>
          <w:b/>
          <w:bCs/>
          <w:u w:val="single"/>
          <w:lang w:val="en-IL"/>
        </w:rPr>
        <w:t>Comparing results between</w:t>
      </w:r>
      <w:r>
        <w:rPr>
          <w:b/>
          <w:bCs/>
          <w:u w:val="single"/>
          <w:lang w:val="en-IL"/>
        </w:rPr>
        <w:t xml:space="preserve"> method</w:t>
      </w:r>
      <w:r>
        <w:rPr>
          <w:b/>
          <w:bCs/>
          <w:u w:val="single"/>
          <w:lang w:val="en-IL"/>
        </w:rPr>
        <w:t>s with chosen options</w:t>
      </w:r>
    </w:p>
    <w:p w14:paraId="6B2C9F3E" w14:textId="77777777" w:rsidR="00E44CD1" w:rsidRDefault="00E44CD1" w:rsidP="00E44CD1">
      <w:pPr>
        <w:bidi w:val="0"/>
        <w:rPr>
          <w:lang w:val="en-IL"/>
        </w:rPr>
      </w:pPr>
      <w:r w:rsidRPr="00E44CD1">
        <w:rPr>
          <w:lang w:val="en-IL"/>
        </w:rPr>
        <w:t>The m</w:t>
      </w:r>
      <w:r>
        <w:rPr>
          <w:lang w:val="en-IL"/>
        </w:rPr>
        <w:t>ethods we are comparing are:</w:t>
      </w:r>
    </w:p>
    <w:p w14:paraId="01F663FC" w14:textId="60F1721C" w:rsidR="00E44CD1" w:rsidRDefault="00E372BB" w:rsidP="00E44CD1">
      <w:pPr>
        <w:pStyle w:val="ListParagraph"/>
        <w:numPr>
          <w:ilvl w:val="0"/>
          <w:numId w:val="1"/>
        </w:numPr>
        <w:bidi w:val="0"/>
        <w:rPr>
          <w:lang w:val="en-IL"/>
        </w:rPr>
      </w:pPr>
      <w:proofErr w:type="spellStart"/>
      <w:r>
        <w:rPr>
          <w:u w:val="single"/>
          <w:lang w:val="en-IL"/>
        </w:rPr>
        <w:t>YemeniteStep</w:t>
      </w:r>
      <w:proofErr w:type="spellEnd"/>
      <w:r w:rsidRPr="00577CEE">
        <w:rPr>
          <w:u w:val="single"/>
          <w:lang w:val="en-IL"/>
        </w:rPr>
        <w:t xml:space="preserve"> </w:t>
      </w:r>
      <w:r w:rsidR="00E44CD1" w:rsidRPr="00E44CD1">
        <w:rPr>
          <w:lang w:val="en-IL"/>
        </w:rPr>
        <w:t>with Louvain</w:t>
      </w:r>
      <w:r w:rsidR="00E44CD1">
        <w:rPr>
          <w:lang w:val="en-IL"/>
        </w:rPr>
        <w:t xml:space="preserve"> – with no additional options</w:t>
      </w:r>
    </w:p>
    <w:p w14:paraId="4B6EBE07" w14:textId="68217BF6" w:rsidR="00E44CD1" w:rsidRDefault="00E372BB" w:rsidP="00E44CD1">
      <w:pPr>
        <w:pStyle w:val="ListParagraph"/>
        <w:numPr>
          <w:ilvl w:val="0"/>
          <w:numId w:val="1"/>
        </w:numPr>
        <w:bidi w:val="0"/>
        <w:rPr>
          <w:lang w:val="en-IL"/>
        </w:rPr>
      </w:pPr>
      <w:proofErr w:type="spellStart"/>
      <w:r>
        <w:rPr>
          <w:u w:val="single"/>
          <w:lang w:val="en-IL"/>
        </w:rPr>
        <w:t>YemeniteStep</w:t>
      </w:r>
      <w:proofErr w:type="spellEnd"/>
      <w:r w:rsidRPr="00577CEE">
        <w:rPr>
          <w:u w:val="single"/>
          <w:lang w:val="en-IL"/>
        </w:rPr>
        <w:t xml:space="preserve"> </w:t>
      </w:r>
      <w:r w:rsidR="00E44CD1" w:rsidRPr="00E44CD1">
        <w:rPr>
          <w:lang w:val="en-IL"/>
        </w:rPr>
        <w:t>with GN Modularity</w:t>
      </w:r>
      <w:r w:rsidR="00E44CD1">
        <w:rPr>
          <w:lang w:val="en-IL"/>
        </w:rPr>
        <w:t xml:space="preserve"> – with "Random" and "Relative" options</w:t>
      </w:r>
    </w:p>
    <w:p w14:paraId="194DDA8E" w14:textId="29B38C7E" w:rsidR="00E44CD1" w:rsidRDefault="00E372BB" w:rsidP="00E44CD1">
      <w:pPr>
        <w:pStyle w:val="ListParagraph"/>
        <w:numPr>
          <w:ilvl w:val="0"/>
          <w:numId w:val="1"/>
        </w:numPr>
        <w:bidi w:val="0"/>
        <w:rPr>
          <w:lang w:val="en-IL"/>
        </w:rPr>
      </w:pPr>
      <w:proofErr w:type="spellStart"/>
      <w:r>
        <w:rPr>
          <w:u w:val="single"/>
          <w:lang w:val="en-IL"/>
        </w:rPr>
        <w:t>YemniteStep</w:t>
      </w:r>
      <w:proofErr w:type="spellEnd"/>
      <w:r w:rsidRPr="00577CEE">
        <w:rPr>
          <w:u w:val="single"/>
          <w:lang w:val="en-IL"/>
        </w:rPr>
        <w:t xml:space="preserve"> </w:t>
      </w:r>
      <w:r w:rsidR="00E44CD1" w:rsidRPr="00E44CD1">
        <w:rPr>
          <w:lang w:val="en-IL"/>
        </w:rPr>
        <w:t>with GN Conductance</w:t>
      </w:r>
      <w:r w:rsidR="00E44CD1">
        <w:rPr>
          <w:lang w:val="en-IL"/>
        </w:rPr>
        <w:t xml:space="preserve"> – with </w:t>
      </w:r>
      <w:r w:rsidR="00E44CD1">
        <w:rPr>
          <w:lang w:val="en-IL"/>
        </w:rPr>
        <w:t>"Random" option</w:t>
      </w:r>
    </w:p>
    <w:p w14:paraId="6A002E84" w14:textId="586439BB" w:rsidR="00E372BB" w:rsidRDefault="00E372BB" w:rsidP="00E372BB">
      <w:pPr>
        <w:bidi w:val="0"/>
        <w:rPr>
          <w:lang w:val="en-IL"/>
        </w:rPr>
      </w:pPr>
      <w:r>
        <w:rPr>
          <w:lang w:val="en-IL"/>
        </w:rPr>
        <w:t xml:space="preserve">We are comparing all methods to the results of running the regular Louvain and Newman algorithms. </w:t>
      </w:r>
    </w:p>
    <w:p w14:paraId="62034E12" w14:textId="77777777" w:rsidR="0027216E" w:rsidRDefault="0027216E" w:rsidP="0027216E">
      <w:pPr>
        <w:bidi w:val="0"/>
        <w:rPr>
          <w:noProof/>
        </w:rPr>
      </w:pPr>
    </w:p>
    <w:p w14:paraId="1E6E7A22" w14:textId="77777777" w:rsidR="0027216E" w:rsidRDefault="0027216E" w:rsidP="0027216E">
      <w:pPr>
        <w:bidi w:val="0"/>
        <w:rPr>
          <w:noProof/>
        </w:rPr>
      </w:pPr>
    </w:p>
    <w:p w14:paraId="130797FD" w14:textId="77777777" w:rsidR="0027216E" w:rsidRPr="0027216E" w:rsidRDefault="0027216E" w:rsidP="0027216E">
      <w:pPr>
        <w:bidi w:val="0"/>
        <w:rPr>
          <w:noProof/>
          <w:u w:val="single"/>
        </w:rPr>
      </w:pPr>
    </w:p>
    <w:p w14:paraId="1807B119" w14:textId="01DCD5BE" w:rsidR="0027216E" w:rsidRDefault="0027216E" w:rsidP="0027216E">
      <w:pPr>
        <w:bidi w:val="0"/>
        <w:rPr>
          <w:noProof/>
          <w:u w:val="single"/>
          <w:lang w:val="en-IL"/>
        </w:rPr>
      </w:pPr>
      <w:r w:rsidRPr="0027216E">
        <w:rPr>
          <w:noProof/>
          <w:u w:val="single"/>
          <w:lang w:val="en-IL"/>
        </w:rPr>
        <w:lastRenderedPageBreak/>
        <w:t>Modularity</w:t>
      </w:r>
      <w:r w:rsidRPr="0027216E">
        <w:rPr>
          <w:noProof/>
          <w:u w:val="single"/>
        </w:rPr>
        <w:t xml:space="preserve"> </w:t>
      </w:r>
      <w:r w:rsidRPr="0027216E">
        <w:rPr>
          <w:noProof/>
          <w:u w:val="single"/>
          <w:lang w:val="en-IL"/>
        </w:rPr>
        <w:t>Results</w:t>
      </w:r>
    </w:p>
    <w:p w14:paraId="10009585" w14:textId="58612BF0" w:rsidR="0027216E" w:rsidRPr="0027216E" w:rsidRDefault="0027216E" w:rsidP="0027216E">
      <w:pPr>
        <w:bidi w:val="0"/>
        <w:rPr>
          <w:u w:val="single"/>
          <w:lang w:val="en-IL"/>
        </w:rPr>
      </w:pPr>
      <w:r>
        <w:rPr>
          <w:noProof/>
        </w:rPr>
        <w:drawing>
          <wp:inline distT="0" distB="0" distL="0" distR="0" wp14:anchorId="22DF7F17" wp14:editId="5C2B3D91">
            <wp:extent cx="2790825" cy="1813560"/>
            <wp:effectExtent l="0" t="0" r="9525" b="1524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4856F74-D04B-2796-A25B-8BBBCDBCBBA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7AD164" wp14:editId="01E5D63F">
            <wp:extent cx="2714625" cy="1813560"/>
            <wp:effectExtent l="0" t="0" r="9525" b="1524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D83AE1B4-F04A-7EC9-355D-60B445BB59B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D5C17A4" w14:textId="227BDB54" w:rsidR="00E2575B" w:rsidRDefault="00BB0604" w:rsidP="00BB0604">
      <w:pPr>
        <w:bidi w:val="0"/>
        <w:jc w:val="center"/>
        <w:rPr>
          <w:lang w:val="en-IL"/>
        </w:rPr>
      </w:pPr>
      <w:r w:rsidRPr="00BB0604">
        <w:rPr>
          <w:lang w:val="en-IL"/>
        </w:rPr>
        <w:drawing>
          <wp:inline distT="0" distB="0" distL="0" distR="0" wp14:anchorId="492BC4B8" wp14:editId="589497C8">
            <wp:extent cx="3400425" cy="28179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12" cy="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AF752" w14:textId="19A92FFD" w:rsidR="00BB0604" w:rsidRDefault="00BB0604" w:rsidP="00BB0604">
      <w:pPr>
        <w:bidi w:val="0"/>
        <w:rPr>
          <w:noProof/>
          <w:u w:val="single"/>
          <w:lang w:val="en-IL"/>
        </w:rPr>
      </w:pPr>
      <w:r>
        <w:rPr>
          <w:noProof/>
          <w:u w:val="single"/>
          <w:lang w:val="en-IL"/>
        </w:rPr>
        <w:t>Conductance</w:t>
      </w:r>
      <w:r w:rsidRPr="0027216E">
        <w:rPr>
          <w:noProof/>
          <w:u w:val="single"/>
        </w:rPr>
        <w:t xml:space="preserve"> </w:t>
      </w:r>
      <w:r w:rsidRPr="0027216E">
        <w:rPr>
          <w:noProof/>
          <w:u w:val="single"/>
          <w:lang w:val="en-IL"/>
        </w:rPr>
        <w:t>Results</w:t>
      </w:r>
    </w:p>
    <w:p w14:paraId="0AA2B017" w14:textId="4A76F0BE" w:rsidR="00BB0604" w:rsidRDefault="00BB0604" w:rsidP="00BB0604">
      <w:pPr>
        <w:bidi w:val="0"/>
        <w:rPr>
          <w:noProof/>
          <w:u w:val="single"/>
          <w:lang w:val="en-IL"/>
        </w:rPr>
      </w:pPr>
      <w:r>
        <w:rPr>
          <w:noProof/>
        </w:rPr>
        <w:drawing>
          <wp:inline distT="0" distB="0" distL="0" distR="0" wp14:anchorId="4FFE92BF" wp14:editId="15FEEFB0">
            <wp:extent cx="2771775" cy="1863090"/>
            <wp:effectExtent l="0" t="0" r="9525" b="381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FB34CC55-DF37-22B6-EAA9-2A0E7217D9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792637" wp14:editId="003540AD">
            <wp:extent cx="2800350" cy="1849120"/>
            <wp:effectExtent l="0" t="0" r="0" b="177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AF6EE836-AD21-6C72-6FCB-FDBDC2F338E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D4AF2C3" w14:textId="77777777" w:rsidR="00BB0604" w:rsidRDefault="00BB0604" w:rsidP="00BB0604">
      <w:pPr>
        <w:bidi w:val="0"/>
        <w:jc w:val="center"/>
        <w:rPr>
          <w:noProof/>
          <w:u w:val="single"/>
          <w:lang w:val="en-IL"/>
        </w:rPr>
      </w:pPr>
      <w:r w:rsidRPr="00BB0604">
        <w:rPr>
          <w:lang w:val="en-IL"/>
        </w:rPr>
        <w:drawing>
          <wp:inline distT="0" distB="0" distL="0" distR="0" wp14:anchorId="24E3DA52" wp14:editId="543B3628">
            <wp:extent cx="3400425" cy="281799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12" cy="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31F73" w14:textId="0CA411C9" w:rsidR="00BB0604" w:rsidRDefault="00BB0604" w:rsidP="00BB0604">
      <w:pPr>
        <w:bidi w:val="0"/>
        <w:rPr>
          <w:noProof/>
          <w:u w:val="single"/>
          <w:lang w:val="en-IL"/>
        </w:rPr>
      </w:pPr>
      <w:r>
        <w:rPr>
          <w:noProof/>
          <w:u w:val="single"/>
          <w:lang w:val="en-IL"/>
        </w:rPr>
        <w:t>Jaccard</w:t>
      </w:r>
      <w:r w:rsidRPr="0027216E">
        <w:rPr>
          <w:noProof/>
          <w:u w:val="single"/>
        </w:rPr>
        <w:t xml:space="preserve"> </w:t>
      </w:r>
      <w:r w:rsidRPr="0027216E">
        <w:rPr>
          <w:noProof/>
          <w:u w:val="single"/>
          <w:lang w:val="en-IL"/>
        </w:rPr>
        <w:t>Results</w:t>
      </w:r>
    </w:p>
    <w:p w14:paraId="0843A076" w14:textId="1309FA91" w:rsidR="00BB0604" w:rsidRDefault="003E442F" w:rsidP="003E442F">
      <w:pPr>
        <w:bidi w:val="0"/>
        <w:rPr>
          <w:lang w:val="en-IL"/>
        </w:rPr>
      </w:pPr>
      <w:r>
        <w:rPr>
          <w:noProof/>
        </w:rPr>
        <w:drawing>
          <wp:inline distT="0" distB="0" distL="0" distR="0" wp14:anchorId="110B0D92" wp14:editId="13D210E4">
            <wp:extent cx="2781300" cy="1819275"/>
            <wp:effectExtent l="0" t="0" r="0" b="9525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5FA35B3-E70B-558C-F983-058269BEE9A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9D083" wp14:editId="31E22DE2">
            <wp:extent cx="2800350" cy="1877695"/>
            <wp:effectExtent l="0" t="0" r="0" b="8255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AABC444F-5A47-BFB6-B2E4-46657BE78F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00DE3AD6" w14:textId="0D197F5C" w:rsidR="003E442F" w:rsidRDefault="003E442F" w:rsidP="003E442F">
      <w:pPr>
        <w:bidi w:val="0"/>
        <w:jc w:val="center"/>
        <w:rPr>
          <w:lang w:val="en-IL"/>
        </w:rPr>
      </w:pPr>
      <w:r w:rsidRPr="00BB0604">
        <w:rPr>
          <w:lang w:val="en-IL"/>
        </w:rPr>
        <w:drawing>
          <wp:inline distT="0" distB="0" distL="0" distR="0" wp14:anchorId="2D12708E" wp14:editId="3774B806">
            <wp:extent cx="3400425" cy="281799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1312" cy="28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7B255" w14:textId="6AEBE7D9" w:rsidR="008E192A" w:rsidRDefault="008E192A" w:rsidP="008E192A">
      <w:pPr>
        <w:bidi w:val="0"/>
        <w:rPr>
          <w:lang w:val="en-IL"/>
        </w:rPr>
      </w:pPr>
      <w:r>
        <w:rPr>
          <w:lang w:val="en-IL"/>
        </w:rPr>
        <w:t xml:space="preserve">In the Jaccard </w:t>
      </w:r>
    </w:p>
    <w:sectPr w:rsidR="008E192A" w:rsidSect="00E4388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501DD1"/>
    <w:multiLevelType w:val="hybridMultilevel"/>
    <w:tmpl w:val="010C9B08"/>
    <w:lvl w:ilvl="0" w:tplc="98243B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7824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EE"/>
    <w:rsid w:val="0027216E"/>
    <w:rsid w:val="003E442F"/>
    <w:rsid w:val="004314F3"/>
    <w:rsid w:val="00577CEE"/>
    <w:rsid w:val="006C4008"/>
    <w:rsid w:val="008033F6"/>
    <w:rsid w:val="008E192A"/>
    <w:rsid w:val="009A253A"/>
    <w:rsid w:val="00AB1D7E"/>
    <w:rsid w:val="00B2049C"/>
    <w:rsid w:val="00BB0604"/>
    <w:rsid w:val="00BD42DD"/>
    <w:rsid w:val="00C44EF6"/>
    <w:rsid w:val="00DC170A"/>
    <w:rsid w:val="00E124B9"/>
    <w:rsid w:val="00E2575B"/>
    <w:rsid w:val="00E372BB"/>
    <w:rsid w:val="00E43885"/>
    <w:rsid w:val="00E44CD1"/>
    <w:rsid w:val="00F23AAB"/>
    <w:rsid w:val="00FC4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E063"/>
  <w15:chartTrackingRefBased/>
  <w15:docId w15:val="{BD375D3B-63BF-4736-B93E-72A520B8E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Calibri"/>
        <w:color w:val="000000"/>
        <w:sz w:val="22"/>
        <w:szCs w:val="24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6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253A"/>
    <w:rPr>
      <w:color w:val="808080"/>
    </w:rPr>
  </w:style>
  <w:style w:type="paragraph" w:styleId="ListParagraph">
    <w:name w:val="List Paragraph"/>
    <w:basedOn w:val="Normal"/>
    <w:uiPriority w:val="34"/>
    <w:qFormat/>
    <w:rsid w:val="00E44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9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26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3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4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11" Type="http://schemas.openxmlformats.org/officeDocument/2006/relationships/chart" Target="charts/chart6.xml"/><Relationship Id="rId5" Type="http://schemas.openxmlformats.org/officeDocument/2006/relationships/chart" Target="charts/chart1.xml"/><Relationship Id="rId10" Type="http://schemas.openxmlformats.org/officeDocument/2006/relationships/chart" Target="charts/chart5.xml"/><Relationship Id="rId4" Type="http://schemas.openxmlformats.org/officeDocument/2006/relationships/webSettings" Target="webSetting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bam\OneDrive%20-%20mail.tau.ac.il\Biological%20Networks\BioNetworkClustering\Results\allResstats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rtl="0"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/>
              <a:t>Modularity</a:t>
            </a:r>
            <a:r>
              <a:rPr lang="en-IL" sz="1200" baseline="0"/>
              <a:t> on size 1000</a:t>
            </a:r>
            <a:endParaRPr 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Sheet3!$H$4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Sheet3!$I$3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Sheet3!$I$4</c:f>
              <c:numCache>
                <c:formatCode>General</c:formatCode>
                <c:ptCount val="1"/>
                <c:pt idx="0">
                  <c:v>0.46214917430000008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36-4454-A872-4F089B6F6EE0}"/>
            </c:ext>
          </c:extLst>
        </c:ser>
        <c:ser>
          <c:idx val="1"/>
          <c:order val="1"/>
          <c:tx>
            <c:strRef>
              <c:f>Sheet3!$H$5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Sheet3!$I$3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Sheet3!$I$5</c:f>
              <c:numCache>
                <c:formatCode>General</c:formatCode>
                <c:ptCount val="1"/>
                <c:pt idx="0">
                  <c:v>0.46276258403333326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336-4454-A872-4F089B6F6EE0}"/>
            </c:ext>
          </c:extLst>
        </c:ser>
        <c:ser>
          <c:idx val="2"/>
          <c:order val="2"/>
          <c:tx>
            <c:strRef>
              <c:f>Sheet3!$H$6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Sheet3!$I$3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Sheet3!$I$6</c:f>
              <c:numCache>
                <c:formatCode>General</c:formatCode>
                <c:ptCount val="1"/>
                <c:pt idx="0">
                  <c:v>0.46279300816666663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336-4454-A872-4F089B6F6EE0}"/>
            </c:ext>
          </c:extLst>
        </c:ser>
        <c:ser>
          <c:idx val="3"/>
          <c:order val="3"/>
          <c:tx>
            <c:strRef>
              <c:f>Sheet3!$H$7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Sheet3!$I$3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Sheet3!$I$7</c:f>
              <c:numCache>
                <c:formatCode>General</c:formatCode>
                <c:ptCount val="1"/>
                <c:pt idx="0">
                  <c:v>0.46038289359999995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8336-4454-A872-4F089B6F6EE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35683160"/>
        <c:axId val="635681520"/>
      </c:barChart>
      <c:catAx>
        <c:axId val="63568316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35681520"/>
        <c:crosses val="autoZero"/>
        <c:auto val="1"/>
        <c:lblAlgn val="ctr"/>
        <c:lblOffset val="100"/>
        <c:noMultiLvlLbl val="0"/>
      </c:catAx>
      <c:valAx>
        <c:axId val="63568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3568316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 b="0" i="0" baseline="0">
                <a:effectLst/>
              </a:rPr>
              <a:t>Modularity on size 10000</a:t>
            </a:r>
            <a:endParaRPr lang="he-IL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Sheet3!$K$4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Sheet3!$L$3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Sheet3!$L$4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53E1-477D-8A46-E4ECF0C26E06}"/>
            </c:ext>
          </c:extLst>
        </c:ser>
        <c:ser>
          <c:idx val="1"/>
          <c:order val="1"/>
          <c:tx>
            <c:strRef>
              <c:f>Sheet3!$K$5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Sheet3!$L$3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Sheet3!$L$5</c:f>
              <c:numCache>
                <c:formatCode>General</c:formatCode>
                <c:ptCount val="1"/>
                <c:pt idx="0">
                  <c:v>0.50406748254545442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3E1-477D-8A46-E4ECF0C26E06}"/>
            </c:ext>
          </c:extLst>
        </c:ser>
        <c:ser>
          <c:idx val="2"/>
          <c:order val="2"/>
          <c:tx>
            <c:strRef>
              <c:f>Sheet3!$K$6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Sheet3!$L$3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Sheet3!$L$6</c:f>
              <c:numCache>
                <c:formatCode>General</c:formatCode>
                <c:ptCount val="1"/>
                <c:pt idx="0">
                  <c:v>0.50387273173333325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3E1-477D-8A46-E4ECF0C26E06}"/>
            </c:ext>
          </c:extLst>
        </c:ser>
        <c:ser>
          <c:idx val="3"/>
          <c:order val="3"/>
          <c:tx>
            <c:strRef>
              <c:f>Sheet3!$K$7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Sheet3!$L$3</c:f>
              <c:strCache>
                <c:ptCount val="1"/>
                <c:pt idx="0">
                  <c:v>Modularity</c:v>
                </c:pt>
              </c:strCache>
            </c:strRef>
          </c:cat>
          <c:val>
            <c:numRef>
              <c:f>Sheet3!$L$7</c:f>
              <c:numCache>
                <c:formatCode>General</c:formatCode>
                <c:ptCount val="1"/>
                <c:pt idx="0">
                  <c:v>0.50410386460000012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3E1-477D-8A46-E4ECF0C26E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6669696"/>
        <c:axId val="856664448"/>
      </c:barChart>
      <c:catAx>
        <c:axId val="8566696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6664448"/>
        <c:crosses val="autoZero"/>
        <c:auto val="1"/>
        <c:lblAlgn val="ctr"/>
        <c:lblOffset val="100"/>
        <c:noMultiLvlLbl val="0"/>
      </c:catAx>
      <c:valAx>
        <c:axId val="856664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6669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 b="0" i="0" baseline="0">
                <a:effectLst/>
              </a:rPr>
              <a:t>Conductance on size 1000</a:t>
            </a:r>
            <a:endParaRPr lang="he-IL" sz="1200">
              <a:effectLst/>
            </a:endParaRPr>
          </a:p>
        </c:rich>
      </c:tx>
      <c:layout>
        <c:manualLayout>
          <c:xMode val="edge"/>
          <c:yMode val="edge"/>
          <c:x val="0.18992522841861262"/>
          <c:y val="5.45330606680299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Sheet3!$H$12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Sheet3!$I$11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Sheet3!$I$12</c:f>
              <c:numCache>
                <c:formatCode>General</c:formatCode>
                <c:ptCount val="1"/>
                <c:pt idx="0">
                  <c:v>0.50562590720000011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17-4D2C-B59A-D0E77AC70E0C}"/>
            </c:ext>
          </c:extLst>
        </c:ser>
        <c:ser>
          <c:idx val="1"/>
          <c:order val="1"/>
          <c:tx>
            <c:strRef>
              <c:f>Sheet3!$H$13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Sheet3!$I$11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Sheet3!$I$13</c:f>
              <c:numCache>
                <c:formatCode>General</c:formatCode>
                <c:ptCount val="1"/>
                <c:pt idx="0">
                  <c:v>0.50545768116666656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217-4D2C-B59A-D0E77AC70E0C}"/>
            </c:ext>
          </c:extLst>
        </c:ser>
        <c:ser>
          <c:idx val="2"/>
          <c:order val="2"/>
          <c:tx>
            <c:strRef>
              <c:f>Sheet3!$H$14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Sheet3!$I$11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Sheet3!$I$14</c:f>
              <c:numCache>
                <c:formatCode>General</c:formatCode>
                <c:ptCount val="1"/>
                <c:pt idx="0">
                  <c:v>0.50593355006666674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217-4D2C-B59A-D0E77AC70E0C}"/>
            </c:ext>
          </c:extLst>
        </c:ser>
        <c:ser>
          <c:idx val="3"/>
          <c:order val="3"/>
          <c:tx>
            <c:strRef>
              <c:f>Sheet3!$H$15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Sheet3!$I$11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Sheet3!$I$15</c:f>
              <c:numCache>
                <c:formatCode>General</c:formatCode>
                <c:ptCount val="1"/>
                <c:pt idx="0">
                  <c:v>0.50635079230000002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217-4D2C-B59A-D0E77AC70E0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56667072"/>
        <c:axId val="856671336"/>
      </c:barChart>
      <c:catAx>
        <c:axId val="856667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6671336"/>
        <c:crosses val="autoZero"/>
        <c:auto val="1"/>
        <c:lblAlgn val="ctr"/>
        <c:lblOffset val="100"/>
        <c:noMultiLvlLbl val="0"/>
      </c:catAx>
      <c:valAx>
        <c:axId val="856671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56667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 b="0" i="0" baseline="0">
                <a:effectLst/>
              </a:rPr>
              <a:t>Conductance on size 10000</a:t>
            </a:r>
            <a:endParaRPr lang="he-I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Sheet3!$K$12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Sheet3!$L$11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Sheet3!$L$12</c:f>
              <c:numCache>
                <c:formatCode>General</c:formatCode>
                <c:ptCount val="1"/>
              </c:numCache>
            </c:numRef>
          </c:val>
          <c:extLst>
            <c:ext xmlns:c16="http://schemas.microsoft.com/office/drawing/2014/chart" uri="{C3380CC4-5D6E-409C-BE32-E72D297353CC}">
              <c16:uniqueId val="{00000000-B064-42A8-B3D7-321D2ED42FD9}"/>
            </c:ext>
          </c:extLst>
        </c:ser>
        <c:ser>
          <c:idx val="1"/>
          <c:order val="1"/>
          <c:tx>
            <c:strRef>
              <c:f>Sheet3!$K$13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Sheet3!$L$11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Sheet3!$L$13</c:f>
              <c:numCache>
                <c:formatCode>General</c:formatCode>
                <c:ptCount val="1"/>
                <c:pt idx="0">
                  <c:v>0.51710027245454571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064-42A8-B3D7-321D2ED42FD9}"/>
            </c:ext>
          </c:extLst>
        </c:ser>
        <c:ser>
          <c:idx val="2"/>
          <c:order val="2"/>
          <c:tx>
            <c:strRef>
              <c:f>Sheet3!$K$14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Sheet3!$L$11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Sheet3!$L$14</c:f>
              <c:numCache>
                <c:formatCode>General</c:formatCode>
                <c:ptCount val="1"/>
                <c:pt idx="0">
                  <c:v>0.51708361336666653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064-42A8-B3D7-321D2ED42FD9}"/>
            </c:ext>
          </c:extLst>
        </c:ser>
        <c:ser>
          <c:idx val="3"/>
          <c:order val="3"/>
          <c:tx>
            <c:strRef>
              <c:f>Sheet3!$K$15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Sheet3!$L$11</c:f>
              <c:strCache>
                <c:ptCount val="1"/>
                <c:pt idx="0">
                  <c:v>Conductance</c:v>
                </c:pt>
              </c:strCache>
            </c:strRef>
          </c:cat>
          <c:val>
            <c:numRef>
              <c:f>Sheet3!$L$15</c:f>
              <c:numCache>
                <c:formatCode>General</c:formatCode>
                <c:ptCount val="1"/>
                <c:pt idx="0">
                  <c:v>0.51712577203333343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B064-42A8-B3D7-321D2ED42FD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4252848"/>
        <c:axId val="684252192"/>
      </c:barChart>
      <c:catAx>
        <c:axId val="684252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4252192"/>
        <c:crosses val="autoZero"/>
        <c:auto val="1"/>
        <c:lblAlgn val="ctr"/>
        <c:lblOffset val="100"/>
        <c:noMultiLvlLbl val="0"/>
      </c:catAx>
      <c:valAx>
        <c:axId val="684252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42528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 b="0" i="0" baseline="0">
                <a:effectLst/>
              </a:rPr>
              <a:t>Jaccard on size 1000</a:t>
            </a:r>
            <a:endParaRPr lang="he-IL" sz="12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Sheet3!$H$20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Sheet3!$I$19</c:f>
              <c:strCache>
                <c:ptCount val="1"/>
                <c:pt idx="0">
                  <c:v>Jaccard (1000)</c:v>
                </c:pt>
              </c:strCache>
            </c:strRef>
          </c:cat>
          <c:val>
            <c:numRef>
              <c:f>Sheet3!$I$20</c:f>
              <c:numCache>
                <c:formatCode>General</c:formatCode>
                <c:ptCount val="1"/>
                <c:pt idx="0">
                  <c:v>0.79925290256666703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5-4592-A1CE-CD08A496BDE3}"/>
            </c:ext>
          </c:extLst>
        </c:ser>
        <c:ser>
          <c:idx val="1"/>
          <c:order val="1"/>
          <c:tx>
            <c:strRef>
              <c:f>Sheet3!$H$21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Sheet3!$I$19</c:f>
              <c:strCache>
                <c:ptCount val="1"/>
                <c:pt idx="0">
                  <c:v>Jaccard (1000)</c:v>
                </c:pt>
              </c:strCache>
            </c:strRef>
          </c:cat>
          <c:val>
            <c:numRef>
              <c:f>Sheet3!$I$21</c:f>
              <c:numCache>
                <c:formatCode>General</c:formatCode>
                <c:ptCount val="1"/>
                <c:pt idx="0">
                  <c:v>0.81729674493333337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5-4592-A1CE-CD08A496BDE3}"/>
            </c:ext>
          </c:extLst>
        </c:ser>
        <c:ser>
          <c:idx val="2"/>
          <c:order val="2"/>
          <c:tx>
            <c:strRef>
              <c:f>Sheet3!$H$22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Sheet3!$I$19</c:f>
              <c:strCache>
                <c:ptCount val="1"/>
                <c:pt idx="0">
                  <c:v>Jaccard (1000)</c:v>
                </c:pt>
              </c:strCache>
            </c:strRef>
          </c:cat>
          <c:val>
            <c:numRef>
              <c:f>Sheet3!$I$22</c:f>
              <c:numCache>
                <c:formatCode>General</c:formatCode>
                <c:ptCount val="1"/>
                <c:pt idx="0">
                  <c:v>0.80804620843333319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A25-4592-A1CE-CD08A496BDE3}"/>
            </c:ext>
          </c:extLst>
        </c:ser>
        <c:ser>
          <c:idx val="3"/>
          <c:order val="3"/>
          <c:tx>
            <c:strRef>
              <c:f>Sheet3!$H$23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Sheet3!$I$19</c:f>
              <c:strCache>
                <c:ptCount val="1"/>
                <c:pt idx="0">
                  <c:v>Jaccard (1000)</c:v>
                </c:pt>
              </c:strCache>
            </c:strRef>
          </c:cat>
          <c:val>
            <c:numRef>
              <c:f>Sheet3!$I$23</c:f>
              <c:numCache>
                <c:formatCode>General</c:formatCode>
                <c:ptCount val="1"/>
                <c:pt idx="0">
                  <c:v>0.75719053033333339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DA25-4592-A1CE-CD08A496BDE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66063232"/>
        <c:axId val="866061920"/>
      </c:barChart>
      <c:catAx>
        <c:axId val="86606323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6061920"/>
        <c:crosses val="autoZero"/>
        <c:auto val="1"/>
        <c:lblAlgn val="ctr"/>
        <c:lblOffset val="100"/>
        <c:noMultiLvlLbl val="0"/>
      </c:catAx>
      <c:valAx>
        <c:axId val="8660619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8660632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L" sz="1200" b="0" i="0" baseline="0">
                <a:effectLst/>
              </a:rPr>
              <a:t>Jaccard on size 10000</a:t>
            </a:r>
            <a:endParaRPr lang="he-IL" sz="105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>
        <c:manualLayout>
          <c:layoutTarget val="inner"/>
          <c:xMode val="edge"/>
          <c:yMode val="edge"/>
          <c:x val="0.12696839215370651"/>
          <c:y val="0.18175422526022597"/>
          <c:w val="0.78217414049819578"/>
          <c:h val="0.64214156186175075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Sheet3!$K$20</c:f>
              <c:strCache>
                <c:ptCount val="1"/>
                <c:pt idx="0">
                  <c:v>YS (louvain)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Sheet3!$L$19</c:f>
              <c:strCache>
                <c:ptCount val="1"/>
                <c:pt idx="0">
                  <c:v>Jaccard (10000)</c:v>
                </c:pt>
              </c:strCache>
            </c:strRef>
          </c:cat>
          <c:val>
            <c:numRef>
              <c:f>Sheet3!$L$20</c:f>
              <c:numCache>
                <c:formatCode>General</c:formatCode>
                <c:ptCount val="1"/>
                <c:pt idx="0">
                  <c:v>0.43470598748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C35-43C9-B230-1310FB13BB87}"/>
            </c:ext>
          </c:extLst>
        </c:ser>
        <c:ser>
          <c:idx val="1"/>
          <c:order val="1"/>
          <c:tx>
            <c:strRef>
              <c:f>Sheet3!$K$21</c:f>
              <c:strCache>
                <c:ptCount val="1"/>
                <c:pt idx="0">
                  <c:v>YS (GN mod)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Sheet3!$L$19</c:f>
              <c:strCache>
                <c:ptCount val="1"/>
                <c:pt idx="0">
                  <c:v>Jaccard (10000)</c:v>
                </c:pt>
              </c:strCache>
            </c:strRef>
          </c:cat>
          <c:val>
            <c:numRef>
              <c:f>Sheet3!$L$21</c:f>
              <c:numCache>
                <c:formatCode>General</c:formatCode>
                <c:ptCount val="1"/>
                <c:pt idx="0">
                  <c:v>0.24628029339393945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9C35-43C9-B230-1310FB13BB87}"/>
            </c:ext>
          </c:extLst>
        </c:ser>
        <c:ser>
          <c:idx val="2"/>
          <c:order val="2"/>
          <c:tx>
            <c:strRef>
              <c:f>Sheet3!$K$22</c:f>
              <c:strCache>
                <c:ptCount val="1"/>
                <c:pt idx="0">
                  <c:v>YS (GN cond)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Sheet3!$L$19</c:f>
              <c:strCache>
                <c:ptCount val="1"/>
                <c:pt idx="0">
                  <c:v>Jaccard (10000)</c:v>
                </c:pt>
              </c:strCache>
            </c:strRef>
          </c:cat>
          <c:val>
            <c:numRef>
              <c:f>Sheet3!$L$22</c:f>
              <c:numCache>
                <c:formatCode>General</c:formatCode>
                <c:ptCount val="1"/>
                <c:pt idx="0">
                  <c:v>0.24267299966666667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9C35-43C9-B230-1310FB13BB87}"/>
            </c:ext>
          </c:extLst>
        </c:ser>
        <c:ser>
          <c:idx val="3"/>
          <c:order val="3"/>
          <c:tx>
            <c:strRef>
              <c:f>Sheet3!$K$23</c:f>
              <c:strCache>
                <c:ptCount val="1"/>
                <c:pt idx="0">
                  <c:v>Louvain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Sheet3!$L$19</c:f>
              <c:strCache>
                <c:ptCount val="1"/>
                <c:pt idx="0">
                  <c:v>Jaccard (10000)</c:v>
                </c:pt>
              </c:strCache>
            </c:strRef>
          </c:cat>
          <c:val>
            <c:numRef>
              <c:f>Sheet3!$L$23</c:f>
              <c:numCache>
                <c:formatCode>General</c:formatCode>
                <c:ptCount val="1"/>
                <c:pt idx="0">
                  <c:v>0.24788011123333334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9C35-43C9-B230-1310FB13BB8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683727368"/>
        <c:axId val="683727696"/>
      </c:barChart>
      <c:catAx>
        <c:axId val="68372736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3727696"/>
        <c:crosses val="autoZero"/>
        <c:auto val="1"/>
        <c:lblAlgn val="ctr"/>
        <c:lblOffset val="100"/>
        <c:noMultiLvlLbl val="0"/>
      </c:catAx>
      <c:valAx>
        <c:axId val="68372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e-IL"/>
          </a:p>
        </c:txPr>
        <c:crossAx val="68372736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1653</TotalTime>
  <Pages>3</Pages>
  <Words>562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talya sapir</dc:creator>
  <cp:keywords/>
  <dc:description/>
  <cp:lastModifiedBy>talya sapir</cp:lastModifiedBy>
  <cp:revision>4</cp:revision>
  <dcterms:created xsi:type="dcterms:W3CDTF">2022-08-30T17:07:00Z</dcterms:created>
  <dcterms:modified xsi:type="dcterms:W3CDTF">2022-08-31T20:40:00Z</dcterms:modified>
</cp:coreProperties>
</file>