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Database Narrative</w:t>
      </w:r>
    </w:p>
    <w:p>
      <w:r>
        <w:t>Gerus Hays | Southern New Hampshire University</w:t>
      </w:r>
    </w:p>
    <w:p>
      <w:pPr>
        <w:pStyle w:val="Heading1"/>
      </w:pPr>
      <w:r>
        <w:t>Artifact and Rationale</w:t>
      </w:r>
    </w:p>
    <w:p>
      <w:r>
        <w:t>The third enhancement extends the same CS-320-derived application from temporary in-memory storage to persistent SQLite storage. I selected this change because records should survive the lifetime of a single application process and because it demonstrates how an existing software design can evolve without discarding earlier architectural work.</w:t>
      </w:r>
    </w:p>
    <w:p>
      <w:pPr>
        <w:pStyle w:val="Heading1"/>
      </w:pPr>
      <w:r>
        <w:t>Implementation</w:t>
      </w:r>
    </w:p>
    <w:p>
      <w:r>
        <w:t>DatabaseManager initializes the schema and manages connections. Separate JDBC repositories handle Contact, Task, and Appointment records, with primary keys, constraints, indexes, and parameterized SQL. The services continue to depend on Repository&lt;T&gt;, so switching from InMemoryRepository to a SQLite repository does not require rewriting business logic. Prepared statements reduce SQL-injection risk for values, while schema constraints reinforce application-level validation. Try-with-resources closes JDBC resources.</w:t>
      </w:r>
    </w:p>
    <w:p>
      <w:pPr>
        <w:pStyle w:val="Heading1"/>
      </w:pPr>
      <w:r>
        <w:t>Verified Integration Evidence</w:t>
      </w:r>
    </w:p>
    <w:p>
      <w:r>
        <w:t>The standalone SqliteIntegrationTest runner completed 17 of 17 checks successfully during the final local run. The suite exercises CRUD operations, persistence across reopened connections, constraints, and index behavior. The test is designed to reopen the same database file to check that stored records survive connection closure; that is evidence of persistence across sessions, though it is not a separately observed full application restart. Together with the 23 passing algorithm checks, the project has 40 passing standalone checks. These are not JUnit test counts.</w:t>
      </w:r>
    </w:p>
    <w:p>
      <w:pPr>
        <w:pStyle w:val="Heading1"/>
      </w:pPr>
      <w:r>
        <w:t>Reflection and Outcomes</w:t>
      </w:r>
    </w:p>
    <w:p>
      <w:r>
        <w:t>The main lesson was that database integration is an architectural decision, not merely a new place to store records. Reusing the repository abstraction made the change smaller and easier to reason about. Outcome 4 is demonstrated by JDBC and SQLite implementation; Outcome 5 by prepared statements, validation, and constraints; and Outcome 3 by the trade-offs between in-memory lookup and database-backed access. The code review, test evidence, and narrative support technical communication and collaborative review.</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CS-499 | Computer Science Capstone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