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7F21BF">
        <w:t>EMILIA DEL CARMEN</w:t>
      </w:r>
      <w:r w:rsidR="00CC1889">
        <w:t xml:space="preserve"> VAZQUEZ ARAVENA</w:t>
      </w:r>
    </w:p>
    <w:p w:rsidR="009A4D2C" w:rsidRDefault="009A4D2C" w:rsidP="0076477E">
      <w:pPr>
        <w:spacing w:line="360" w:lineRule="auto"/>
        <w:jc w:val="both"/>
      </w:pPr>
      <w:r>
        <w:t>RUT</w:t>
      </w:r>
      <w:r>
        <w:tab/>
      </w:r>
      <w:r>
        <w:tab/>
      </w:r>
      <w:r>
        <w:tab/>
      </w:r>
      <w:r>
        <w:tab/>
        <w:t>:</w:t>
      </w:r>
      <w:r w:rsidR="00CC1889">
        <w:t xml:space="preserve"> 14.577.560-4</w:t>
      </w:r>
    </w:p>
    <w:p w:rsidR="009A4D2C" w:rsidRDefault="009A4D2C" w:rsidP="0076477E">
      <w:pPr>
        <w:spacing w:line="360" w:lineRule="auto"/>
        <w:jc w:val="both"/>
      </w:pPr>
      <w:r>
        <w:t>DOMICILIO</w:t>
      </w:r>
      <w:r>
        <w:tab/>
      </w:r>
      <w:r>
        <w:tab/>
      </w:r>
      <w:r>
        <w:tab/>
        <w:t>:</w:t>
      </w:r>
      <w:r w:rsidR="00CC1889">
        <w:t xml:space="preserve"> PJE. MALLIN 14126 VILLA EL ROSARIO</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7F21BF">
        <w:t>EMILIA DEL CARMEN</w:t>
      </w:r>
      <w:r w:rsidR="00C236B6">
        <w:t xml:space="preserve"> VAZQUEZ ARAVENA</w:t>
      </w:r>
      <w:r>
        <w:t xml:space="preserve">, ignoro profesión u oficio, domiciliado (a) en </w:t>
      </w:r>
      <w:r w:rsidR="00C236B6">
        <w:t>PJE. MALLIN 14126 VILLA EL ROSARIO</w:t>
      </w:r>
      <w:r>
        <w:t xml:space="preserve">, comuna de </w:t>
      </w:r>
      <w:r w:rsidR="00C236B6">
        <w:t>SAN BERNARDO</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7F21BF">
        <w:t>EMILIA DEL CARMEN</w:t>
      </w:r>
      <w:r w:rsidR="00C236B6">
        <w:t xml:space="preserve"> VAZQUEZ ARAVENA</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
      </w:r>
      <w:r>
        <w:rPr>
          <w:color w:val="000000"/>
          <w:sz w:val="24"/>
          <w:szCs w:val="24"/>
        </w:rPr>
        <w:t xml:space="preserve">- Pagaré de fecha cuatro de febrero de dos mil dieciseis suscrito(s) por el monto 7,1292 Unidades de Fomento, con vencimiento el quince de febrero de dos mil dieciseis.</w:t>
      </w:r>
      <w:r>
        <w:rPr>
          <w:color w:val="000000"/>
          <w:sz w:val="24"/>
          <w:szCs w:val="24"/>
        </w:rPr>
        <w:br/>
        <w:t xml:space="preserve">- Pagaré de fecha cuatro de febrero de dos mil catorce suscrito(s) por el monto 64,1624 Unidades de Fomento, con vencimiento el quince de febrero de dos mil dieciseis.</w:t>
      </w:r>
      <w:r>
        <w:t xml:space="preserve"/>
      </w:r>
    </w:p>
    <w:p w:rsidR="00AB5C0D"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w:t>
      </w:r>
      <w:bookmarkStart w:id="0" w:name="_GoBack"/>
      <w:bookmarkEnd w:id="0"/>
      <w:r w:rsidRPr="007F21BF">
        <w:rPr>
          <w:highlight w:val="yellow"/>
        </w:rPr>
        <w:t>a XXXXXXXXXXX, por la suma de XXXXXXX Unidades de Fomento, por concepto de capital.</w:t>
      </w:r>
    </w:p>
    <w:p w:rsidR="00F05B67"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71,2916</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7F21BF">
        <w:t>EMILIA DEL CARMEN</w:t>
      </w:r>
      <w:r w:rsidR="00C236B6">
        <w:t xml:space="preserve"> VAZQUEZ ARAVENA</w:t>
      </w:r>
      <w:r>
        <w:t xml:space="preserve">, ya individualizado (a), por la suma en capital de </w:t>
      </w:r>
      <w:r w:rsidR="00C236B6">
        <w:t>71,2916</w:t>
      </w:r>
      <w:r>
        <w:t xml:space="preserve"> Unidades de Fomento, equivalentes en pesos al día </w:t>
      </w:r>
      <w:r w:rsidR="00C236B6">
        <w:t/>
      </w:r>
      <w:r>
        <w:t xml:space="preserve"> a la suma de $</w:t>
      </w:r>
      <w:r w:rsidR="00C236B6">
        <w:t>$71</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SAN BERNARDO</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SANTIAGO</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241393">
    <w:multiLevelType w:val="hybridMultilevel"/>
    <w:lvl w:ilvl="0" w:tplc="503747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90241393">
    <w:abstractNumId w:val="90241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7F21BF"/>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8</cp:revision>
  <dcterms:created xsi:type="dcterms:W3CDTF">2015-03-18T15:49:00Z</dcterms:created>
  <dcterms:modified xsi:type="dcterms:W3CDTF">2016-02-11T14:35:00Z</dcterms:modified>
</cp:coreProperties>
</file>