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MELIPILLA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 Buin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TANNER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17.342.843-K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MARCO AURELIO MATIAS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9.959.613-9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POBL. HUAMACHUCO II LOS TULIPANES 2502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RENAICO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137417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1.823.710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26020.86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doce de june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$1.823.710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$47.454.502.591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veinticuatro de enero de dos mil quince suscrito(s) por el monto $1.823.710,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veinticuatro de enero de dos mil quince suscrito(s) por el monto 1823710 Unidades de Fomento,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23/05/2015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veintitres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mayo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2016-06-20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MARITZA MUñIZ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23.766.157-5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$1.823.710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1.823.710,0000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$1.823.710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$MONTO_DEUDA_DEL_PAGARE_2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/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324279">
    <w:multiLevelType w:val="hybridMultilevel"/>
    <w:lvl w:ilvl="0" w:tplc="804718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8324279">
    <w:abstractNumId w:val="8832427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