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xml:space="preserve">: </w:t>
      </w:r>
      <w:proofErr w:type="spellStart"/>
      <w:r w:rsidRPr="00742EA4">
        <w:rPr>
          <w:rStyle w:val="Emphasis"/>
          <w:rFonts w:ascii="Tahoma" w:hAnsi="Tahoma" w:cs="Tahoma"/>
          <w:i w:val="0"/>
          <w:sz w:val="22"/>
          <w:szCs w:val="22"/>
        </w:rPr>
        <w:t>Scotiabank</w:t>
      </w:r>
      <w:proofErr w:type="spellEnd"/>
      <w:r w:rsidRPr="00742EA4">
        <w:rPr>
          <w:rStyle w:val="Emphasis"/>
          <w:rFonts w:ascii="Tahoma" w:hAnsi="Tahoma" w:cs="Tahoma"/>
          <w:i w:val="0"/>
          <w:sz w:val="22"/>
          <w:szCs w:val="22"/>
        </w:rPr>
        <w:t xml:space="preserve">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Violeta </w:t>
      </w:r>
      <w:proofErr w:type="spellStart"/>
      <w:r w:rsidRPr="006D5F6A">
        <w:rPr>
          <w:rStyle w:val="Emphasis"/>
          <w:rFonts w:ascii="Tahoma" w:hAnsi="Tahoma" w:cs="Tahoma"/>
          <w:i w:val="0"/>
          <w:sz w:val="22"/>
          <w:szCs w:val="22"/>
          <w:lang w:val="es-CL"/>
        </w:rPr>
        <w:t>Villacura</w:t>
      </w:r>
      <w:proofErr w:type="spellEnd"/>
      <w:r w:rsidRPr="006D5F6A">
        <w:rPr>
          <w:rStyle w:val="Emphasis"/>
          <w:rFonts w:ascii="Tahoma" w:hAnsi="Tahoma" w:cs="Tahoma"/>
          <w:i w:val="0"/>
          <w:sz w:val="22"/>
          <w:szCs w:val="22"/>
          <w:lang w:val="es-CL"/>
        </w:rPr>
        <w:t xml:space="preserve">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URANIA ANDREA BRICEÑO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LIZAMA</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TENIENTE CRUZ MARTINEZ 12947, 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xml:space="preserve">, abogado, en calidad de continuador o sucesor legal del Banco del Desarrollo, todos domiciliados, para estos efectos, en </w:t>
      </w:r>
      <w:proofErr w:type="spellStart"/>
      <w:r w:rsidRPr="00B4355A">
        <w:rPr>
          <w:rFonts w:ascii="Arial" w:hAnsi="Arial" w:cs="Arial"/>
          <w:spacing w:val="-2"/>
          <w:lang w:val="es-ES_tradnl"/>
        </w:rPr>
        <w:t>Morande</w:t>
      </w:r>
      <w:proofErr w:type="spellEnd"/>
      <w:r w:rsidRPr="00B4355A">
        <w:rPr>
          <w:rFonts w:ascii="Arial" w:hAnsi="Arial" w:cs="Arial"/>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Pr="00B4355A">
        <w:rPr>
          <w:rFonts w:ascii="Arial" w:hAnsi="Arial" w:cs="Arial"/>
          <w:spacing w:val="-2"/>
          <w:lang w:val="es-ES_tradnl"/>
        </w:rPr>
        <w:t>respetuosamente</w:t>
      </w:r>
      <w:proofErr w:type="gramEnd"/>
      <w:r w:rsidRPr="00B4355A">
        <w:rPr>
          <w:rFonts w:ascii="Arial" w:hAnsi="Arial" w:cs="Arial"/>
          <w:spacing w:val="-2"/>
          <w:lang w:val="es-ES_tradnl"/>
        </w:rPr>
        <w:t xml:space="preserv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w:t>
      </w:r>
      <w:proofErr w:type="spellStart"/>
      <w:r w:rsidRPr="00B4355A">
        <w:rPr>
          <w:rFonts w:ascii="Arial" w:hAnsi="Arial" w:cs="Arial"/>
          <w:lang w:val="es-ES_tradnl"/>
        </w:rPr>
        <w:t>e</w:t>
      </w:r>
      <w:proofErr w:type="spellEnd"/>
      <w:r w:rsidRPr="00B4355A">
        <w:rPr>
          <w:rFonts w:ascii="Arial" w:hAnsi="Arial" w:cs="Arial"/>
          <w:lang w:val="es-ES_tradnl"/>
        </w:rPr>
        <w:t xml:space="preserv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URANIA ANDREA BRICEÑO </w:t>
      </w:r>
      <w:r w:rsidR="00DC7C14" w:rsidRPr="00C3736E">
        <w:rPr>
          <w:rFonts w:ascii="Arial" w:hAnsi="Arial" w:cs="Arial"/>
          <w:b/>
          <w:color w:val="FF0000"/>
          <w:spacing w:val="-2"/>
          <w:lang w:val="es-ES_tradnl"/>
        </w:rPr>
        <w:t>LIZAMA</w:t>
      </w:r>
      <w:r w:rsidRPr="00C3736E">
        <w:rPr>
          <w:rFonts w:ascii="Arial" w:hAnsi="Arial" w:cs="Arial"/>
          <w:b/>
          <w:color w:val="FF0000"/>
          <w:lang w:val="es-ES_tradnl"/>
        </w:rPr>
        <w:t xml:space="preserve">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C3736E">
        <w:rPr>
          <w:caps/>
          <w:color w:val="FF0000"/>
          <w:spacing w:val="-2"/>
          <w:kern w:val="1"/>
          <w:lang w:val="es-ES_tradnl"/>
        </w:rPr>
        <w:t>TENIENTE CRUZ MARTINEZ 12947</w:t>
      </w:r>
      <w:r w:rsidR="006D5F6A" w:rsidRPr="00C3736E">
        <w:rPr>
          <w:rFonts w:ascii="Arial" w:hAnsi="Arial" w:cs="Arial"/>
          <w:b/>
          <w:color w:val="FF0000"/>
          <w:lang w:val="es-ES_tradnl"/>
        </w:rPr>
        <w:t xml:space="preserve">, </w:t>
      </w:r>
      <w:r w:rsidR="00C3736E" w:rsidRPr="00C3736E">
        <w:rPr>
          <w:color w:val="FF0000"/>
          <w:spacing w:val="-2"/>
          <w:kern w:val="1"/>
          <w:lang w:val="es-ES_tradnl"/>
        </w:rPr>
        <w:t>COMUNA$</w:t>
      </w:r>
      <w:r w:rsidRPr="00C3736E">
        <w:rPr>
          <w:rFonts w:ascii="Arial" w:hAnsi="Arial" w:cs="Arial"/>
          <w:b/>
          <w:color w:val="FF0000"/>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338,3136 Unidades de Fomento</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37,5904 Unidades de Fomento</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w:t>
      </w:r>
      <w:proofErr w:type="gramStart"/>
      <w:r w:rsidRPr="00B4355A">
        <w:rPr>
          <w:rFonts w:ascii="Arial" w:hAnsi="Arial" w:cs="Arial"/>
          <w:spacing w:val="-2"/>
          <w:lang w:val="es-ES_tradnl"/>
        </w:rPr>
        <w:t>fecha</w:t>
      </w:r>
      <w:proofErr w:type="gramEnd"/>
      <w:r w:rsidRPr="00B4355A">
        <w:rPr>
          <w:rFonts w:ascii="Arial" w:hAnsi="Arial" w:cs="Arial"/>
          <w:spacing w:val="-2"/>
          <w:lang w:val="es-ES_tradnl"/>
        </w:rPr>
        <w:t xml:space="preserve"> respecto del capital. Igualmente, el valor expresado en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se atienen íntegramente al formato establecido por el Ministerio de Educación (y de los cuales se </w:t>
      </w:r>
      <w:proofErr w:type="spellStart"/>
      <w:r w:rsidRPr="00B4355A">
        <w:rPr>
          <w:rFonts w:ascii="Arial" w:hAnsi="Arial" w:cs="Arial"/>
          <w:spacing w:val="-2"/>
          <w:lang w:val="es-ES_tradnl"/>
        </w:rPr>
        <w:t>tomo</w:t>
      </w:r>
      <w:proofErr w:type="spellEnd"/>
      <w:r w:rsidRPr="00B4355A">
        <w:rPr>
          <w:rFonts w:ascii="Arial" w:hAnsi="Arial" w:cs="Arial"/>
          <w:spacing w:val="-2"/>
          <w:lang w:val="es-ES_tradnl"/>
        </w:rPr>
        <w:t xml:space="preserve">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B4355A">
        <w:rPr>
          <w:rFonts w:ascii="Arial" w:hAnsi="Arial" w:cs="Arial"/>
          <w:lang w:val="es-ES_tradnl"/>
        </w:rPr>
        <w:t>Morello</w:t>
      </w:r>
      <w:proofErr w:type="spellEnd"/>
      <w:r w:rsidRPr="00B4355A">
        <w:rPr>
          <w:rFonts w:ascii="Arial" w:hAnsi="Arial" w:cs="Arial"/>
          <w:lang w:val="es-ES_tradnl"/>
        </w:rPr>
        <w:t>,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w:t>
      </w:r>
      <w:proofErr w:type="spellStart"/>
      <w:r w:rsidRPr="00B4355A">
        <w:rPr>
          <w:rFonts w:ascii="Arial" w:hAnsi="Arial" w:cs="Arial"/>
          <w:color w:val="auto"/>
          <w:spacing w:val="-2"/>
          <w:lang w:val="es-ES_tradnl"/>
        </w:rPr>
        <w:t>ña</w:t>
      </w:r>
      <w:proofErr w:type="spellEnd"/>
      <w:r w:rsidRPr="00B4355A">
        <w:rPr>
          <w:rFonts w:ascii="Arial" w:hAnsi="Arial" w:cs="Arial"/>
          <w:color w:val="auto"/>
          <w:spacing w:val="-2"/>
          <w:lang w:val="es-ES_tradnl"/>
        </w:rPr>
        <w:t xml:space="preserve">) </w:t>
      </w:r>
      <w:r w:rsidR="005A0568" w:rsidRPr="00C3736E">
        <w:rPr>
          <w:rFonts w:ascii="Arial" w:hAnsi="Arial" w:cs="Arial"/>
          <w:b/>
          <w:color w:val="FF0000"/>
          <w:spacing w:val="-2"/>
          <w:lang w:val="es-ES_tradnl"/>
        </w:rPr>
        <w:t>URANIA ANDREA BRICEÑO LIZAMA</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BB31D9" w:rsidRPr="00BB31D9">
        <w:rPr>
          <w:rFonts w:ascii="Arial" w:hAnsi="Arial" w:cs="Arial"/>
          <w:b/>
          <w:color w:val="FF0000"/>
          <w:lang w:val="es-CL"/>
        </w:rPr>
        <w:t>375,</w:t>
      </w:r>
      <w:r w:rsidR="00BB31D9">
        <w:rPr>
          <w:rFonts w:ascii="Arial" w:hAnsi="Arial" w:cs="Arial"/>
          <w:b/>
          <w:color w:val="FF0000"/>
          <w:lang w:val="es-CL"/>
        </w:rPr>
        <w:t>904</w:t>
      </w:r>
      <w:r w:rsidRPr="006D5F6A">
        <w:rPr>
          <w:rFonts w:ascii="Arial" w:hAnsi="Arial" w:cs="Arial"/>
          <w:b/>
          <w:color w:val="FF0000"/>
          <w:lang w:val="es-CL"/>
        </w:rPr>
        <w:t xml:space="preserve"> 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 xml:space="preserve">Copia autorizada de Escritura Pública, donde consta Fusión del </w:t>
      </w:r>
      <w:proofErr w:type="spellStart"/>
      <w:r>
        <w:rPr>
          <w:rFonts w:ascii="Tahoma" w:hAnsi="Tahoma" w:cs="Tahoma"/>
          <w:spacing w:val="-2"/>
          <w:sz w:val="22"/>
          <w:szCs w:val="22"/>
        </w:rPr>
        <w:t>Del</w:t>
      </w:r>
      <w:proofErr w:type="spellEnd"/>
      <w:r>
        <w:rPr>
          <w:rFonts w:ascii="Tahoma" w:hAnsi="Tahoma" w:cs="Tahoma"/>
          <w:spacing w:val="-2"/>
          <w:sz w:val="22"/>
          <w:szCs w:val="22"/>
        </w:rPr>
        <w:t xml:space="preserve">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 xml:space="preserve">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BB31D9">
        <w:rPr>
          <w:rFonts w:ascii="Tahoma" w:hAnsi="Tahoma" w:cs="Tahoma"/>
          <w:b/>
          <w:noProof/>
          <w:color w:val="FF0000"/>
          <w:spacing w:val="-2"/>
          <w:sz w:val="22"/>
          <w:szCs w:val="22"/>
          <w:lang w:val="es-ES_tradnl" w:eastAsia="es-ES_tradnl"/>
        </w:rPr>
        <w:t>SAN MIGUEL</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F17427">
        <w:rPr>
          <w:rFonts w:ascii="Tahoma" w:hAnsi="Tahoma" w:cs="Tahoma"/>
          <w:spacing w:val="-2"/>
          <w:sz w:val="22"/>
          <w:szCs w:val="22"/>
          <w:lang w:val="es-ES_tradnl" w:eastAsia="es-ES_tradnl"/>
        </w:rPr>
        <w:t>descerrajamiento</w:t>
      </w:r>
      <w:proofErr w:type="spellEnd"/>
      <w:r w:rsidRPr="00F17427">
        <w:rPr>
          <w:rFonts w:ascii="Tahoma" w:hAnsi="Tahoma" w:cs="Tahoma"/>
          <w:spacing w:val="-2"/>
          <w:sz w:val="22"/>
          <w:szCs w:val="22"/>
          <w:lang w:val="es-ES_tradnl" w:eastAsia="es-ES_tradnl"/>
        </w:rPr>
        <w:t xml:space="preserve">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Señor Juez exhortado estará ampliamente facultado para disponer, en general, todo lo necesario para el cabal y debido cumplimiento del exhorto. Dicho exhorto contendrá </w:t>
      </w:r>
      <w:proofErr w:type="gramStart"/>
      <w:r w:rsidRPr="00F17427">
        <w:rPr>
          <w:rFonts w:ascii="Tahoma" w:hAnsi="Tahoma" w:cs="Tahoma"/>
          <w:spacing w:val="-2"/>
          <w:sz w:val="22"/>
          <w:szCs w:val="22"/>
          <w:lang w:val="es-ES_tradnl" w:eastAsia="es-ES_tradnl"/>
        </w:rPr>
        <w:t>copias íntegra</w:t>
      </w:r>
      <w:proofErr w:type="gramEnd"/>
      <w:r w:rsidRPr="00F17427">
        <w:rPr>
          <w:rFonts w:ascii="Tahoma" w:hAnsi="Tahoma" w:cs="Tahoma"/>
          <w:spacing w:val="-2"/>
          <w:sz w:val="22"/>
          <w:szCs w:val="22"/>
          <w:lang w:val="es-ES_tradnl" w:eastAsia="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 xml:space="preserve">Violeta </w:t>
      </w:r>
      <w:proofErr w:type="spellStart"/>
      <w:r w:rsidRPr="00742EA4">
        <w:rPr>
          <w:rFonts w:ascii="Tahoma" w:hAnsi="Tahoma" w:cs="Tahoma"/>
          <w:b/>
          <w:sz w:val="22"/>
          <w:szCs w:val="22"/>
          <w:lang w:val="es-ES_tradnl"/>
        </w:rPr>
        <w:t>Villacura</w:t>
      </w:r>
      <w:proofErr w:type="spellEnd"/>
      <w:r w:rsidRPr="00742EA4">
        <w:rPr>
          <w:rFonts w:ascii="Tahoma" w:hAnsi="Tahoma" w:cs="Tahoma"/>
          <w:b/>
          <w:sz w:val="22"/>
          <w:szCs w:val="22"/>
          <w:lang w:val="es-ES_tradnl"/>
        </w:rPr>
        <w:t xml:space="preserve">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4A2" w:rsidRDefault="000104A2">
      <w:pPr>
        <w:spacing w:line="240" w:lineRule="auto"/>
      </w:pPr>
      <w:r>
        <w:separator/>
      </w:r>
    </w:p>
  </w:endnote>
  <w:endnote w:type="continuationSeparator" w:id="0">
    <w:p w:rsidR="000104A2" w:rsidRDefault="00010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4A2" w:rsidRDefault="000104A2">
      <w:pPr>
        <w:spacing w:line="240" w:lineRule="auto"/>
      </w:pPr>
      <w:r>
        <w:separator/>
      </w:r>
    </w:p>
  </w:footnote>
  <w:footnote w:type="continuationSeparator" w:id="0">
    <w:p w:rsidR="000104A2" w:rsidRDefault="000104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9676512">
    <w:multiLevelType w:val="hybridMultilevel"/>
    <w:lvl w:ilvl="0" w:tplc="7927154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29676512">
    <w:abstractNumId w:val="296765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9017B"/>
    <w:rsid w:val="002128B0"/>
    <w:rsid w:val="00330D30"/>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E5C0F"/>
    <w:rsid w:val="00A011F0"/>
    <w:rsid w:val="00A5565B"/>
    <w:rsid w:val="00A56DD7"/>
    <w:rsid w:val="00A57829"/>
    <w:rsid w:val="00A80300"/>
    <w:rsid w:val="00B21377"/>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70C8"/>
    <w:rsid w:val="00E87E62"/>
    <w:rsid w:val="00EA01BC"/>
    <w:rsid w:val="00ED7199"/>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2838</Words>
  <Characters>14787</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7</cp:revision>
  <cp:lastPrinted>2014-07-14T21:59:00Z</cp:lastPrinted>
  <dcterms:created xsi:type="dcterms:W3CDTF">2016-06-01T20:44:00Z</dcterms:created>
  <dcterms:modified xsi:type="dcterms:W3CDTF">2016-09-22T19:11:00Z</dcterms:modified>
</cp:coreProperties>
</file>