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120"/>
        <w:jc w:val="center"/>
      </w:pPr>
      <w:r>
        <w:t xml:space="preserve">CONTRATO MARCO DE PRESTACIÓN DE SERVICIOS LOGÍSTICOS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Almacenamiento, preparación de pedidos y cobranza contra entrega (Cash on Delivery)</w:t>
      </w:r>
    </w:p>
    <w:p>
      <w:pPr>
        <w:spacing w:after="120" w:line="272"/>
        <w:jc w:val="both"/>
      </w:pPr>
      <w:r>
        <w:t xml:space="preserve">En la ciudad de Ciudad del Este, República del Paraguay, a los </w:t>
      </w:r>
      <w:r>
        <w:rPr>
          <w:highlight w:val="yellow"/>
        </w:rPr>
        <w:t xml:space="preserve">[____]</w:t>
      </w:r>
      <w:r>
        <w:t xml:space="preserve"> días del mes de </w:t>
      </w:r>
      <w:r>
        <w:rPr>
          <w:highlight w:val="yellow"/>
        </w:rPr>
        <w:t xml:space="preserve">[________]</w:t>
      </w:r>
      <w:r>
        <w:t xml:space="preserve"> de </w:t>
      </w:r>
      <w:r>
        <w:rPr>
          <w:highlight w:val="yellow"/>
        </w:rPr>
        <w:t xml:space="preserve">[20__]</w:t>
      </w:r>
      <w:r>
        <w:t xml:space="preserve">, entre:</w:t>
      </w:r>
    </w:p>
    <w:p>
      <w:pPr>
        <w:spacing w:after="120" w:line="272"/>
        <w:jc w:val="both"/>
      </w:pPr>
      <w:r>
        <w:rPr>
          <w:b/>
          <w:bCs/>
        </w:rPr>
        <w:t xml:space="preserve">Por una parte, RAHÁ BY SPEEDBOX EAS</w:t>
      </w:r>
      <w:r>
        <w:t xml:space="preserve">, con RUC N.º 80168276-2, domicilio legal en Av. Bicentenario esquina Cochabamba de la ciudad de Ciudad del Este, representada por el señor </w:t>
      </w:r>
      <w:r>
        <w:rPr>
          <w:b/>
          <w:bCs/>
        </w:rPr>
        <w:t xml:space="preserve">CARLOS ALBERTO GONZÁLEZ DEL PUERTO</w:t>
      </w:r>
      <w:r>
        <w:t xml:space="preserve">, C.I. N.º 5.615.251, en su carácter de representante legal, en adelante </w:t>
      </w:r>
      <w:r>
        <w:rPr>
          <w:b/>
          <w:bCs/>
        </w:rPr>
        <w:t xml:space="preserve">«SPEEDBOX»</w:t>
      </w:r>
      <w:r>
        <w:t xml:space="preserve">; y</w:t>
      </w:r>
    </w:p>
    <w:p>
      <w:pPr>
        <w:spacing w:after="120" w:line="272"/>
        <w:jc w:val="both"/>
      </w:pPr>
      <w:r>
        <w:rPr>
          <w:b/>
          <w:bCs/>
        </w:rPr>
        <w:t xml:space="preserve">Por la otra parte, </w:t>
      </w:r>
      <w:r>
        <w:rPr>
          <w:highlight w:val="yellow"/>
        </w:rPr>
        <w:t xml:space="preserve">[RAZÓN SOCIAL / NOMBRE DE EL CLIENTE]</w:t>
      </w:r>
      <w:r>
        <w:t xml:space="preserve">, con RUC / C.I. N.º </w:t>
      </w:r>
      <w:r>
        <w:rPr>
          <w:highlight w:val="yellow"/>
        </w:rPr>
        <w:t xml:space="preserve">[____]</w:t>
      </w:r>
      <w:r>
        <w:t xml:space="preserve">, domicilio en </w:t>
      </w:r>
      <w:r>
        <w:rPr>
          <w:highlight w:val="yellow"/>
        </w:rPr>
        <w:t xml:space="preserve">[ciudad y dirección]</w:t>
      </w:r>
      <w:r>
        <w:t xml:space="preserve">, representada por el señor/la señora </w:t>
      </w:r>
      <w:r>
        <w:rPr>
          <w:highlight w:val="yellow"/>
        </w:rPr>
        <w:t xml:space="preserve">[nombre del representante legal]</w:t>
      </w:r>
      <w:r>
        <w:t xml:space="preserve">, C.I. N.º </w:t>
      </w:r>
      <w:r>
        <w:rPr>
          <w:highlight w:val="yellow"/>
        </w:rPr>
        <w:t xml:space="preserve">[____]</w:t>
      </w:r>
      <w:r>
        <w:t xml:space="preserve">, en su carácter de representante legal, en adelante </w:t>
      </w:r>
      <w:r>
        <w:rPr>
          <w:b/>
          <w:bCs/>
        </w:rPr>
        <w:t xml:space="preserve">«EL CLIENTE»</w:t>
      </w:r>
      <w:r>
        <w:t xml:space="preserve">;</w:t>
      </w:r>
    </w:p>
    <w:p>
      <w:pPr>
        <w:spacing w:after="120" w:line="272"/>
        <w:jc w:val="both"/>
      </w:pPr>
      <w:r>
        <w:t xml:space="preserve">Ambas partes, </w:t>
      </w:r>
      <w:r>
        <w:rPr>
          <w:b/>
          <w:bCs/>
        </w:rPr>
        <w:t xml:space="preserve">«LAS PARTES»</w:t>
      </w:r>
      <w:r>
        <w:t xml:space="preserve">, convienen en celebrar el presente Contrato Marco (en adelante, </w:t>
      </w:r>
      <w:r>
        <w:rPr>
          <w:b/>
          <w:bCs/>
        </w:rPr>
        <w:t xml:space="preserve">«EL CONTRATO»</w:t>
      </w:r>
      <w:r>
        <w:t xml:space="preserve">), que se regirá por las cláusulas siguientes y, en lo no previsto, por el Código Civil y demás legislación de la República del Paraguay:</w:t>
      </w:r>
    </w:p>
    <w:p>
      <w:pPr>
        <w:pStyle w:val="Heading2"/>
        <w:spacing w:after="110" w:before="230"/>
      </w:pPr>
      <w:r>
        <w:t xml:space="preserve">CLÁUSULA PRIMERA — OBJETO</w:t>
      </w:r>
    </w:p>
    <w:p>
      <w:pPr>
        <w:spacing w:after="120" w:line="272"/>
        <w:jc w:val="both"/>
      </w:pPr>
      <w:r>
        <w:t xml:space="preserve">EL CONTRATO regula la prestación por SPEEDBOX, a favor de EL CLIENTE, de servicios logísticos integrales para comercio electrónico: (i) el </w:t>
      </w:r>
      <w:r>
        <w:rPr>
          <w:b/>
          <w:bCs/>
        </w:rPr>
        <w:t xml:space="preserve">almacenamiento y custodia</w:t>
      </w:r>
      <w:r>
        <w:t xml:space="preserve"> de la mercadería (stockeo); (ii) la </w:t>
      </w:r>
      <w:r>
        <w:rPr>
          <w:b/>
          <w:bCs/>
        </w:rPr>
        <w:t xml:space="preserve">preparación, embalaje y despacho</w:t>
      </w:r>
      <w:r>
        <w:t xml:space="preserve"> de los pedidos (packing); y (iii) la </w:t>
      </w:r>
      <w:r>
        <w:rPr>
          <w:b/>
          <w:bCs/>
        </w:rPr>
        <w:t xml:space="preserve">entrega de última milla y la cobranza contra entrega (COD)</w:t>
      </w:r>
      <w:r>
        <w:t xml:space="preserve">, incluyendo la percepción temporal de los fondos y su posterior liquidación a EL CLIENTE.</w:t>
      </w:r>
    </w:p>
    <w:p>
      <w:pPr>
        <w:pStyle w:val="Heading2"/>
        <w:spacing w:after="110" w:before="230"/>
      </w:pPr>
      <w:r>
        <w:t xml:space="preserve">CLÁUSULA SEGUNDA — DEFINICIONES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rPr>
          <w:b/>
          <w:bCs/>
        </w:rPr>
        <w:t xml:space="preserve">Pedido: </w:t>
      </w:r>
      <w:r>
        <w:t xml:space="preserve">cada orden de un Comprador Final que SPEEDBOX prepara, entrega y cobra por cuenta de EL CLIENTE.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rPr>
          <w:b/>
          <w:bCs/>
        </w:rPr>
        <w:t xml:space="preserve">Valor Declarado: </w:t>
      </w:r>
      <w:r>
        <w:t xml:space="preserve">el costo de la mercadería informado por EL CLIENTE al ingresarla al depósito, base de la responsabilidad de SPEEDBOX.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rPr>
          <w:b/>
          <w:bCs/>
        </w:rPr>
        <w:t xml:space="preserve">Fondos Cobrados: </w:t>
      </w:r>
      <w:r>
        <w:t xml:space="preserve">los importes percibidos por SPEEDBOX de los Compradores Finales bajo modalidad COD, por cuenta y orden de EL CLIENTE.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rPr>
          <w:b/>
          <w:bCs/>
        </w:rPr>
        <w:t xml:space="preserve">Liquidación: </w:t>
      </w:r>
      <w:r>
        <w:t xml:space="preserve">la transferencia a EL CLIENTE del neto de los Fondos Cobrados, previa deducción de la Comisión y los costos logísticos.</w:t>
      </w:r>
    </w:p>
    <w:p>
      <w:pPr>
        <w:pStyle w:val="Heading2"/>
        <w:spacing w:after="110" w:before="230"/>
      </w:pPr>
      <w:r>
        <w:t xml:space="preserve">CLÁUSULA TERCERA — NATURALEZA JURÍDICA DE LOS FONDOS</w:t>
      </w:r>
    </w:p>
    <w:p>
      <w:pPr>
        <w:spacing w:after="120" w:line="272"/>
        <w:jc w:val="both"/>
      </w:pPr>
      <w:r>
        <w:t xml:space="preserve">En el servicio de COD, SPEEDBOX actúa como </w:t>
      </w:r>
      <w:r>
        <w:rPr>
          <w:b/>
          <w:bCs/>
        </w:rPr>
        <w:t xml:space="preserve">mandatario y recaudador por cuenta y orden de EL CLIENTE</w:t>
      </w:r>
      <w:r>
        <w:t xml:space="preserve">. Los Fondos Cobrados son </w:t>
      </w:r>
      <w:r>
        <w:rPr>
          <w:b/>
          <w:bCs/>
        </w:rPr>
        <w:t xml:space="preserve">propiedad de EL CLIENTE desde el momento de su percepción</w:t>
      </w:r>
      <w:r>
        <w:t xml:space="preserve">; SPEEDBOX los mantiene en administración temporal, no integran su patrimonio ni responden por sus obligaciones frente a terceros. SPEEDBOX retiene de dichos fondos su Comisión y los costos logísticos, y liquida el neto conforme a la Cláusula Séptima.</w:t>
      </w:r>
    </w:p>
    <w:p>
      <w:pPr>
        <w:pStyle w:val="Heading2"/>
        <w:spacing w:after="110" w:before="230"/>
      </w:pPr>
      <w:r>
        <w:t xml:space="preserve">CLÁUSULA CUARTA — RECEPCIÓN, CUSTODIA Y VALOR DECLARADO</w:t>
      </w:r>
    </w:p>
    <w:p>
      <w:pPr>
        <w:spacing w:after="120" w:line="272"/>
        <w:jc w:val="both"/>
      </w:pPr>
      <w:r>
        <w:t xml:space="preserve">EL CLIENTE ingresará la mercadería con un remito valorizado en el que declarará su costo (</w:t>
      </w:r>
      <w:r>
        <w:rPr>
          <w:b/>
          <w:bCs/>
        </w:rPr>
        <w:t xml:space="preserve">Valor Declarado</w:t>
      </w:r>
      <w:r>
        <w:t xml:space="preserve">), base exclusiva de la responsabilidad de SPEEDBOX ante pérdida, robo o daño. La subdeclaración libera a SPEEDBOX de responder por el mayor valor no declarado. SPEEDBOX no está obligada a recibir mercadería perecedera, frágil sin embalaje adecuado, de comercialización prohibida o restringida, o de origen no acreditable.</w:t>
      </w:r>
    </w:p>
    <w:p>
      <w:pPr>
        <w:pStyle w:val="Heading2"/>
        <w:spacing w:after="110" w:before="230"/>
      </w:pPr>
      <w:r>
        <w:t xml:space="preserve">CLÁUSULA QUINTA — PREPARACIÓN DE PEDIDOS (PACKING)</w:t>
      </w:r>
    </w:p>
    <w:p>
      <w:pPr>
        <w:spacing w:after="120" w:line="272"/>
        <w:jc w:val="both"/>
      </w:pPr>
      <w:r>
        <w:t xml:space="preserve">SPEEDBOX preparará y embalará los Pedidos conforme a la información de EL CLIENTE. Será responsable de los errores de preparación que le sean imputables (reponiendo o reexpidiendo a su costo); EL CLIENTE responde por los errores derivados de información incorrecta o incompleta que haya proporcionado.</w:t>
      </w:r>
    </w:p>
    <w:p>
      <w:pPr>
        <w:pStyle w:val="Heading2"/>
        <w:spacing w:after="110" w:before="230"/>
      </w:pPr>
      <w:r>
        <w:t xml:space="preserve">CLÁUSULA SEXTA — ENTREGA Y REINTENTOS</w:t>
      </w:r>
    </w:p>
    <w:p>
      <w:pPr>
        <w:spacing w:after="120" w:line="272"/>
        <w:jc w:val="both"/>
      </w:pPr>
      <w:r>
        <w:t xml:space="preserve">SPEEDBOX entregará cada Pedido dentro de la zona de cobertura. De no concretarse, efectuará </w:t>
      </w:r>
      <w:r>
        <w:rPr>
          <w:b/>
          <w:bCs/>
        </w:rPr>
        <w:t xml:space="preserve">hasta tres (3) intentos de entrega en total </w:t>
      </w:r>
      <w:r>
        <w:rPr>
          <w:highlight w:val="yellow"/>
        </w:rPr>
        <w:t xml:space="preserve">[A CONFIRMAR: cantidad de intentos]</w:t>
      </w:r>
      <w:r>
        <w:t xml:space="preserve">. Si tras el tercer intento el Pedido no es recibido, EL CLIENTE abonará el flete íntegro más la Comisión del Pedido, descontable de la Liquidación siguiente.</w:t>
      </w:r>
    </w:p>
    <w:p>
      <w:pPr>
        <w:pStyle w:val="Heading2"/>
        <w:spacing w:after="110" w:before="230"/>
      </w:pPr>
      <w:r>
        <w:t xml:space="preserve">CLÁUSULA SÉPTIMA — COBRANZA COD Y LIQUIDACIÓN</w:t>
      </w:r>
    </w:p>
    <w:p>
      <w:pPr>
        <w:spacing w:after="120" w:line="272"/>
        <w:jc w:val="both"/>
      </w:pPr>
      <w:r>
        <w:t xml:space="preserve">SPEEDBOX percibirá el COD y liquidará a EL CLIENTE, previa deducción de la Comisión y costos, conforme a los ciclos: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4200"/>
      </w:tblGrid>
      <w:tr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1C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Fondos cobrados los días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1C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liquidan el</w:t>
            </w:r>
          </w:p>
        </w:tc>
      </w:tr>
      <w:tr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Lunes, martes y miércoles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Viernes de la misma semana</w:t>
            </w:r>
          </w:p>
        </w:tc>
      </w:tr>
      <w:tr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Jueves, viernes y sábado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Martes de la semana siguiente</w:t>
            </w:r>
          </w:p>
        </w:tc>
      </w:tr>
    </w:tbl>
    <w:p>
      <w:pPr>
        <w:spacing w:after="120" w:line="272"/>
        <w:jc w:val="both"/>
      </w:pPr>
      <w:r>
        <w:t xml:space="preserve">La Liquidación se transfiere únicamente a la cuenta bancaria </w:t>
      </w:r>
      <w:r>
        <w:rPr>
          <w:b/>
          <w:bCs/>
        </w:rPr>
        <w:t xml:space="preserve">de titularidad de EL CLIENTE</w:t>
      </w:r>
      <w:r>
        <w:t xml:space="preserve"> del Anexo II. SPEEDBOX no liquida a cuentas de terceros. Si el día de liquidación es feriado, se traslada al día hábil siguiente.</w:t>
      </w:r>
    </w:p>
    <w:p>
      <w:pPr>
        <w:pStyle w:val="Heading2"/>
        <w:spacing w:after="110" w:before="230"/>
      </w:pPr>
      <w:r>
        <w:t xml:space="preserve">CLÁUSULA OCTAVA — COMISIÓN, COSTOS Y FACTURACIÓN</w:t>
      </w:r>
    </w:p>
    <w:p>
      <w:pPr>
        <w:spacing w:after="120" w:line="272"/>
        <w:jc w:val="both"/>
      </w:pPr>
      <w:r>
        <w:t xml:space="preserve">La Comisión y los costos logísticos (almacenamiento, packing y flete) constan en el Anexo II, parte integrante de EL CONTRATO. SPEEDBOX emitirá la factura legal correspondiente. La falta de pago faculta a SPEEDBOX a retener de las Liquidaciones y/o suspender los servicios.</w:t>
      </w:r>
    </w:p>
    <w:p>
      <w:pPr>
        <w:pStyle w:val="Heading2"/>
        <w:spacing w:after="110" w:before="230"/>
      </w:pPr>
      <w:r>
        <w:t xml:space="preserve">CLÁUSULA NOVENA — RESPONSABILIDAD POR PÉRDIDA, ROBO O DAÑO</w:t>
      </w:r>
    </w:p>
    <w:p>
      <w:pPr>
        <w:spacing w:after="120" w:line="272"/>
        <w:jc w:val="both"/>
      </w:pPr>
      <w:r>
        <w:rPr>
          <w:b/>
          <w:bCs/>
        </w:rPr>
        <w:t xml:space="preserve">9.1. Mercadería bajo custodia o en tránsito. </w:t>
      </w:r>
      <w:r>
        <w:t xml:space="preserve">Ante pérdida, sustracción o daño de la mercadería bajo custodia de SPEEDBOX o en tránsito antes de la entrega, SPEEDBOX reembolsará a EL CLIENTE hasta el Valor Declarado, con respaldo de cobertura de seguro y sujeto a las exclusiones propias de la póliza.</w:t>
      </w:r>
    </w:p>
    <w:p>
      <w:pPr>
        <w:spacing w:after="120" w:line="272"/>
        <w:jc w:val="both"/>
      </w:pPr>
      <w:r>
        <w:rPr>
          <w:b/>
          <w:bCs/>
        </w:rPr>
        <w:t xml:space="preserve">9.2. Fondos de mercadería ya entregada. </w:t>
      </w:r>
      <w:r>
        <w:t xml:space="preserve">Tratándose de Pedidos ya entregados con falta de cobro o desvío de fondos, SPEEDBOX responde por el importe efectivamente cobrado y no liquidado (incluido el desvío por el personal de reparto) y otorga su respaldo. </w:t>
      </w:r>
      <w:r>
        <w:rPr>
          <w:highlight w:val="yellow"/>
        </w:rPr>
        <w:t xml:space="preserve">[A CONFIRMAR con asesoría legal: mecanismo y límite del respaldo en entregas sin cobro]</w:t>
      </w:r>
      <w:r>
        <w:t xml:space="preserve">.</w:t>
      </w:r>
    </w:p>
    <w:p>
      <w:pPr>
        <w:spacing w:after="120" w:line="272"/>
        <w:jc w:val="both"/>
      </w:pPr>
      <w:r>
        <w:rPr>
          <w:b/>
          <w:bCs/>
        </w:rPr>
        <w:t xml:space="preserve">9.3. Exclusiones y límite. </w:t>
      </w:r>
      <w:r>
        <w:t xml:space="preserve">SPEEDBOX no responde por: caso fortuito o fuerza mayor; vicios propios o defectos de la mercadería; mercadería no declarada o subdeclarada; embalaje deficiente de EL CLIENTE; ni hechos imputables a EL CLIENTE o a los Compradores Finales. En ningún caso la responsabilidad excederá el Valor Declarado afectado o los Fondos Cobrados y no liquidados, según corresponda.</w:t>
      </w:r>
    </w:p>
    <w:p>
      <w:pPr>
        <w:pStyle w:val="Heading2"/>
        <w:spacing w:after="110" w:before="230"/>
      </w:pPr>
      <w:r>
        <w:t xml:space="preserve">CLÁUSULA DÉCIMA — OBLIGACIONES DE EL CLIENTE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t xml:space="preserve">Proporcionar información veraz y actualizada, y comunicar toda modificación.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t xml:space="preserve">Declarar el Valor Declarado al ingresar la mercadería.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t xml:space="preserve">Garantizar que la mercadería es de comercialización y origen lícitos, con los registros y autorizaciones que correspondan.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t xml:space="preserve">Entregar y mantener vigente la documentación de habilitación (Anexo I).</w:t>
      </w:r>
    </w:p>
    <w:p>
      <w:pPr>
        <w:pStyle w:val="ListParagraph"/>
        <w:numPr>
          <w:ilvl w:val="0"/>
          <w:numId w:val="2"/>
        </w:numPr>
        <w:spacing w:after="60" w:line="272"/>
        <w:jc w:val="both"/>
      </w:pPr>
      <w:r>
        <w:t xml:space="preserve">Abonar la Comisión, los costos y los importes a su cargo.</w:t>
      </w:r>
    </w:p>
    <w:p>
      <w:pPr>
        <w:pStyle w:val="Heading2"/>
        <w:spacing w:after="110" w:before="230"/>
      </w:pPr>
      <w:r>
        <w:t xml:space="preserve">CLÁUSULA DÉCIMA PRIMERA — CONOCIMIENTO DEL CLIENTE (KYC) Y PREVENCIÓN DE LA/FT</w:t>
      </w:r>
    </w:p>
    <w:p>
      <w:pPr>
        <w:spacing w:after="120" w:line="272"/>
        <w:jc w:val="both"/>
      </w:pPr>
      <w:r>
        <w:t xml:space="preserve">La habilitación de EL CLIENTE está sujeta al Anexo I. SPEEDBOX aplica de forma </w:t>
      </w:r>
      <w:r>
        <w:rPr>
          <w:b/>
          <w:bCs/>
        </w:rPr>
        <w:t xml:space="preserve">voluntaria</w:t>
      </w:r>
      <w:r>
        <w:t xml:space="preserve"> políticas de prevención de lavado de activos y financiamiento del terrorismo conforme a su Manual interno, sin ser Sujeto Obligado en los términos de la Ley N.º 1015/97. SPEEDBOX podrá requerir documentación adicional, consultar listas restrictivas (OFAC, ONU y otras), </w:t>
      </w:r>
      <w:r>
        <w:rPr>
          <w:b/>
          <w:bCs/>
        </w:rPr>
        <w:t xml:space="preserve">retener Liquidaciones, suspender o restringir los servicios y/o no ejecutar operaciones</w:t>
      </w:r>
      <w:r>
        <w:t xml:space="preserve"> ante inconsistencias o señales de alerta no aclaradas, y finalizar la relación ante riesgos no mitigables. EL CLIENTE declara el origen lícito de la mercadería y de los fondos.</w:t>
      </w:r>
    </w:p>
    <w:p>
      <w:pPr>
        <w:pStyle w:val="Heading2"/>
        <w:spacing w:after="110" w:before="230"/>
      </w:pPr>
      <w:r>
        <w:t xml:space="preserve">CLÁUSULA DÉCIMA SEGUNDA — CONFIDENCIALIDAD</w:t>
      </w:r>
    </w:p>
    <w:p>
      <w:pPr>
        <w:spacing w:after="120" w:line="272"/>
        <w:jc w:val="both"/>
      </w:pPr>
      <w:r>
        <w:t xml:space="preserve">LAS PARTES mantendrán reserva sobre la información comercial y de Compradores Finales a la que accedan, usándola solo para la ejecución del servicio. La obligación subsiste tras la finalización del contrato.</w:t>
      </w:r>
    </w:p>
    <w:p>
      <w:pPr>
        <w:pStyle w:val="Heading2"/>
        <w:spacing w:after="110" w:before="230"/>
      </w:pPr>
      <w:r>
        <w:t xml:space="preserve">CLÁUSULA DÉCIMA TERCERA — PLAZO Y RESCISIÓN</w:t>
      </w:r>
    </w:p>
    <w:p>
      <w:pPr>
        <w:spacing w:after="120" w:line="272"/>
        <w:jc w:val="both"/>
      </w:pPr>
      <w:r>
        <w:t xml:space="preserve">EL CONTRATO rige por tiempo indeterminado desde su firma. Cualquiera de LAS PARTES podrá rescindirlo con preaviso por escrito de </w:t>
      </w:r>
      <w:r>
        <w:rPr>
          <w:highlight w:val="yellow"/>
        </w:rPr>
        <w:t xml:space="preserve">[treinta (30)]</w:t>
      </w:r>
      <w:r>
        <w:t xml:space="preserve"> días. SPEEDBOX podrá rescindirlo de pleno derecho, sin preaviso, ante incumplimiento de EL CLIENTE o los supuestos de la Cláusula Décima Primera, sin afectar las obligaciones pendientes de Liquidación.</w:t>
      </w:r>
    </w:p>
    <w:p>
      <w:pPr>
        <w:pStyle w:val="Heading2"/>
        <w:spacing w:after="110" w:before="230"/>
      </w:pPr>
      <w:r>
        <w:t xml:space="preserve">CLÁUSULA DÉCIMA CUARTA — RETIRO DE LA MERCADERÍA</w:t>
      </w:r>
    </w:p>
    <w:p>
      <w:pPr>
        <w:spacing w:after="120" w:line="272"/>
        <w:jc w:val="both"/>
      </w:pPr>
      <w:r>
        <w:t xml:space="preserve">Finalizado EL CONTRATO, EL CLIENTE retirará la mercadería en depósito dentro de </w:t>
      </w:r>
      <w:r>
        <w:rPr>
          <w:highlight w:val="yellow"/>
        </w:rPr>
        <w:t xml:space="preserve">[quince (15)]</w:t>
      </w:r>
      <w:r>
        <w:t xml:space="preserve"> días corridos. Vencido el plazo, SPEEDBOX podrá continuar cobrando almacenamiento y, previa intimación, disponer de la mercadería para cubrir lo adeudado, conforme a derecho.</w:t>
      </w:r>
    </w:p>
    <w:p>
      <w:pPr>
        <w:pStyle w:val="Heading2"/>
        <w:spacing w:after="110" w:before="230"/>
      </w:pPr>
      <w:r>
        <w:t xml:space="preserve">CLÁUSULA DÉCIMA QUINTA — CONSERVACIÓN DE REGISTROS</w:t>
      </w:r>
    </w:p>
    <w:p>
      <w:pPr>
        <w:spacing w:after="120" w:line="272"/>
        <w:jc w:val="both"/>
      </w:pPr>
      <w:r>
        <w:t xml:space="preserve">SPEEDBOX conservará la documentación e información por un plazo mínimo de cinco (5) años desde la finalización de la relación comercial.</w:t>
      </w:r>
    </w:p>
    <w:p>
      <w:pPr>
        <w:pStyle w:val="Heading2"/>
        <w:spacing w:after="110" w:before="230"/>
      </w:pPr>
      <w:r>
        <w:t xml:space="preserve">CLÁUSULA DÉCIMA SEXTA — ANEXOS, MODIFICACIONES Y CESIÓN</w:t>
      </w:r>
    </w:p>
    <w:p>
      <w:pPr>
        <w:spacing w:after="120" w:line="272"/>
        <w:jc w:val="both"/>
      </w:pPr>
      <w:r>
        <w:t xml:space="preserve">Forman parte integrante de EL CONTRATO el Anexo I (Habilitación del Cliente) y el Anexo II (Acuerdo Comercial). Toda modificación constará por escrito y firmada. EL CLIENTE no podrá ceder su posición sin consentimiento previo y escrito de SPEEDBOX.</w:t>
      </w:r>
    </w:p>
    <w:p>
      <w:pPr>
        <w:pStyle w:val="Heading2"/>
        <w:spacing w:after="110" w:before="230"/>
      </w:pPr>
      <w:r>
        <w:t xml:space="preserve">CLÁUSULA DÉCIMA SÉPTIMA — DOMICILIOS Y LEY APLICABLE</w:t>
      </w:r>
    </w:p>
    <w:p>
      <w:pPr>
        <w:spacing w:after="120" w:line="272"/>
        <w:jc w:val="both"/>
      </w:pPr>
      <w:r>
        <w:t xml:space="preserve">LAS PARTES constituyen domicilio en los del encabezamiento. EL CONTRATO se rige por las leyes de la República del Paraguay; para toda controversia se someten a los tribunales ordinarios de la ciudad de Ciudad del Este, con renuncia a cualquier otro fuero.</w:t>
      </w:r>
    </w:p>
    <w:p>
      <w:pPr>
        <w:spacing w:after="500" w:line="272"/>
        <w:jc w:val="both"/>
      </w:pPr>
      <w:r>
        <w:t xml:space="preserve">En prueba de conformidad, LAS PARTES suscriben dos (2) ejemplares de un mismo tenor y a un solo efecto, en el lugar y fecha indicados.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RAHÁ BY SPEEDBOX EAS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Alberto González Del Puerto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C.I. N.º 5.615.251 — Representante legal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_____________________________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CLIENTE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[Nombre / Razón social]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[C.I. / RUC] — Representante legal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20" w:before="120"/>
        <w:jc w:val="center"/>
      </w:pPr>
      <w:r>
        <w:t xml:space="preserve">ANEXO I — HABILITACIÓN DEL CLIENTE (KYC)</w:t>
      </w:r>
    </w:p>
    <w:p>
      <w:pPr>
        <w:spacing w:after="120" w:line="272"/>
        <w:jc w:val="both"/>
      </w:pPr>
      <w:r>
        <w:t xml:space="preserve">Datos y documentación de EL CLIENTE, verificados por SPEEDBOX: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 / Nombre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RUC / C.I.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económica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Volumen estimado de operaciones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Correo electrónico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Teléfono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</w:tbl>
    <w:p>
      <w:pPr>
        <w:spacing w:after="120" w:line="272"/>
        <w:jc w:val="both"/>
      </w:pPr>
      <w:r>
        <w:t xml:space="preserve">Documentación a adjuntar: Constancia de RUC, escritura/estatuto social, acta de designación del representante, C.I. del representante, constancia de inscripción en el Registro de Beneficiarios Finales. Verificaciones: validación documental, consulta tributaria (SET) y listas restrictivas (OFAC/ONU). Conservación: cinco (5) años.</w:t>
      </w:r>
    </w:p>
    <w:p>
      <w:pPr>
        <w:pageBreakBefore/>
      </w:pPr>
      <w:r>
        <w:t xml:space="preserve"/>
      </w:r>
    </w:p>
    <w:p>
      <w:pPr>
        <w:pStyle w:val="Heading1"/>
        <w:spacing w:after="220" w:before="120"/>
        <w:jc w:val="center"/>
      </w:pPr>
      <w:r>
        <w:t xml:space="preserve">ANEXO II — ACUERDO COMERCIAL</w:t>
      </w:r>
    </w:p>
    <w:p>
      <w:pPr>
        <w:spacing w:after="120" w:line="272"/>
        <w:jc w:val="both"/>
      </w:pPr>
      <w:r>
        <w:t xml:space="preserve">Condiciones comerciales particulares de EL CLIENTE. La tarifa por paquete incluye stockeo, packing, entrega, cobranza COD, procesamiento de devoluciones, gestión, tecnología, seguro de mercadería y acceso al catálogo.</w:t>
      </w:r>
    </w:p>
    <w:p>
      <w:pPr>
        <w:pStyle w:val="Heading2"/>
        <w:spacing w:after="110" w:before="230"/>
      </w:pPr>
      <w:r>
        <w:t xml:space="preserve">1. Tarifa por volumen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3040"/>
        <w:gridCol w:w="2800"/>
      </w:tblGrid>
      <w:tr>
        <w:tc>
          <w:tcPr>
            <w:tcW w:type="dxa" w:w="35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1C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Volumen mensual</w:t>
            </w:r>
          </w:p>
        </w:tc>
        <w:tc>
          <w:tcPr>
            <w:tcW w:type="dxa" w:w="3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1C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por paquete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D1C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Comisión COD</w:t>
            </w:r>
          </w:p>
        </w:tc>
      </w:tr>
      <w:tr>
        <w:tc>
          <w:tcPr>
            <w:tcW w:type="dxa" w:w="35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Hasta 500 paquetes / mes</w:t>
            </w:r>
          </w:p>
        </w:tc>
        <w:tc>
          <w:tcPr>
            <w:tcW w:type="dxa" w:w="3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Gs. 30.000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+ 2%</w:t>
            </w:r>
          </w:p>
        </w:tc>
      </w:tr>
      <w:tr>
        <w:tc>
          <w:tcPr>
            <w:tcW w:type="dxa" w:w="35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 500 a 750 / mes</w:t>
            </w:r>
          </w:p>
        </w:tc>
        <w:tc>
          <w:tcPr>
            <w:tcW w:type="dxa" w:w="3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Gs. 29.000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+ 2%</w:t>
            </w:r>
          </w:p>
        </w:tc>
      </w:tr>
      <w:tr>
        <w:tc>
          <w:tcPr>
            <w:tcW w:type="dxa" w:w="35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 750 a 1.000 / mes</w:t>
            </w:r>
          </w:p>
        </w:tc>
        <w:tc>
          <w:tcPr>
            <w:tcW w:type="dxa" w:w="3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Gs. 27.000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+ 2%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 asignado a EL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00"/>
        <w:gridCol w:w="2040"/>
        <w:gridCol w:w="150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Volumen contratado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  <w:tc>
          <w:tcPr>
            <w:tcW w:type="dxa" w:w="20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Precio por paquete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</w:tbl>
    <w:p>
      <w:pPr>
        <w:spacing w:after="120" w:line="272"/>
        <w:jc w:val="both"/>
      </w:pPr>
      <w:r>
        <w:t xml:space="preserve">La comisión sobre la cobranza COD es del 2%, salvo condición especial pactada por escrito. Al superar o no alcanzar el volumen del plan, las partes podrán ajustarlo mediante adenda.</w:t>
      </w:r>
    </w:p>
    <w:p>
      <w:pPr>
        <w:pStyle w:val="Heading2"/>
        <w:spacing w:after="110" w:before="230"/>
      </w:pPr>
      <w:r>
        <w:t xml:space="preserve">2. Cuenta bancaria para liquidaciones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Banco / entidad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y N.º de cuenta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Titular (debe ser EL CLIENTE)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 </w:t>
            </w:r>
          </w:p>
        </w:tc>
      </w:tr>
    </w:tbl>
    <w:p>
      <w:pPr>
        <w:pStyle w:val="Heading2"/>
        <w:spacing w:after="110" w:before="230"/>
      </w:pPr>
      <w:r>
        <w:t xml:space="preserve">3. Zona de cobertura (COD)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Metropolitana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Asunción, Lambaré, Fernando de la Mora, Luque, Mariano Roque Alonso, Limpio, Areguá, Itauguá, Capiatá, San Lorenzo, Villeta, Guarambaré, J. A. Saldívar, Ypané, Ñemby, San Antonio y Villa Elisa.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 Paraná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Ciudad del Este, Presidente Franco, Hernandarias y Minga Guazú.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Interior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Coronel Oviedo y Concepción.</w:t>
            </w:r>
          </w:p>
        </w:tc>
      </w:tr>
    </w:tbl>
    <w:p>
      <w:pPr>
        <w:spacing w:after="80" w:line="272"/>
        <w:jc w:val="both"/>
      </w:pPr>
      <w:r>
        <w:t xml:space="preserve"/>
      </w:r>
    </w:p>
    <w:p>
      <w:pPr>
        <w:spacing w:after="120" w:line="272"/>
        <w:jc w:val="both"/>
      </w:pPr>
      <w:r>
        <w:t xml:space="preserve">Firmas: ____________________ (SPEEDBOX)        ____________________ (EL CLIENTE)</w:t>
      </w:r>
    </w:p>
    <w:sectPr>
      <w:headerReference w:type="default" r:id="rId6"/>
      <w:footerReference w:type="default" r:id="rId7"/>
      <w:pgSz w:w="11906" w:h="16838" w:orient="portrait"/>
      <w:pgMar w:top="1700" w:right="1440" w:bottom="1440" w:left="144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spacing w:before="60"/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Rahá by SPEEDBOX EAS · RUC 80168276-2 · Av. Bicentenario y Cochabamba, Ciudad del Este, Paraguay</w:t>
    </w:r>
  </w:p>
  <w:p>
    <w:pPr>
      <w:jc w:val="center"/>
    </w:pPr>
    <w:r>
      <w:rPr>
        <w:rFonts w:ascii="Arial" w:cs="Arial" w:eastAsia="Arial" w:hAnsi="Arial"/>
        <w:color w:val="BBBBBB"/>
        <w:sz w:val="13"/>
        <w:szCs w:val="13"/>
      </w:rPr>
      <w:t xml:space="preserve">Página </w:t>
    </w:r>
    <w:r>
      <w:rPr>
        <w:rFonts w:ascii="Arial" w:cs="Arial" w:eastAsia="Arial" w:hAnsi="Arial"/>
        <w:color w:val="BBBBBB"/>
        <w:sz w:val="13"/>
        <w:szCs w:val="13"/>
      </w:rPr>
      <w:fldChar w:fldCharType="begin"/>
    </w:r>
    <w:r>
      <w:rPr>
        <w:rFonts w:ascii="Arial" w:cs="Arial" w:eastAsia="Arial" w:hAnsi="Arial"/>
        <w:color w:val="BBBBBB"/>
        <w:sz w:val="13"/>
        <w:szCs w:val="13"/>
      </w:rPr>
      <w:instrText xml:space="preserve">PAGE</w:instrText>
    </w:r>
    <w:r>
      <w:rPr>
        <w:rFonts w:ascii="Arial" w:cs="Arial" w:eastAsia="Arial" w:hAnsi="Arial"/>
        <w:color w:val="BBBBBB"/>
        <w:sz w:val="13"/>
        <w:szCs w:val="13"/>
      </w:rPr>
      <w:fldChar w:fldCharType="separate"/>
    </w:r>
    <w:r>
      <w:rPr>
        <w:rFonts w:ascii="Arial" w:cs="Arial" w:eastAsia="Arial" w:hAnsi="Arial"/>
        <w:color w:val="BBBBBB"/>
        <w:sz w:val="13"/>
        <w:szCs w:val="13"/>
      </w:rPr>
      <w:fldChar w:fldCharType="end"/>
    </w:r>
    <w:r>
      <w:rPr>
        <w:rFonts w:ascii="Arial" w:cs="Arial" w:eastAsia="Arial" w:hAnsi="Arial"/>
        <w:color w:val="BBBBBB"/>
        <w:sz w:val="13"/>
        <w:szCs w:val="13"/>
      </w:rPr>
      <w:t xml:space="preserve"> de </w:t>
    </w:r>
    <w:r>
      <w:rPr>
        <w:rFonts w:ascii="Arial" w:cs="Arial" w:eastAsia="Arial" w:hAnsi="Arial"/>
        <w:color w:val="BBBBBB"/>
        <w:sz w:val="13"/>
        <w:szCs w:val="13"/>
      </w:rPr>
      <w:fldChar w:fldCharType="begin"/>
    </w:r>
    <w:r>
      <w:rPr>
        <w:rFonts w:ascii="Arial" w:cs="Arial" w:eastAsia="Arial" w:hAnsi="Arial"/>
        <w:color w:val="BBBBBB"/>
        <w:sz w:val="13"/>
        <w:szCs w:val="13"/>
      </w:rPr>
      <w:instrText xml:space="preserve">NUMPAGES</w:instrText>
    </w:r>
    <w:r>
      <w:rPr>
        <w:rFonts w:ascii="Arial" w:cs="Arial" w:eastAsia="Arial" w:hAnsi="Arial"/>
        <w:color w:val="BBBBBB"/>
        <w:sz w:val="13"/>
        <w:szCs w:val="13"/>
      </w:rPr>
      <w:fldChar w:fldCharType="separate"/>
    </w:r>
    <w:r>
      <w:rPr>
        <w:rFonts w:ascii="Arial" w:cs="Arial" w:eastAsia="Arial" w:hAnsi="Arial"/>
        <w:color w:val="BBBBBB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12395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204F94"/>
              <w:sz w:val="17"/>
              <w:szCs w:val="17"/>
            </w:rPr>
            <w:t xml:space="preserve">by SPEEDBOX</w:t>
          </w:r>
        </w:p>
        <w:p>
          <w:pPr>
            <w:spacing w:before="20"/>
            <w:jc w:val="right"/>
          </w:pPr>
          <w:r>
            <w:rPr>
              <w:rFonts w:ascii="Arial" w:cs="Arial" w:eastAsia="Arial" w:hAnsi="Arial"/>
              <w:color w:val="888888"/>
              <w:sz w:val="13"/>
              <w:szCs w:val="13"/>
            </w:rPr>
            <w:t xml:space="preserve">Logística para ecommerce</w:t>
          </w:r>
        </w:p>
      </w:tc>
    </w:tr>
  </w:tbl>
  <w:p>
    <w:pPr>
      <w:pBdr>
        <w:bottom w:val="single" w:color="ED1C1A" w:sz="12" w:space="4"/>
      </w:pBdr>
      <w:spacing w:after="12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ED1C1A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D1C1A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d12da9821e47020f37aaa5db75fc4c8ba715e9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2026-10-24T15:30:57.089Z</dcterms:created>
  <dcterms:modified xsi:type="dcterms:W3CDTF">2026-10-24T15:30:57.093Z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