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60A5D" w14:textId="77777777" w:rsidR="00203F32" w:rsidRPr="00203F32" w:rsidRDefault="00203F32" w:rsidP="00203F32">
      <w:pPr>
        <w:rPr>
          <w:rFonts w:ascii="Arial" w:hAnsi="Arial" w:cs="Arial"/>
          <w:b/>
          <w:bCs/>
        </w:rPr>
      </w:pPr>
      <w:r w:rsidRPr="00203F32">
        <w:rPr>
          <w:rFonts w:ascii="Arial" w:hAnsi="Arial" w:cs="Arial"/>
          <w:b/>
          <w:bCs/>
        </w:rPr>
        <w:t>Addressing Hitech's Challenges in a Hybrid Cloud Environment</w:t>
      </w:r>
    </w:p>
    <w:p w14:paraId="04887C90" w14:textId="77777777" w:rsidR="00203F32" w:rsidRPr="00203F32" w:rsidRDefault="00203F32" w:rsidP="00203F32">
      <w:pPr>
        <w:rPr>
          <w:rFonts w:ascii="Arial" w:hAnsi="Arial" w:cs="Arial"/>
          <w:b/>
          <w:bCs/>
        </w:rPr>
      </w:pPr>
      <w:r w:rsidRPr="00203F32">
        <w:rPr>
          <w:rFonts w:ascii="Arial" w:hAnsi="Arial" w:cs="Arial"/>
          <w:b/>
          <w:bCs/>
        </w:rPr>
        <w:t>1. Integration Complexities in a Hybrid Cloud Environment</w:t>
      </w:r>
    </w:p>
    <w:p w14:paraId="031F4DA6" w14:textId="77777777" w:rsidR="00203F32" w:rsidRPr="00203F32" w:rsidRDefault="00203F32" w:rsidP="00203F32">
      <w:pPr>
        <w:rPr>
          <w:rFonts w:ascii="Arial" w:hAnsi="Arial" w:cs="Arial"/>
        </w:rPr>
      </w:pPr>
      <w:r w:rsidRPr="00203F32">
        <w:rPr>
          <w:rFonts w:ascii="Arial" w:hAnsi="Arial" w:cs="Arial"/>
        </w:rPr>
        <w:t>Hitech faces integration challenges due to differences in APIs, tools, and configurations between on-premises systems and public cloud providers like AWS and Azure. Maintaining data consistency, interoperability, and visibility across systems is critical.</w:t>
      </w:r>
    </w:p>
    <w:p w14:paraId="62F288A8" w14:textId="77777777" w:rsidR="00203F32" w:rsidRPr="00203F32" w:rsidRDefault="00203F32" w:rsidP="00203F32">
      <w:pPr>
        <w:rPr>
          <w:rFonts w:ascii="Arial" w:hAnsi="Arial" w:cs="Arial"/>
        </w:rPr>
      </w:pPr>
      <w:r w:rsidRPr="00203F32">
        <w:rPr>
          <w:rFonts w:ascii="Arial" w:hAnsi="Arial" w:cs="Arial"/>
          <w:b/>
          <w:bCs/>
        </w:rPr>
        <w:t>Solutions:</w:t>
      </w:r>
    </w:p>
    <w:p w14:paraId="0D718D72" w14:textId="565EFE39" w:rsidR="00203F32" w:rsidRPr="00203F32" w:rsidRDefault="00203F32" w:rsidP="00203F32">
      <w:pPr>
        <w:numPr>
          <w:ilvl w:val="0"/>
          <w:numId w:val="1"/>
        </w:numPr>
        <w:rPr>
          <w:rFonts w:ascii="Arial" w:hAnsi="Arial" w:cs="Arial"/>
        </w:rPr>
      </w:pPr>
      <w:r w:rsidRPr="00203F32">
        <w:rPr>
          <w:rFonts w:ascii="Arial" w:hAnsi="Arial" w:cs="Arial"/>
          <w:b/>
          <w:bCs/>
        </w:rPr>
        <w:t>Cloud Management Platforms (CMPs):</w:t>
      </w:r>
      <w:r w:rsidRPr="00203F32">
        <w:rPr>
          <w:rFonts w:ascii="Arial" w:hAnsi="Arial" w:cs="Arial"/>
        </w:rPr>
        <w:t xml:space="preserve"> Tools like VMware </w:t>
      </w:r>
      <w:proofErr w:type="spellStart"/>
      <w:r w:rsidRPr="00203F32">
        <w:rPr>
          <w:rFonts w:ascii="Arial" w:hAnsi="Arial" w:cs="Arial"/>
        </w:rPr>
        <w:t>CloudHealth</w:t>
      </w:r>
      <w:proofErr w:type="spellEnd"/>
      <w:r w:rsidRPr="00203F32">
        <w:rPr>
          <w:rFonts w:ascii="Arial" w:hAnsi="Arial" w:cs="Arial"/>
        </w:rPr>
        <w:t xml:space="preserve"> or Cisco </w:t>
      </w:r>
      <w:proofErr w:type="spellStart"/>
      <w:r w:rsidRPr="00203F32">
        <w:rPr>
          <w:rFonts w:ascii="Arial" w:hAnsi="Arial" w:cs="Arial"/>
        </w:rPr>
        <w:t>CloudCenter</w:t>
      </w:r>
      <w:proofErr w:type="spellEnd"/>
      <w:r w:rsidRPr="00203F32">
        <w:rPr>
          <w:rFonts w:ascii="Arial" w:hAnsi="Arial" w:cs="Arial"/>
        </w:rPr>
        <w:t xml:space="preserve"> centralize resource management, enhance visibility, and streamline operations (Rountree &amp; </w:t>
      </w:r>
      <w:proofErr w:type="spellStart"/>
      <w:r w:rsidRPr="00203F32">
        <w:rPr>
          <w:rFonts w:ascii="Arial" w:hAnsi="Arial" w:cs="Arial"/>
        </w:rPr>
        <w:t>Castrillo</w:t>
      </w:r>
      <w:proofErr w:type="spellEnd"/>
      <w:r w:rsidRPr="00203F32">
        <w:rPr>
          <w:rFonts w:ascii="Arial" w:hAnsi="Arial" w:cs="Arial"/>
        </w:rPr>
        <w:t>, 20</w:t>
      </w:r>
      <w:r>
        <w:rPr>
          <w:rFonts w:ascii="Arial" w:hAnsi="Arial" w:cs="Arial"/>
        </w:rPr>
        <w:t>13</w:t>
      </w:r>
      <w:r w:rsidRPr="00203F32">
        <w:rPr>
          <w:rFonts w:ascii="Arial" w:hAnsi="Arial" w:cs="Arial"/>
        </w:rPr>
        <w:t>).</w:t>
      </w:r>
    </w:p>
    <w:p w14:paraId="584C14EC" w14:textId="06BF4795" w:rsidR="00203F32" w:rsidRPr="00203F32" w:rsidRDefault="00203F32" w:rsidP="00203F32">
      <w:pPr>
        <w:numPr>
          <w:ilvl w:val="0"/>
          <w:numId w:val="1"/>
        </w:numPr>
        <w:rPr>
          <w:rFonts w:ascii="Arial" w:hAnsi="Arial" w:cs="Arial"/>
        </w:rPr>
      </w:pPr>
      <w:r w:rsidRPr="00203F32">
        <w:rPr>
          <w:rFonts w:ascii="Arial" w:hAnsi="Arial" w:cs="Arial"/>
          <w:b/>
          <w:bCs/>
        </w:rPr>
        <w:t>Integration Tools:</w:t>
      </w:r>
      <w:r w:rsidRPr="00203F32">
        <w:rPr>
          <w:rFonts w:ascii="Arial" w:hAnsi="Arial" w:cs="Arial"/>
        </w:rPr>
        <w:t xml:space="preserve"> Middleware like MuleSoft, Boomi, or Red Hat OpenShift enables smooth communication between systems using APIs and microservices </w:t>
      </w:r>
    </w:p>
    <w:p w14:paraId="79CB78A6" w14:textId="4C68F3FF" w:rsidR="00203F32" w:rsidRPr="00203F32" w:rsidRDefault="00203F32" w:rsidP="00203F32">
      <w:pPr>
        <w:numPr>
          <w:ilvl w:val="0"/>
          <w:numId w:val="1"/>
        </w:numPr>
        <w:rPr>
          <w:rFonts w:ascii="Arial" w:hAnsi="Arial" w:cs="Arial"/>
        </w:rPr>
      </w:pPr>
      <w:r w:rsidRPr="00203F32">
        <w:rPr>
          <w:rFonts w:ascii="Arial" w:hAnsi="Arial" w:cs="Arial"/>
          <w:b/>
          <w:bCs/>
        </w:rPr>
        <w:t>Standardi</w:t>
      </w:r>
      <w:r>
        <w:rPr>
          <w:rFonts w:ascii="Arial" w:hAnsi="Arial" w:cs="Arial"/>
          <w:b/>
          <w:bCs/>
        </w:rPr>
        <w:t>s</w:t>
      </w:r>
      <w:r w:rsidRPr="00203F32">
        <w:rPr>
          <w:rFonts w:ascii="Arial" w:hAnsi="Arial" w:cs="Arial"/>
          <w:b/>
          <w:bCs/>
        </w:rPr>
        <w:t>ation:</w:t>
      </w:r>
      <w:r w:rsidRPr="00203F32">
        <w:rPr>
          <w:rFonts w:ascii="Arial" w:hAnsi="Arial" w:cs="Arial"/>
        </w:rPr>
        <w:t xml:space="preserve"> Frameworks like TOGAF and ITIL ensure uniform processes and integration across the hybrid cloud (Agutter, 2021)</w:t>
      </w:r>
    </w:p>
    <w:p w14:paraId="0DE06D1F" w14:textId="77777777" w:rsidR="00203F32" w:rsidRPr="00203F32" w:rsidRDefault="00203F32" w:rsidP="00203F32">
      <w:pPr>
        <w:rPr>
          <w:rFonts w:ascii="Arial" w:hAnsi="Arial" w:cs="Arial"/>
        </w:rPr>
      </w:pPr>
    </w:p>
    <w:p w14:paraId="75C6F8A1" w14:textId="77777777" w:rsidR="00203F32" w:rsidRPr="00203F32" w:rsidRDefault="00203F32" w:rsidP="00203F32">
      <w:pPr>
        <w:rPr>
          <w:rFonts w:ascii="Arial" w:hAnsi="Arial" w:cs="Arial"/>
          <w:b/>
          <w:bCs/>
        </w:rPr>
      </w:pPr>
      <w:r w:rsidRPr="00203F32">
        <w:rPr>
          <w:rFonts w:ascii="Arial" w:hAnsi="Arial" w:cs="Arial"/>
          <w:b/>
          <w:bCs/>
        </w:rPr>
        <w:t>2. Ensuring Consistent Service Levels (SLAs)</w:t>
      </w:r>
    </w:p>
    <w:p w14:paraId="6D3D256E" w14:textId="77777777" w:rsidR="00203F32" w:rsidRPr="00203F32" w:rsidRDefault="00203F32" w:rsidP="00203F32">
      <w:pPr>
        <w:rPr>
          <w:rFonts w:ascii="Arial" w:hAnsi="Arial" w:cs="Arial"/>
        </w:rPr>
      </w:pPr>
      <w:r w:rsidRPr="00203F32">
        <w:rPr>
          <w:rFonts w:ascii="Arial" w:hAnsi="Arial" w:cs="Arial"/>
        </w:rPr>
        <w:t>Service variability between on-premises and cloud providers can impact SLA compliance. Hitech must ensure seamless performance and availability to meet customer expectations.</w:t>
      </w:r>
    </w:p>
    <w:p w14:paraId="5DD1F135" w14:textId="77777777" w:rsidR="00203F32" w:rsidRPr="00203F32" w:rsidRDefault="00203F32" w:rsidP="00203F32">
      <w:pPr>
        <w:rPr>
          <w:rFonts w:ascii="Arial" w:hAnsi="Arial" w:cs="Arial"/>
        </w:rPr>
      </w:pPr>
      <w:r w:rsidRPr="00203F32">
        <w:rPr>
          <w:rFonts w:ascii="Arial" w:hAnsi="Arial" w:cs="Arial"/>
          <w:b/>
          <w:bCs/>
        </w:rPr>
        <w:t>Solutions:</w:t>
      </w:r>
    </w:p>
    <w:p w14:paraId="5A1F6F05" w14:textId="77777777" w:rsidR="00203F32" w:rsidRPr="00203F32" w:rsidRDefault="00203F32" w:rsidP="00203F32">
      <w:pPr>
        <w:numPr>
          <w:ilvl w:val="0"/>
          <w:numId w:val="2"/>
        </w:numPr>
        <w:rPr>
          <w:rFonts w:ascii="Arial" w:hAnsi="Arial" w:cs="Arial"/>
        </w:rPr>
      </w:pPr>
      <w:r w:rsidRPr="00203F32">
        <w:rPr>
          <w:rFonts w:ascii="Arial" w:hAnsi="Arial" w:cs="Arial"/>
          <w:b/>
          <w:bCs/>
        </w:rPr>
        <w:t>Unified SLA Management:</w:t>
      </w:r>
      <w:r w:rsidRPr="00203F32">
        <w:rPr>
          <w:rFonts w:ascii="Arial" w:hAnsi="Arial" w:cs="Arial"/>
        </w:rPr>
        <w:t xml:space="preserve"> Develop SLAs that align with business objectives and negotiate clear terms with cloud vendors to cover uptime, response times, and support (</w:t>
      </w:r>
      <w:proofErr w:type="spellStart"/>
      <w:r w:rsidRPr="00203F32">
        <w:rPr>
          <w:rFonts w:ascii="Arial" w:hAnsi="Arial" w:cs="Arial"/>
        </w:rPr>
        <w:t>Makhlouf</w:t>
      </w:r>
      <w:proofErr w:type="spellEnd"/>
      <w:r w:rsidRPr="00203F32">
        <w:rPr>
          <w:rFonts w:ascii="Arial" w:hAnsi="Arial" w:cs="Arial"/>
        </w:rPr>
        <w:t>, 2020).</w:t>
      </w:r>
    </w:p>
    <w:p w14:paraId="02F2FAD2" w14:textId="77777777" w:rsidR="00203F32" w:rsidRPr="00203F32" w:rsidRDefault="00203F32" w:rsidP="00203F32">
      <w:pPr>
        <w:numPr>
          <w:ilvl w:val="0"/>
          <w:numId w:val="2"/>
        </w:numPr>
        <w:rPr>
          <w:rFonts w:ascii="Arial" w:hAnsi="Arial" w:cs="Arial"/>
        </w:rPr>
      </w:pPr>
      <w:r w:rsidRPr="00203F32">
        <w:rPr>
          <w:rFonts w:ascii="Arial" w:hAnsi="Arial" w:cs="Arial"/>
          <w:b/>
          <w:bCs/>
        </w:rPr>
        <w:t>Automation and Orchestration:</w:t>
      </w:r>
      <w:r w:rsidRPr="00203F32">
        <w:rPr>
          <w:rFonts w:ascii="Arial" w:hAnsi="Arial" w:cs="Arial"/>
        </w:rPr>
        <w:t xml:space="preserve"> Tools like Ansible, Terraform, or Kubernetes can automate workflows, minimize errors, and enable auto-scaling for consistent performance (Ahmad et al., 2018).</w:t>
      </w:r>
    </w:p>
    <w:p w14:paraId="3E8D0243" w14:textId="77777777" w:rsidR="00203F32" w:rsidRPr="00203F32" w:rsidRDefault="00203F32" w:rsidP="00203F32">
      <w:pPr>
        <w:numPr>
          <w:ilvl w:val="0"/>
          <w:numId w:val="2"/>
        </w:numPr>
        <w:rPr>
          <w:rFonts w:ascii="Arial" w:hAnsi="Arial" w:cs="Arial"/>
        </w:rPr>
      </w:pPr>
      <w:r w:rsidRPr="00203F32">
        <w:rPr>
          <w:rFonts w:ascii="Arial" w:hAnsi="Arial" w:cs="Arial"/>
          <w:b/>
          <w:bCs/>
        </w:rPr>
        <w:t>Performance Monitoring:</w:t>
      </w:r>
      <w:r w:rsidRPr="00203F32">
        <w:rPr>
          <w:rFonts w:ascii="Arial" w:hAnsi="Arial" w:cs="Arial"/>
        </w:rPr>
        <w:t xml:space="preserve"> Solutions like Dynatrace, AppDynamics, or Datadog provide real-time performance insights and predictive analytics to prevent SLA breaches (</w:t>
      </w:r>
      <w:proofErr w:type="spellStart"/>
      <w:r w:rsidRPr="00203F32">
        <w:rPr>
          <w:rFonts w:ascii="Arial" w:hAnsi="Arial" w:cs="Arial"/>
        </w:rPr>
        <w:t>Miloslavskaya</w:t>
      </w:r>
      <w:proofErr w:type="spellEnd"/>
      <w:r w:rsidRPr="00203F32">
        <w:rPr>
          <w:rFonts w:ascii="Arial" w:hAnsi="Arial" w:cs="Arial"/>
        </w:rPr>
        <w:t xml:space="preserve"> &amp; Tolstoy, 2020).</w:t>
      </w:r>
    </w:p>
    <w:p w14:paraId="429C921E" w14:textId="77777777" w:rsidR="00203F32" w:rsidRPr="00203F32" w:rsidRDefault="00203F32" w:rsidP="00203F32">
      <w:pPr>
        <w:rPr>
          <w:rFonts w:ascii="Arial" w:hAnsi="Arial" w:cs="Arial"/>
        </w:rPr>
      </w:pPr>
    </w:p>
    <w:p w14:paraId="0B9E6836" w14:textId="77777777" w:rsidR="00203F32" w:rsidRPr="00203F32" w:rsidRDefault="00203F32" w:rsidP="00203F32">
      <w:pPr>
        <w:rPr>
          <w:rFonts w:ascii="Arial" w:hAnsi="Arial" w:cs="Arial"/>
          <w:b/>
          <w:bCs/>
        </w:rPr>
      </w:pPr>
      <w:r w:rsidRPr="00203F32">
        <w:rPr>
          <w:rFonts w:ascii="Arial" w:hAnsi="Arial" w:cs="Arial"/>
          <w:b/>
          <w:bCs/>
        </w:rPr>
        <w:t>Strategies for Managing ITSM in Hybrid and Multi-Cloud Environments</w:t>
      </w:r>
    </w:p>
    <w:p w14:paraId="571094E4" w14:textId="5621E8C7" w:rsidR="00203F32" w:rsidRPr="00203F32" w:rsidRDefault="00203F32" w:rsidP="00203F32">
      <w:pPr>
        <w:numPr>
          <w:ilvl w:val="0"/>
          <w:numId w:val="3"/>
        </w:numPr>
        <w:rPr>
          <w:rFonts w:ascii="Arial" w:hAnsi="Arial" w:cs="Arial"/>
        </w:rPr>
      </w:pPr>
      <w:r w:rsidRPr="00203F32">
        <w:rPr>
          <w:rFonts w:ascii="Arial" w:hAnsi="Arial" w:cs="Arial"/>
          <w:b/>
          <w:bCs/>
        </w:rPr>
        <w:lastRenderedPageBreak/>
        <w:t>Centrali</w:t>
      </w:r>
      <w:r>
        <w:rPr>
          <w:rFonts w:ascii="Arial" w:hAnsi="Arial" w:cs="Arial"/>
          <w:b/>
          <w:bCs/>
        </w:rPr>
        <w:t>s</w:t>
      </w:r>
      <w:r w:rsidRPr="00203F32">
        <w:rPr>
          <w:rFonts w:ascii="Arial" w:hAnsi="Arial" w:cs="Arial"/>
          <w:b/>
          <w:bCs/>
        </w:rPr>
        <w:t>ed ITSM Platform:</w:t>
      </w:r>
      <w:r w:rsidRPr="00203F32">
        <w:rPr>
          <w:rFonts w:ascii="Arial" w:hAnsi="Arial" w:cs="Arial"/>
        </w:rPr>
        <w:t xml:space="preserve"> Use tools like ServiceNow or BMC Helix to streamline incident, problem, and change management across hybrid environments (Weed-</w:t>
      </w:r>
      <w:proofErr w:type="spellStart"/>
      <w:r w:rsidRPr="00203F32">
        <w:rPr>
          <w:rFonts w:ascii="Arial" w:hAnsi="Arial" w:cs="Arial"/>
        </w:rPr>
        <w:t>Schertzer</w:t>
      </w:r>
      <w:proofErr w:type="spellEnd"/>
      <w:r w:rsidRPr="00203F32">
        <w:rPr>
          <w:rFonts w:ascii="Arial" w:hAnsi="Arial" w:cs="Arial"/>
        </w:rPr>
        <w:t>, 2019).</w:t>
      </w:r>
    </w:p>
    <w:p w14:paraId="322CCE4A" w14:textId="2A98FA58" w:rsidR="00203F32" w:rsidRPr="00203F32" w:rsidRDefault="00203F32" w:rsidP="00203F32">
      <w:pPr>
        <w:numPr>
          <w:ilvl w:val="0"/>
          <w:numId w:val="3"/>
        </w:numPr>
        <w:rPr>
          <w:rFonts w:ascii="Arial" w:hAnsi="Arial" w:cs="Arial"/>
        </w:rPr>
      </w:pPr>
      <w:r w:rsidRPr="00203F32">
        <w:rPr>
          <w:rFonts w:ascii="Arial" w:hAnsi="Arial" w:cs="Arial"/>
          <w:b/>
          <w:bCs/>
        </w:rPr>
        <w:t>Configuration Management Database (CMDB):</w:t>
      </w:r>
      <w:r w:rsidRPr="00203F32">
        <w:rPr>
          <w:rFonts w:ascii="Arial" w:hAnsi="Arial" w:cs="Arial"/>
        </w:rPr>
        <w:t xml:space="preserve"> Maintain a CMDB to track assets, relationships, and dependencies, ensuring accurate configuration and change management (Agutter, 2021)</w:t>
      </w:r>
    </w:p>
    <w:p w14:paraId="7BF2B017" w14:textId="77777777" w:rsidR="00203F32" w:rsidRPr="00203F32" w:rsidRDefault="00203F32" w:rsidP="00203F32">
      <w:pPr>
        <w:numPr>
          <w:ilvl w:val="0"/>
          <w:numId w:val="3"/>
        </w:numPr>
        <w:rPr>
          <w:rFonts w:ascii="Arial" w:hAnsi="Arial" w:cs="Arial"/>
        </w:rPr>
      </w:pPr>
      <w:r w:rsidRPr="00203F32">
        <w:rPr>
          <w:rFonts w:ascii="Arial" w:hAnsi="Arial" w:cs="Arial"/>
          <w:b/>
          <w:bCs/>
        </w:rPr>
        <w:t>Performance and Cost Optimization:</w:t>
      </w:r>
      <w:r w:rsidRPr="00203F32">
        <w:rPr>
          <w:rFonts w:ascii="Arial" w:hAnsi="Arial" w:cs="Arial"/>
        </w:rPr>
        <w:t xml:space="preserve"> Monitor metrics like latency and response time while optimizing costs using reserved or spot cloud instances (</w:t>
      </w:r>
      <w:proofErr w:type="spellStart"/>
      <w:r w:rsidRPr="00203F32">
        <w:rPr>
          <w:rFonts w:ascii="Arial" w:hAnsi="Arial" w:cs="Arial"/>
        </w:rPr>
        <w:t>Makhlouf</w:t>
      </w:r>
      <w:proofErr w:type="spellEnd"/>
      <w:r w:rsidRPr="00203F32">
        <w:rPr>
          <w:rFonts w:ascii="Arial" w:hAnsi="Arial" w:cs="Arial"/>
        </w:rPr>
        <w:t>, 2020).</w:t>
      </w:r>
    </w:p>
    <w:p w14:paraId="285A5FF0" w14:textId="3F32B51E" w:rsidR="00203F32" w:rsidRPr="00203F32" w:rsidRDefault="00203F32" w:rsidP="00203F32">
      <w:pPr>
        <w:numPr>
          <w:ilvl w:val="0"/>
          <w:numId w:val="3"/>
        </w:numPr>
        <w:rPr>
          <w:rFonts w:ascii="Arial" w:hAnsi="Arial" w:cs="Arial"/>
        </w:rPr>
      </w:pPr>
      <w:r w:rsidRPr="00203F32">
        <w:rPr>
          <w:rFonts w:ascii="Arial" w:hAnsi="Arial" w:cs="Arial"/>
          <w:b/>
          <w:bCs/>
        </w:rPr>
        <w:t>Service Portfolio Management:</w:t>
      </w:r>
      <w:r w:rsidRPr="00203F32">
        <w:rPr>
          <w:rFonts w:ascii="Arial" w:hAnsi="Arial" w:cs="Arial"/>
        </w:rPr>
        <w:t xml:space="preserve"> Map IT services to appropriate resources to align with business needs and improve service delivery</w:t>
      </w:r>
      <w:r>
        <w:rPr>
          <w:rFonts w:ascii="Arial" w:hAnsi="Arial" w:cs="Arial"/>
        </w:rPr>
        <w:t>.</w:t>
      </w:r>
    </w:p>
    <w:p w14:paraId="2E1F3E26" w14:textId="77777777" w:rsidR="00203F32" w:rsidRPr="00203F32" w:rsidRDefault="00203F32" w:rsidP="00203F32">
      <w:pPr>
        <w:numPr>
          <w:ilvl w:val="0"/>
          <w:numId w:val="3"/>
        </w:numPr>
        <w:rPr>
          <w:rFonts w:ascii="Arial" w:hAnsi="Arial" w:cs="Arial"/>
        </w:rPr>
      </w:pPr>
      <w:r w:rsidRPr="00203F32">
        <w:rPr>
          <w:rFonts w:ascii="Arial" w:hAnsi="Arial" w:cs="Arial"/>
          <w:b/>
          <w:bCs/>
        </w:rPr>
        <w:t>Continuous Improvement:</w:t>
      </w:r>
      <w:r w:rsidRPr="00203F32">
        <w:rPr>
          <w:rFonts w:ascii="Arial" w:hAnsi="Arial" w:cs="Arial"/>
        </w:rPr>
        <w:t xml:space="preserve"> Regularly review ITSM processes, integrate feedback, and adopt DevOps practices like CI/CD for fast and reliable updates (Ahmad et al., 2018).</w:t>
      </w:r>
    </w:p>
    <w:p w14:paraId="7FA007F9" w14:textId="77777777" w:rsidR="00203F32" w:rsidRPr="00203F32" w:rsidRDefault="00203F32" w:rsidP="00203F32">
      <w:pPr>
        <w:rPr>
          <w:rFonts w:ascii="Arial" w:hAnsi="Arial" w:cs="Arial"/>
        </w:rPr>
      </w:pPr>
    </w:p>
    <w:p w14:paraId="395EE94C" w14:textId="77777777" w:rsidR="00203F32" w:rsidRPr="00203F32" w:rsidRDefault="00203F32" w:rsidP="00203F32">
      <w:pPr>
        <w:rPr>
          <w:rFonts w:ascii="Arial" w:hAnsi="Arial" w:cs="Arial"/>
          <w:b/>
          <w:bCs/>
        </w:rPr>
      </w:pPr>
      <w:r w:rsidRPr="00203F32">
        <w:rPr>
          <w:rFonts w:ascii="Arial" w:hAnsi="Arial" w:cs="Arial"/>
          <w:b/>
          <w:bCs/>
        </w:rPr>
        <w:t>Best Practices for Hybrid Cloud ITSM</w:t>
      </w:r>
    </w:p>
    <w:p w14:paraId="0928DC9C" w14:textId="77777777" w:rsidR="00203F32" w:rsidRPr="00203F32" w:rsidRDefault="00203F32" w:rsidP="00203F32">
      <w:pPr>
        <w:numPr>
          <w:ilvl w:val="0"/>
          <w:numId w:val="4"/>
        </w:numPr>
        <w:rPr>
          <w:rFonts w:ascii="Arial" w:hAnsi="Arial" w:cs="Arial"/>
        </w:rPr>
      </w:pPr>
      <w:r w:rsidRPr="00203F32">
        <w:rPr>
          <w:rFonts w:ascii="Arial" w:hAnsi="Arial" w:cs="Arial"/>
          <w:b/>
          <w:bCs/>
        </w:rPr>
        <w:t>Governance Frameworks:</w:t>
      </w:r>
      <w:r w:rsidRPr="00203F32">
        <w:rPr>
          <w:rFonts w:ascii="Arial" w:hAnsi="Arial" w:cs="Arial"/>
        </w:rPr>
        <w:t xml:space="preserve"> Define roles, policies, and compliance standards using frameworks like COBIT to ensure accountability (</w:t>
      </w:r>
      <w:proofErr w:type="spellStart"/>
      <w:r w:rsidRPr="00203F32">
        <w:rPr>
          <w:rFonts w:ascii="Arial" w:hAnsi="Arial" w:cs="Arial"/>
        </w:rPr>
        <w:t>Miloslavskaya</w:t>
      </w:r>
      <w:proofErr w:type="spellEnd"/>
      <w:r w:rsidRPr="00203F32">
        <w:rPr>
          <w:rFonts w:ascii="Arial" w:hAnsi="Arial" w:cs="Arial"/>
        </w:rPr>
        <w:t xml:space="preserve"> &amp; Tolstoy, 2020).</w:t>
      </w:r>
    </w:p>
    <w:p w14:paraId="7FA3F188" w14:textId="77777777" w:rsidR="00203F32" w:rsidRPr="00203F32" w:rsidRDefault="00203F32" w:rsidP="00203F32">
      <w:pPr>
        <w:numPr>
          <w:ilvl w:val="0"/>
          <w:numId w:val="4"/>
        </w:numPr>
        <w:rPr>
          <w:rFonts w:ascii="Arial" w:hAnsi="Arial" w:cs="Arial"/>
        </w:rPr>
      </w:pPr>
      <w:r w:rsidRPr="00203F32">
        <w:rPr>
          <w:rFonts w:ascii="Arial" w:hAnsi="Arial" w:cs="Arial"/>
          <w:b/>
          <w:bCs/>
        </w:rPr>
        <w:t>Security Measures:</w:t>
      </w:r>
      <w:r w:rsidRPr="00203F32">
        <w:rPr>
          <w:rFonts w:ascii="Arial" w:hAnsi="Arial" w:cs="Arial"/>
        </w:rPr>
        <w:t xml:space="preserve"> Use identity and access management (IAM) solutions and encryption to secure data and prevent breaches (Ahmad et al., 2018).</w:t>
      </w:r>
    </w:p>
    <w:p w14:paraId="4F75FCB2" w14:textId="77777777" w:rsidR="00203F32" w:rsidRPr="00203F32" w:rsidRDefault="00203F32" w:rsidP="00203F32">
      <w:pPr>
        <w:numPr>
          <w:ilvl w:val="0"/>
          <w:numId w:val="4"/>
        </w:numPr>
        <w:rPr>
          <w:rFonts w:ascii="Arial" w:hAnsi="Arial" w:cs="Arial"/>
        </w:rPr>
      </w:pPr>
      <w:r w:rsidRPr="00203F32">
        <w:rPr>
          <w:rFonts w:ascii="Arial" w:hAnsi="Arial" w:cs="Arial"/>
          <w:b/>
          <w:bCs/>
        </w:rPr>
        <w:t>Team Collaboration:</w:t>
      </w:r>
      <w:r w:rsidRPr="00203F32">
        <w:rPr>
          <w:rFonts w:ascii="Arial" w:hAnsi="Arial" w:cs="Arial"/>
        </w:rPr>
        <w:t xml:space="preserve"> Foster communication between IT, DevOps, and cloud teams through shared dashboards and tools (Weed-</w:t>
      </w:r>
      <w:proofErr w:type="spellStart"/>
      <w:r w:rsidRPr="00203F32">
        <w:rPr>
          <w:rFonts w:ascii="Arial" w:hAnsi="Arial" w:cs="Arial"/>
        </w:rPr>
        <w:t>Schertzer</w:t>
      </w:r>
      <w:proofErr w:type="spellEnd"/>
      <w:r w:rsidRPr="00203F32">
        <w:rPr>
          <w:rFonts w:ascii="Arial" w:hAnsi="Arial" w:cs="Arial"/>
        </w:rPr>
        <w:t>, 2019).</w:t>
      </w:r>
    </w:p>
    <w:p w14:paraId="7C6C101A" w14:textId="77777777" w:rsidR="00203F32" w:rsidRPr="00203F32" w:rsidRDefault="00203F32" w:rsidP="00203F32">
      <w:pPr>
        <w:numPr>
          <w:ilvl w:val="0"/>
          <w:numId w:val="4"/>
        </w:numPr>
        <w:rPr>
          <w:rFonts w:ascii="Arial" w:hAnsi="Arial" w:cs="Arial"/>
        </w:rPr>
      </w:pPr>
      <w:r w:rsidRPr="00203F32">
        <w:rPr>
          <w:rFonts w:ascii="Arial" w:hAnsi="Arial" w:cs="Arial"/>
          <w:b/>
          <w:bCs/>
        </w:rPr>
        <w:t>Training and Skill Development:</w:t>
      </w:r>
      <w:r w:rsidRPr="00203F32">
        <w:rPr>
          <w:rFonts w:ascii="Arial" w:hAnsi="Arial" w:cs="Arial"/>
        </w:rPr>
        <w:t xml:space="preserve"> Equip teams with skills in cloud-native tools and encourage certifications like AWS Solutions Architect or Azure Administrator (</w:t>
      </w:r>
      <w:proofErr w:type="spellStart"/>
      <w:r w:rsidRPr="00203F32">
        <w:rPr>
          <w:rFonts w:ascii="Arial" w:hAnsi="Arial" w:cs="Arial"/>
        </w:rPr>
        <w:t>Makhlouf</w:t>
      </w:r>
      <w:proofErr w:type="spellEnd"/>
      <w:r w:rsidRPr="00203F32">
        <w:rPr>
          <w:rFonts w:ascii="Arial" w:hAnsi="Arial" w:cs="Arial"/>
        </w:rPr>
        <w:t>, 2020).</w:t>
      </w:r>
    </w:p>
    <w:p w14:paraId="58B2B4AC" w14:textId="77777777" w:rsidR="00203F32" w:rsidRPr="00203F32" w:rsidRDefault="00203F32" w:rsidP="00203F32">
      <w:pPr>
        <w:rPr>
          <w:rFonts w:ascii="Arial" w:hAnsi="Arial" w:cs="Arial"/>
        </w:rPr>
      </w:pPr>
    </w:p>
    <w:p w14:paraId="5ACA14A8" w14:textId="77777777" w:rsidR="00203F32" w:rsidRPr="00203F32" w:rsidRDefault="00203F32" w:rsidP="00203F32">
      <w:pPr>
        <w:rPr>
          <w:rFonts w:ascii="Arial" w:hAnsi="Arial" w:cs="Arial"/>
          <w:b/>
          <w:bCs/>
        </w:rPr>
      </w:pPr>
      <w:r w:rsidRPr="00203F32">
        <w:rPr>
          <w:rFonts w:ascii="Arial" w:hAnsi="Arial" w:cs="Arial"/>
          <w:b/>
          <w:bCs/>
        </w:rPr>
        <w:t>Conclusion</w:t>
      </w:r>
    </w:p>
    <w:p w14:paraId="158759A2" w14:textId="77777777" w:rsidR="00203F32" w:rsidRPr="00203F32" w:rsidRDefault="00203F32" w:rsidP="00203F32">
      <w:pPr>
        <w:rPr>
          <w:rFonts w:ascii="Arial" w:hAnsi="Arial" w:cs="Arial"/>
        </w:rPr>
      </w:pPr>
      <w:r w:rsidRPr="00203F32">
        <w:rPr>
          <w:rFonts w:ascii="Arial" w:hAnsi="Arial" w:cs="Arial"/>
        </w:rPr>
        <w:t>By leveraging centralized management tools, adopting standardized ITSM processes, and implementing robust governance frameworks, Hitech can address integration challenges, maintain SLA compliance, and optimize performance. Automation, performance monitoring, and continuous training will ensure scalability, reliability, and operational efficiency in its hybrid cloud environment.</w:t>
      </w:r>
    </w:p>
    <w:p w14:paraId="04866536" w14:textId="77777777" w:rsidR="00203F32" w:rsidRPr="00203F32" w:rsidRDefault="00203F32" w:rsidP="00203F32">
      <w:pPr>
        <w:rPr>
          <w:rFonts w:ascii="Arial" w:hAnsi="Arial" w:cs="Arial"/>
        </w:rPr>
      </w:pPr>
    </w:p>
    <w:p w14:paraId="32E5756D" w14:textId="77777777" w:rsidR="00203F32" w:rsidRDefault="00203F32" w:rsidP="00203F32">
      <w:pPr>
        <w:rPr>
          <w:rFonts w:ascii="Arial" w:hAnsi="Arial" w:cs="Arial"/>
          <w:b/>
          <w:bCs/>
        </w:rPr>
      </w:pPr>
      <w:r w:rsidRPr="00203F32">
        <w:rPr>
          <w:rFonts w:ascii="Arial" w:hAnsi="Arial" w:cs="Arial"/>
          <w:b/>
          <w:bCs/>
        </w:rPr>
        <w:t>References</w:t>
      </w:r>
    </w:p>
    <w:p w14:paraId="10D2FC32" w14:textId="63E1455D" w:rsidR="00203F32" w:rsidRDefault="00203F32" w:rsidP="00203F32">
      <w:pPr>
        <w:rPr>
          <w:rFonts w:ascii="Arial" w:hAnsi="Arial" w:cs="Arial"/>
          <w:lang w:val="en-DE"/>
        </w:rPr>
      </w:pPr>
      <w:r w:rsidRPr="00203F32">
        <w:rPr>
          <w:rFonts w:ascii="Arial" w:hAnsi="Arial" w:cs="Arial"/>
          <w:lang w:val="en-DE"/>
        </w:rPr>
        <w:t>Ahmad, S., Hang, L., &amp; Kim, D. (2018) Design and implementation of Cloud-Centric Configuration repository for DIY IoT applications. </w:t>
      </w:r>
      <w:r w:rsidRPr="00203F32">
        <w:rPr>
          <w:rFonts w:ascii="Arial" w:hAnsi="Arial" w:cs="Arial"/>
          <w:i/>
          <w:iCs/>
          <w:lang w:val="en-DE"/>
        </w:rPr>
        <w:t>Sensors</w:t>
      </w:r>
      <w:r w:rsidRPr="00203F32">
        <w:rPr>
          <w:rFonts w:ascii="Arial" w:hAnsi="Arial" w:cs="Arial"/>
          <w:lang w:val="en-DE"/>
        </w:rPr>
        <w:t> </w:t>
      </w:r>
      <w:r w:rsidRPr="00203F32">
        <w:rPr>
          <w:rFonts w:ascii="Arial" w:hAnsi="Arial" w:cs="Arial"/>
          <w:i/>
          <w:iCs/>
          <w:lang w:val="en-DE"/>
        </w:rPr>
        <w:t>18</w:t>
      </w:r>
      <w:r w:rsidRPr="00203F32">
        <w:rPr>
          <w:rFonts w:ascii="Arial" w:hAnsi="Arial" w:cs="Arial"/>
          <w:lang w:val="en-DE"/>
        </w:rPr>
        <w:t>(2)</w:t>
      </w:r>
      <w:r>
        <w:rPr>
          <w:rFonts w:ascii="Arial" w:hAnsi="Arial" w:cs="Arial"/>
          <w:lang w:val="en-DE"/>
        </w:rPr>
        <w:t xml:space="preserve">: </w:t>
      </w:r>
      <w:r w:rsidRPr="00203F32">
        <w:rPr>
          <w:rFonts w:ascii="Arial" w:hAnsi="Arial" w:cs="Arial"/>
          <w:lang w:val="en-DE"/>
        </w:rPr>
        <w:t>474.</w:t>
      </w:r>
      <w:r>
        <w:rPr>
          <w:rFonts w:ascii="Arial" w:hAnsi="Arial" w:cs="Arial"/>
          <w:lang w:val="en-DE"/>
        </w:rPr>
        <w:t xml:space="preserve"> DOI: </w:t>
      </w:r>
      <w:r w:rsidRPr="00203F32">
        <w:rPr>
          <w:rFonts w:ascii="Arial" w:hAnsi="Arial" w:cs="Arial"/>
          <w:lang w:val="en-DE"/>
        </w:rPr>
        <w:t> </w:t>
      </w:r>
      <w:hyperlink r:id="rId5" w:history="1">
        <w:r w:rsidRPr="00203F32">
          <w:rPr>
            <w:rStyle w:val="Hyperlink"/>
            <w:rFonts w:ascii="Arial" w:hAnsi="Arial" w:cs="Arial"/>
            <w:lang w:val="en-DE"/>
          </w:rPr>
          <w:t>https://doi.org/10.3390/s18020474</w:t>
        </w:r>
      </w:hyperlink>
    </w:p>
    <w:p w14:paraId="1C5D9701" w14:textId="2C2CEE55" w:rsidR="00203F32" w:rsidRDefault="00203F32" w:rsidP="00203F32">
      <w:pPr>
        <w:rPr>
          <w:rFonts w:ascii="Arial" w:hAnsi="Arial" w:cs="Arial"/>
          <w:lang w:val="en-DE"/>
        </w:rPr>
      </w:pPr>
      <w:r w:rsidRPr="00203F32">
        <w:rPr>
          <w:rFonts w:ascii="Arial" w:hAnsi="Arial" w:cs="Arial"/>
          <w:lang w:val="en-DE"/>
        </w:rPr>
        <w:t>Agutter, C. (2021) </w:t>
      </w:r>
      <w:r w:rsidRPr="00203F32">
        <w:rPr>
          <w:rFonts w:ascii="Arial" w:hAnsi="Arial" w:cs="Arial"/>
          <w:i/>
          <w:iCs/>
          <w:lang w:val="en-DE"/>
        </w:rPr>
        <w:t>ITIL® 4 Direct, Plan and Improve (DPI)</w:t>
      </w:r>
      <w:r w:rsidRPr="00203F32">
        <w:rPr>
          <w:rFonts w:ascii="Arial" w:hAnsi="Arial" w:cs="Arial"/>
          <w:lang w:val="en-DE"/>
        </w:rPr>
        <w:t>. </w:t>
      </w:r>
      <w:r>
        <w:rPr>
          <w:rFonts w:ascii="Arial" w:hAnsi="Arial" w:cs="Arial"/>
          <w:lang w:val="en-DE"/>
        </w:rPr>
        <w:t xml:space="preserve">DOI: </w:t>
      </w:r>
      <w:hyperlink r:id="rId6" w:history="1">
        <w:r w:rsidRPr="00203F32">
          <w:rPr>
            <w:rStyle w:val="Hyperlink"/>
            <w:rFonts w:ascii="Arial" w:hAnsi="Arial" w:cs="Arial"/>
            <w:lang w:val="en-DE"/>
          </w:rPr>
          <w:t>https://doi.org/10.2307/j.ctv1fnkv02</w:t>
        </w:r>
      </w:hyperlink>
    </w:p>
    <w:p w14:paraId="4FE5691F" w14:textId="57CDF55D" w:rsidR="00203F32" w:rsidRDefault="00203F32" w:rsidP="00203F32">
      <w:pPr>
        <w:rPr>
          <w:rFonts w:ascii="Arial" w:hAnsi="Arial" w:cs="Arial"/>
          <w:lang w:val="en-DE"/>
        </w:rPr>
      </w:pPr>
      <w:r w:rsidRPr="00203F32">
        <w:rPr>
          <w:rFonts w:ascii="Arial" w:hAnsi="Arial" w:cs="Arial"/>
          <w:lang w:val="en-DE"/>
        </w:rPr>
        <w:t>Makhlouf, R. (2020)</w:t>
      </w:r>
      <w:r>
        <w:rPr>
          <w:rFonts w:ascii="Arial" w:hAnsi="Arial" w:cs="Arial"/>
          <w:lang w:val="en-DE"/>
        </w:rPr>
        <w:t xml:space="preserve"> </w:t>
      </w:r>
      <w:r w:rsidRPr="00203F32">
        <w:rPr>
          <w:rFonts w:ascii="Arial" w:hAnsi="Arial" w:cs="Arial"/>
          <w:lang w:val="en-DE"/>
        </w:rPr>
        <w:t>Cloudy transaction costs: a dive into cloud computing economics. </w:t>
      </w:r>
      <w:r w:rsidRPr="00203F32">
        <w:rPr>
          <w:rFonts w:ascii="Arial" w:hAnsi="Arial" w:cs="Arial"/>
          <w:i/>
          <w:iCs/>
          <w:lang w:val="en-DE"/>
        </w:rPr>
        <w:t>Journal of Cloud Computing Advances Systems and Applications</w:t>
      </w:r>
      <w:r>
        <w:rPr>
          <w:rFonts w:ascii="Arial" w:hAnsi="Arial" w:cs="Arial"/>
          <w:lang w:val="en-DE"/>
        </w:rPr>
        <w:t xml:space="preserve"> </w:t>
      </w:r>
      <w:r w:rsidRPr="00203F32">
        <w:rPr>
          <w:rFonts w:ascii="Arial" w:hAnsi="Arial" w:cs="Arial"/>
          <w:i/>
          <w:iCs/>
          <w:lang w:val="en-DE"/>
        </w:rPr>
        <w:t>9</w:t>
      </w:r>
      <w:r w:rsidRPr="00203F32">
        <w:rPr>
          <w:rFonts w:ascii="Arial" w:hAnsi="Arial" w:cs="Arial"/>
          <w:lang w:val="en-DE"/>
        </w:rPr>
        <w:t>(1).</w:t>
      </w:r>
      <w:r>
        <w:rPr>
          <w:rFonts w:ascii="Arial" w:hAnsi="Arial" w:cs="Arial"/>
          <w:lang w:val="en-DE"/>
        </w:rPr>
        <w:t xml:space="preserve"> DOI: </w:t>
      </w:r>
      <w:r w:rsidRPr="00203F32">
        <w:rPr>
          <w:rFonts w:ascii="Arial" w:hAnsi="Arial" w:cs="Arial"/>
          <w:lang w:val="en-DE"/>
        </w:rPr>
        <w:t> </w:t>
      </w:r>
      <w:hyperlink r:id="rId7" w:history="1">
        <w:r w:rsidRPr="00203F32">
          <w:rPr>
            <w:rStyle w:val="Hyperlink"/>
            <w:rFonts w:ascii="Arial" w:hAnsi="Arial" w:cs="Arial"/>
            <w:lang w:val="en-DE"/>
          </w:rPr>
          <w:t>https://doi.org/10.1186/s13677-019-0149-4</w:t>
        </w:r>
      </w:hyperlink>
    </w:p>
    <w:p w14:paraId="1972AC12" w14:textId="67F84D89" w:rsidR="00203F32" w:rsidRPr="00203F32" w:rsidRDefault="00203F32" w:rsidP="00203F32">
      <w:pPr>
        <w:rPr>
          <w:rFonts w:ascii="Arial" w:hAnsi="Arial" w:cs="Arial"/>
          <w:lang w:val="en-DE"/>
        </w:rPr>
      </w:pPr>
      <w:r w:rsidRPr="00203F32">
        <w:rPr>
          <w:rFonts w:ascii="Arial" w:hAnsi="Arial" w:cs="Arial"/>
          <w:lang w:val="en-DE"/>
        </w:rPr>
        <w:t>Miloslavskaya, N., &amp; Tolstoy, A. (2020) IoTBlockSIEM for information security incident management in the internet of things ecosystem. </w:t>
      </w:r>
      <w:r w:rsidRPr="00203F32">
        <w:rPr>
          <w:rFonts w:ascii="Arial" w:hAnsi="Arial" w:cs="Arial"/>
          <w:i/>
          <w:iCs/>
          <w:lang w:val="en-DE"/>
        </w:rPr>
        <w:t>Cluster Computing</w:t>
      </w:r>
      <w:r w:rsidRPr="00203F32">
        <w:rPr>
          <w:rFonts w:ascii="Arial" w:hAnsi="Arial" w:cs="Arial"/>
          <w:lang w:val="en-DE"/>
        </w:rPr>
        <w:t> </w:t>
      </w:r>
      <w:r w:rsidRPr="00203F32">
        <w:rPr>
          <w:rFonts w:ascii="Arial" w:hAnsi="Arial" w:cs="Arial"/>
          <w:i/>
          <w:iCs/>
          <w:lang w:val="en-DE"/>
        </w:rPr>
        <w:t>23</w:t>
      </w:r>
      <w:r w:rsidRPr="00203F32">
        <w:rPr>
          <w:rFonts w:ascii="Arial" w:hAnsi="Arial" w:cs="Arial"/>
          <w:lang w:val="en-DE"/>
        </w:rPr>
        <w:t>(3)</w:t>
      </w:r>
      <w:r>
        <w:rPr>
          <w:rFonts w:ascii="Arial" w:hAnsi="Arial" w:cs="Arial"/>
          <w:lang w:val="en-DE"/>
        </w:rPr>
        <w:t>:</w:t>
      </w:r>
      <w:r w:rsidRPr="00203F32">
        <w:rPr>
          <w:rFonts w:ascii="Arial" w:hAnsi="Arial" w:cs="Arial"/>
          <w:lang w:val="en-DE"/>
        </w:rPr>
        <w:t xml:space="preserve"> 1911–1925.</w:t>
      </w:r>
      <w:r>
        <w:rPr>
          <w:rFonts w:ascii="Arial" w:hAnsi="Arial" w:cs="Arial"/>
          <w:lang w:val="en-DE"/>
        </w:rPr>
        <w:t xml:space="preserve"> DOI:</w:t>
      </w:r>
      <w:r w:rsidRPr="00203F32">
        <w:rPr>
          <w:rFonts w:ascii="Arial" w:hAnsi="Arial" w:cs="Arial"/>
          <w:lang w:val="en-DE"/>
        </w:rPr>
        <w:t> https://doi.org/10.1007/s10586-020-03110-5</w:t>
      </w:r>
    </w:p>
    <w:p w14:paraId="00223BBE" w14:textId="27EA2244" w:rsidR="00203F32" w:rsidRDefault="00203F32" w:rsidP="00203F32">
      <w:pPr>
        <w:rPr>
          <w:rFonts w:ascii="Arial" w:hAnsi="Arial" w:cs="Arial"/>
          <w:lang w:val="en-DE"/>
        </w:rPr>
      </w:pPr>
      <w:r w:rsidRPr="00203F32">
        <w:rPr>
          <w:rFonts w:ascii="Arial" w:hAnsi="Arial" w:cs="Arial"/>
          <w:lang w:val="en-DE"/>
        </w:rPr>
        <w:t>Rountree, D., &amp; Castrillo, I. (2013) </w:t>
      </w:r>
      <w:r w:rsidRPr="00203F32">
        <w:rPr>
          <w:rFonts w:ascii="Arial" w:hAnsi="Arial" w:cs="Arial"/>
          <w:i/>
          <w:iCs/>
          <w:lang w:val="en-DE"/>
        </w:rPr>
        <w:t>The basics of cloud computing: Understanding the Fundamentals of Cloud Computing in Theory and Practice</w:t>
      </w:r>
      <w:r w:rsidRPr="00203F32">
        <w:rPr>
          <w:rFonts w:ascii="Arial" w:hAnsi="Arial" w:cs="Arial"/>
          <w:lang w:val="en-DE"/>
        </w:rPr>
        <w:t>. Newnes.</w:t>
      </w:r>
    </w:p>
    <w:p w14:paraId="139E355F" w14:textId="5AE5C0AF" w:rsidR="00203F32" w:rsidRPr="00203F32" w:rsidRDefault="00203F32" w:rsidP="00203F32">
      <w:pPr>
        <w:rPr>
          <w:rFonts w:ascii="Arial" w:hAnsi="Arial" w:cs="Arial"/>
          <w:lang w:val="en-DE"/>
        </w:rPr>
      </w:pPr>
      <w:r w:rsidRPr="00203F32">
        <w:rPr>
          <w:rFonts w:ascii="Arial" w:hAnsi="Arial" w:cs="Arial"/>
          <w:lang w:val="en-DE"/>
        </w:rPr>
        <w:t>Weed-Schertzer, B. (2019) </w:t>
      </w:r>
      <w:r w:rsidRPr="00203F32">
        <w:rPr>
          <w:rFonts w:ascii="Arial" w:hAnsi="Arial" w:cs="Arial"/>
          <w:i/>
          <w:iCs/>
          <w:lang w:val="en-DE"/>
        </w:rPr>
        <w:t>Delivering ITSM for Business Maturity: A Practical Framework</w:t>
      </w:r>
      <w:r w:rsidRPr="00203F32">
        <w:rPr>
          <w:rFonts w:ascii="Arial" w:hAnsi="Arial" w:cs="Arial"/>
          <w:lang w:val="en-DE"/>
        </w:rPr>
        <w:t>. </w:t>
      </w:r>
      <w:r>
        <w:rPr>
          <w:rFonts w:ascii="Arial" w:hAnsi="Arial" w:cs="Arial"/>
          <w:lang w:val="en-DE"/>
        </w:rPr>
        <w:t xml:space="preserve">DOI: </w:t>
      </w:r>
      <w:r w:rsidRPr="00203F32">
        <w:rPr>
          <w:rFonts w:ascii="Arial" w:hAnsi="Arial" w:cs="Arial"/>
          <w:lang w:val="en-DE"/>
        </w:rPr>
        <w:t>https://doi.org/10.1108/9781789732511</w:t>
      </w:r>
    </w:p>
    <w:p w14:paraId="3A5A5265" w14:textId="778E5C95" w:rsidR="000A48C3" w:rsidRPr="00203F32" w:rsidRDefault="000A48C3">
      <w:pPr>
        <w:rPr>
          <w:rFonts w:ascii="Arial" w:hAnsi="Arial" w:cs="Arial"/>
        </w:rPr>
      </w:pPr>
    </w:p>
    <w:sectPr w:rsidR="000A48C3" w:rsidRPr="00203F32" w:rsidSect="00203F3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77875173">
    <w:abstractNumId w:val="0"/>
  </w:num>
  <w:num w:numId="2" w16cid:durableId="98306562">
    <w:abstractNumId w:val="1"/>
  </w:num>
  <w:num w:numId="3" w16cid:durableId="500245455">
    <w:abstractNumId w:val="2"/>
  </w:num>
  <w:num w:numId="4" w16cid:durableId="1669597270">
    <w:abstractNumId w:val="3"/>
  </w:num>
  <w:num w:numId="5" w16cid:durableId="69424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8C3"/>
    <w:rsid w:val="000A48C3"/>
    <w:rsid w:val="00203F32"/>
    <w:rsid w:val="0047188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86CE856"/>
  <w15:chartTrackingRefBased/>
  <w15:docId w15:val="{20E11A0B-42D7-D942-BF2C-58ED370F1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A4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4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4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4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8C3"/>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0A48C3"/>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0A48C3"/>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0A48C3"/>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0A48C3"/>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0A48C3"/>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0A48C3"/>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0A48C3"/>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0A48C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0A4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8C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0A4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8C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0A48C3"/>
    <w:pPr>
      <w:spacing w:before="160"/>
      <w:jc w:val="center"/>
    </w:pPr>
    <w:rPr>
      <w:i/>
      <w:iCs/>
      <w:color w:val="404040" w:themeColor="text1" w:themeTint="BF"/>
    </w:rPr>
  </w:style>
  <w:style w:type="character" w:customStyle="1" w:styleId="QuoteChar">
    <w:name w:val="Quote Char"/>
    <w:basedOn w:val="DefaultParagraphFont"/>
    <w:link w:val="Quote"/>
    <w:uiPriority w:val="29"/>
    <w:rsid w:val="000A48C3"/>
    <w:rPr>
      <w:i/>
      <w:iCs/>
      <w:color w:val="404040" w:themeColor="text1" w:themeTint="BF"/>
      <w:lang w:val="en-GB"/>
    </w:rPr>
  </w:style>
  <w:style w:type="paragraph" w:styleId="ListParagraph">
    <w:name w:val="List Paragraph"/>
    <w:basedOn w:val="Normal"/>
    <w:uiPriority w:val="34"/>
    <w:qFormat/>
    <w:rsid w:val="000A48C3"/>
    <w:pPr>
      <w:ind w:left="720"/>
      <w:contextualSpacing/>
    </w:pPr>
  </w:style>
  <w:style w:type="character" w:styleId="IntenseEmphasis">
    <w:name w:val="Intense Emphasis"/>
    <w:basedOn w:val="DefaultParagraphFont"/>
    <w:uiPriority w:val="21"/>
    <w:qFormat/>
    <w:rsid w:val="000A48C3"/>
    <w:rPr>
      <w:i/>
      <w:iCs/>
      <w:color w:val="0F4761" w:themeColor="accent1" w:themeShade="BF"/>
    </w:rPr>
  </w:style>
  <w:style w:type="paragraph" w:styleId="IntenseQuote">
    <w:name w:val="Intense Quote"/>
    <w:basedOn w:val="Normal"/>
    <w:next w:val="Normal"/>
    <w:link w:val="IntenseQuoteChar"/>
    <w:uiPriority w:val="30"/>
    <w:qFormat/>
    <w:rsid w:val="000A4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8C3"/>
    <w:rPr>
      <w:i/>
      <w:iCs/>
      <w:color w:val="0F4761" w:themeColor="accent1" w:themeShade="BF"/>
      <w:lang w:val="en-GB"/>
    </w:rPr>
  </w:style>
  <w:style w:type="character" w:styleId="IntenseReference">
    <w:name w:val="Intense Reference"/>
    <w:basedOn w:val="DefaultParagraphFont"/>
    <w:uiPriority w:val="32"/>
    <w:qFormat/>
    <w:rsid w:val="000A48C3"/>
    <w:rPr>
      <w:b/>
      <w:bCs/>
      <w:smallCaps/>
      <w:color w:val="0F4761" w:themeColor="accent1" w:themeShade="BF"/>
      <w:spacing w:val="5"/>
    </w:rPr>
  </w:style>
  <w:style w:type="character" w:styleId="Hyperlink">
    <w:name w:val="Hyperlink"/>
    <w:basedOn w:val="DefaultParagraphFont"/>
    <w:uiPriority w:val="99"/>
    <w:unhideWhenUsed/>
    <w:rsid w:val="00203F32"/>
    <w:rPr>
      <w:color w:val="467886" w:themeColor="hyperlink"/>
      <w:u w:val="single"/>
    </w:rPr>
  </w:style>
  <w:style w:type="character" w:styleId="UnresolvedMention">
    <w:name w:val="Unresolved Mention"/>
    <w:basedOn w:val="DefaultParagraphFont"/>
    <w:uiPriority w:val="99"/>
    <w:semiHidden/>
    <w:unhideWhenUsed/>
    <w:rsid w:val="00203F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8525">
      <w:bodyDiv w:val="1"/>
      <w:marLeft w:val="0"/>
      <w:marRight w:val="0"/>
      <w:marTop w:val="0"/>
      <w:marBottom w:val="0"/>
      <w:divBdr>
        <w:top w:val="none" w:sz="0" w:space="0" w:color="auto"/>
        <w:left w:val="none" w:sz="0" w:space="0" w:color="auto"/>
        <w:bottom w:val="none" w:sz="0" w:space="0" w:color="auto"/>
        <w:right w:val="none" w:sz="0" w:space="0" w:color="auto"/>
      </w:divBdr>
      <w:divsChild>
        <w:div w:id="785658827">
          <w:marLeft w:val="-720"/>
          <w:marRight w:val="0"/>
          <w:marTop w:val="0"/>
          <w:marBottom w:val="0"/>
          <w:divBdr>
            <w:top w:val="none" w:sz="0" w:space="0" w:color="auto"/>
            <w:left w:val="none" w:sz="0" w:space="0" w:color="auto"/>
            <w:bottom w:val="none" w:sz="0" w:space="0" w:color="auto"/>
            <w:right w:val="none" w:sz="0" w:space="0" w:color="auto"/>
          </w:divBdr>
        </w:div>
      </w:divsChild>
    </w:div>
    <w:div w:id="113601195">
      <w:bodyDiv w:val="1"/>
      <w:marLeft w:val="0"/>
      <w:marRight w:val="0"/>
      <w:marTop w:val="0"/>
      <w:marBottom w:val="0"/>
      <w:divBdr>
        <w:top w:val="none" w:sz="0" w:space="0" w:color="auto"/>
        <w:left w:val="none" w:sz="0" w:space="0" w:color="auto"/>
        <w:bottom w:val="none" w:sz="0" w:space="0" w:color="auto"/>
        <w:right w:val="none" w:sz="0" w:space="0" w:color="auto"/>
      </w:divBdr>
      <w:divsChild>
        <w:div w:id="286663869">
          <w:marLeft w:val="-720"/>
          <w:marRight w:val="0"/>
          <w:marTop w:val="0"/>
          <w:marBottom w:val="0"/>
          <w:divBdr>
            <w:top w:val="none" w:sz="0" w:space="0" w:color="auto"/>
            <w:left w:val="none" w:sz="0" w:space="0" w:color="auto"/>
            <w:bottom w:val="none" w:sz="0" w:space="0" w:color="auto"/>
            <w:right w:val="none" w:sz="0" w:space="0" w:color="auto"/>
          </w:divBdr>
        </w:div>
      </w:divsChild>
    </w:div>
    <w:div w:id="287593466">
      <w:bodyDiv w:val="1"/>
      <w:marLeft w:val="0"/>
      <w:marRight w:val="0"/>
      <w:marTop w:val="0"/>
      <w:marBottom w:val="0"/>
      <w:divBdr>
        <w:top w:val="none" w:sz="0" w:space="0" w:color="auto"/>
        <w:left w:val="none" w:sz="0" w:space="0" w:color="auto"/>
        <w:bottom w:val="none" w:sz="0" w:space="0" w:color="auto"/>
        <w:right w:val="none" w:sz="0" w:space="0" w:color="auto"/>
      </w:divBdr>
      <w:divsChild>
        <w:div w:id="116800166">
          <w:marLeft w:val="-720"/>
          <w:marRight w:val="0"/>
          <w:marTop w:val="0"/>
          <w:marBottom w:val="0"/>
          <w:divBdr>
            <w:top w:val="none" w:sz="0" w:space="0" w:color="auto"/>
            <w:left w:val="none" w:sz="0" w:space="0" w:color="auto"/>
            <w:bottom w:val="none" w:sz="0" w:space="0" w:color="auto"/>
            <w:right w:val="none" w:sz="0" w:space="0" w:color="auto"/>
          </w:divBdr>
        </w:div>
      </w:divsChild>
    </w:div>
    <w:div w:id="530724641">
      <w:bodyDiv w:val="1"/>
      <w:marLeft w:val="0"/>
      <w:marRight w:val="0"/>
      <w:marTop w:val="0"/>
      <w:marBottom w:val="0"/>
      <w:divBdr>
        <w:top w:val="none" w:sz="0" w:space="0" w:color="auto"/>
        <w:left w:val="none" w:sz="0" w:space="0" w:color="auto"/>
        <w:bottom w:val="none" w:sz="0" w:space="0" w:color="auto"/>
        <w:right w:val="none" w:sz="0" w:space="0" w:color="auto"/>
      </w:divBdr>
      <w:divsChild>
        <w:div w:id="1484661063">
          <w:marLeft w:val="-720"/>
          <w:marRight w:val="0"/>
          <w:marTop w:val="0"/>
          <w:marBottom w:val="0"/>
          <w:divBdr>
            <w:top w:val="none" w:sz="0" w:space="0" w:color="auto"/>
            <w:left w:val="none" w:sz="0" w:space="0" w:color="auto"/>
            <w:bottom w:val="none" w:sz="0" w:space="0" w:color="auto"/>
            <w:right w:val="none" w:sz="0" w:space="0" w:color="auto"/>
          </w:divBdr>
        </w:div>
      </w:divsChild>
    </w:div>
    <w:div w:id="862861722">
      <w:bodyDiv w:val="1"/>
      <w:marLeft w:val="0"/>
      <w:marRight w:val="0"/>
      <w:marTop w:val="0"/>
      <w:marBottom w:val="0"/>
      <w:divBdr>
        <w:top w:val="none" w:sz="0" w:space="0" w:color="auto"/>
        <w:left w:val="none" w:sz="0" w:space="0" w:color="auto"/>
        <w:bottom w:val="none" w:sz="0" w:space="0" w:color="auto"/>
        <w:right w:val="none" w:sz="0" w:space="0" w:color="auto"/>
      </w:divBdr>
      <w:divsChild>
        <w:div w:id="1893614605">
          <w:marLeft w:val="-720"/>
          <w:marRight w:val="0"/>
          <w:marTop w:val="0"/>
          <w:marBottom w:val="0"/>
          <w:divBdr>
            <w:top w:val="none" w:sz="0" w:space="0" w:color="auto"/>
            <w:left w:val="none" w:sz="0" w:space="0" w:color="auto"/>
            <w:bottom w:val="none" w:sz="0" w:space="0" w:color="auto"/>
            <w:right w:val="none" w:sz="0" w:space="0" w:color="auto"/>
          </w:divBdr>
        </w:div>
      </w:divsChild>
    </w:div>
    <w:div w:id="953249042">
      <w:bodyDiv w:val="1"/>
      <w:marLeft w:val="0"/>
      <w:marRight w:val="0"/>
      <w:marTop w:val="0"/>
      <w:marBottom w:val="0"/>
      <w:divBdr>
        <w:top w:val="none" w:sz="0" w:space="0" w:color="auto"/>
        <w:left w:val="none" w:sz="0" w:space="0" w:color="auto"/>
        <w:bottom w:val="none" w:sz="0" w:space="0" w:color="auto"/>
        <w:right w:val="none" w:sz="0" w:space="0" w:color="auto"/>
      </w:divBdr>
      <w:divsChild>
        <w:div w:id="1857424536">
          <w:marLeft w:val="-720"/>
          <w:marRight w:val="0"/>
          <w:marTop w:val="0"/>
          <w:marBottom w:val="0"/>
          <w:divBdr>
            <w:top w:val="none" w:sz="0" w:space="0" w:color="auto"/>
            <w:left w:val="none" w:sz="0" w:space="0" w:color="auto"/>
            <w:bottom w:val="none" w:sz="0" w:space="0" w:color="auto"/>
            <w:right w:val="none" w:sz="0" w:space="0" w:color="auto"/>
          </w:divBdr>
        </w:div>
      </w:divsChild>
    </w:div>
    <w:div w:id="969285178">
      <w:bodyDiv w:val="1"/>
      <w:marLeft w:val="0"/>
      <w:marRight w:val="0"/>
      <w:marTop w:val="0"/>
      <w:marBottom w:val="0"/>
      <w:divBdr>
        <w:top w:val="none" w:sz="0" w:space="0" w:color="auto"/>
        <w:left w:val="none" w:sz="0" w:space="0" w:color="auto"/>
        <w:bottom w:val="none" w:sz="0" w:space="0" w:color="auto"/>
        <w:right w:val="none" w:sz="0" w:space="0" w:color="auto"/>
      </w:divBdr>
      <w:divsChild>
        <w:div w:id="392049916">
          <w:marLeft w:val="-720"/>
          <w:marRight w:val="0"/>
          <w:marTop w:val="0"/>
          <w:marBottom w:val="0"/>
          <w:divBdr>
            <w:top w:val="none" w:sz="0" w:space="0" w:color="auto"/>
            <w:left w:val="none" w:sz="0" w:space="0" w:color="auto"/>
            <w:bottom w:val="none" w:sz="0" w:space="0" w:color="auto"/>
            <w:right w:val="none" w:sz="0" w:space="0" w:color="auto"/>
          </w:divBdr>
        </w:div>
      </w:divsChild>
    </w:div>
    <w:div w:id="1497915440">
      <w:bodyDiv w:val="1"/>
      <w:marLeft w:val="0"/>
      <w:marRight w:val="0"/>
      <w:marTop w:val="0"/>
      <w:marBottom w:val="0"/>
      <w:divBdr>
        <w:top w:val="none" w:sz="0" w:space="0" w:color="auto"/>
        <w:left w:val="none" w:sz="0" w:space="0" w:color="auto"/>
        <w:bottom w:val="none" w:sz="0" w:space="0" w:color="auto"/>
        <w:right w:val="none" w:sz="0" w:space="0" w:color="auto"/>
      </w:divBdr>
      <w:divsChild>
        <w:div w:id="2008899216">
          <w:marLeft w:val="-720"/>
          <w:marRight w:val="0"/>
          <w:marTop w:val="0"/>
          <w:marBottom w:val="0"/>
          <w:divBdr>
            <w:top w:val="none" w:sz="0" w:space="0" w:color="auto"/>
            <w:left w:val="none" w:sz="0" w:space="0" w:color="auto"/>
            <w:bottom w:val="none" w:sz="0" w:space="0" w:color="auto"/>
            <w:right w:val="none" w:sz="0" w:space="0" w:color="auto"/>
          </w:divBdr>
        </w:div>
      </w:divsChild>
    </w:div>
    <w:div w:id="1516335749">
      <w:bodyDiv w:val="1"/>
      <w:marLeft w:val="0"/>
      <w:marRight w:val="0"/>
      <w:marTop w:val="0"/>
      <w:marBottom w:val="0"/>
      <w:divBdr>
        <w:top w:val="none" w:sz="0" w:space="0" w:color="auto"/>
        <w:left w:val="none" w:sz="0" w:space="0" w:color="auto"/>
        <w:bottom w:val="none" w:sz="0" w:space="0" w:color="auto"/>
        <w:right w:val="none" w:sz="0" w:space="0" w:color="auto"/>
      </w:divBdr>
      <w:divsChild>
        <w:div w:id="1978148932">
          <w:marLeft w:val="-720"/>
          <w:marRight w:val="0"/>
          <w:marTop w:val="0"/>
          <w:marBottom w:val="0"/>
          <w:divBdr>
            <w:top w:val="none" w:sz="0" w:space="0" w:color="auto"/>
            <w:left w:val="none" w:sz="0" w:space="0" w:color="auto"/>
            <w:bottom w:val="none" w:sz="0" w:space="0" w:color="auto"/>
            <w:right w:val="none" w:sz="0" w:space="0" w:color="auto"/>
          </w:divBdr>
        </w:div>
      </w:divsChild>
    </w:div>
    <w:div w:id="1561480566">
      <w:bodyDiv w:val="1"/>
      <w:marLeft w:val="0"/>
      <w:marRight w:val="0"/>
      <w:marTop w:val="0"/>
      <w:marBottom w:val="0"/>
      <w:divBdr>
        <w:top w:val="none" w:sz="0" w:space="0" w:color="auto"/>
        <w:left w:val="none" w:sz="0" w:space="0" w:color="auto"/>
        <w:bottom w:val="none" w:sz="0" w:space="0" w:color="auto"/>
        <w:right w:val="none" w:sz="0" w:space="0" w:color="auto"/>
      </w:divBdr>
      <w:divsChild>
        <w:div w:id="607275145">
          <w:marLeft w:val="-720"/>
          <w:marRight w:val="0"/>
          <w:marTop w:val="0"/>
          <w:marBottom w:val="0"/>
          <w:divBdr>
            <w:top w:val="none" w:sz="0" w:space="0" w:color="auto"/>
            <w:left w:val="none" w:sz="0" w:space="0" w:color="auto"/>
            <w:bottom w:val="none" w:sz="0" w:space="0" w:color="auto"/>
            <w:right w:val="none" w:sz="0" w:space="0" w:color="auto"/>
          </w:divBdr>
        </w:div>
      </w:divsChild>
    </w:div>
    <w:div w:id="1615749815">
      <w:bodyDiv w:val="1"/>
      <w:marLeft w:val="0"/>
      <w:marRight w:val="0"/>
      <w:marTop w:val="0"/>
      <w:marBottom w:val="0"/>
      <w:divBdr>
        <w:top w:val="none" w:sz="0" w:space="0" w:color="auto"/>
        <w:left w:val="none" w:sz="0" w:space="0" w:color="auto"/>
        <w:bottom w:val="none" w:sz="0" w:space="0" w:color="auto"/>
        <w:right w:val="none" w:sz="0" w:space="0" w:color="auto"/>
      </w:divBdr>
      <w:divsChild>
        <w:div w:id="942611267">
          <w:marLeft w:val="-720"/>
          <w:marRight w:val="0"/>
          <w:marTop w:val="0"/>
          <w:marBottom w:val="0"/>
          <w:divBdr>
            <w:top w:val="none" w:sz="0" w:space="0" w:color="auto"/>
            <w:left w:val="none" w:sz="0" w:space="0" w:color="auto"/>
            <w:bottom w:val="none" w:sz="0" w:space="0" w:color="auto"/>
            <w:right w:val="none" w:sz="0" w:space="0" w:color="auto"/>
          </w:divBdr>
        </w:div>
      </w:divsChild>
    </w:div>
    <w:div w:id="1750081860">
      <w:bodyDiv w:val="1"/>
      <w:marLeft w:val="0"/>
      <w:marRight w:val="0"/>
      <w:marTop w:val="0"/>
      <w:marBottom w:val="0"/>
      <w:divBdr>
        <w:top w:val="none" w:sz="0" w:space="0" w:color="auto"/>
        <w:left w:val="none" w:sz="0" w:space="0" w:color="auto"/>
        <w:bottom w:val="none" w:sz="0" w:space="0" w:color="auto"/>
        <w:right w:val="none" w:sz="0" w:space="0" w:color="auto"/>
      </w:divBdr>
      <w:divsChild>
        <w:div w:id="24164065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86/s13677-019-014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307/j.ctv1fnkv02" TargetMode="External"/><Relationship Id="rId5" Type="http://schemas.openxmlformats.org/officeDocument/2006/relationships/hyperlink" Target="https://doi.org/10.3390/s1802047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707</Words>
  <Characters>4032</Characters>
  <Application>Microsoft Office Word</Application>
  <DocSecurity>0</DocSecurity>
  <Lines>33</Lines>
  <Paragraphs>9</Paragraphs>
  <ScaleCrop>false</ScaleCrop>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Bösche</dc:creator>
  <cp:keywords/>
  <dc:description/>
  <cp:lastModifiedBy>Philipp Bösche</cp:lastModifiedBy>
  <cp:revision>2</cp:revision>
  <dcterms:created xsi:type="dcterms:W3CDTF">2024-11-17T10:38:00Z</dcterms:created>
  <dcterms:modified xsi:type="dcterms:W3CDTF">2024-11-17T10:50:00Z</dcterms:modified>
</cp:coreProperties>
</file>