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3385B" w14:textId="673A18DB" w:rsidR="000B4998" w:rsidRPr="006A3113" w:rsidRDefault="004A697E" w:rsidP="004A697E">
      <w:pPr>
        <w:jc w:val="center"/>
        <w:rPr>
          <w:rFonts w:ascii="Arial" w:hAnsi="Arial" w:cs="Arial"/>
          <w:sz w:val="28"/>
          <w:szCs w:val="28"/>
          <w:u w:val="single"/>
        </w:rPr>
      </w:pPr>
      <w:r w:rsidRPr="006A3113">
        <w:rPr>
          <w:rFonts w:ascii="Arial" w:hAnsi="Arial" w:cs="Arial"/>
          <w:sz w:val="28"/>
          <w:szCs w:val="28"/>
          <w:u w:val="single"/>
        </w:rPr>
        <w:t>E</w:t>
      </w:r>
      <w:r w:rsidRPr="006A3113">
        <w:rPr>
          <w:rFonts w:ascii="Arial" w:hAnsi="Arial" w:cs="Arial"/>
          <w:sz w:val="28"/>
          <w:szCs w:val="28"/>
          <w:u w:val="single"/>
        </w:rPr>
        <w:t>-Portfolio Activity – GDPR Case Studies</w:t>
      </w:r>
    </w:p>
    <w:p w14:paraId="354C60DB" w14:textId="77777777" w:rsidR="004A697E" w:rsidRPr="006A3113" w:rsidRDefault="004A697E" w:rsidP="004A697E">
      <w:pPr>
        <w:jc w:val="center"/>
        <w:rPr>
          <w:rFonts w:ascii="Arial" w:hAnsi="Arial" w:cs="Arial"/>
          <w:sz w:val="28"/>
          <w:szCs w:val="28"/>
          <w:u w:val="single"/>
        </w:rPr>
      </w:pPr>
    </w:p>
    <w:p w14:paraId="1F357A82" w14:textId="77777777" w:rsidR="004A697E" w:rsidRPr="006A3113" w:rsidRDefault="004A697E">
      <w:pPr>
        <w:rPr>
          <w:rFonts w:ascii="Arial" w:hAnsi="Arial" w:cs="Arial"/>
          <w:i/>
          <w:iCs/>
          <w:sz w:val="22"/>
          <w:szCs w:val="22"/>
        </w:rPr>
      </w:pPr>
    </w:p>
    <w:p w14:paraId="7E1AAB04" w14:textId="77777777" w:rsidR="004A697E" w:rsidRPr="004A697E" w:rsidRDefault="004A697E" w:rsidP="004A697E">
      <w:pPr>
        <w:rPr>
          <w:rFonts w:ascii="Arial" w:hAnsi="Arial" w:cs="Arial"/>
          <w:i/>
          <w:iCs/>
          <w:sz w:val="22"/>
          <w:szCs w:val="22"/>
        </w:rPr>
      </w:pPr>
      <w:r w:rsidRPr="004A697E">
        <w:rPr>
          <w:rFonts w:ascii="Arial" w:hAnsi="Arial" w:cs="Arial"/>
          <w:i/>
          <w:iCs/>
          <w:sz w:val="22"/>
          <w:szCs w:val="22"/>
        </w:rPr>
        <w:t>There are several case studies from 2014 – 2018 concerning GDPR related issues and breaches. Chose a case study (should be unique to each student) and answer the following questions:</w:t>
      </w:r>
    </w:p>
    <w:p w14:paraId="601FBA14" w14:textId="77777777" w:rsidR="004A697E" w:rsidRPr="004A697E" w:rsidRDefault="004A697E" w:rsidP="004A697E">
      <w:pPr>
        <w:numPr>
          <w:ilvl w:val="0"/>
          <w:numId w:val="1"/>
        </w:numPr>
        <w:rPr>
          <w:rFonts w:ascii="Arial" w:hAnsi="Arial" w:cs="Arial"/>
          <w:i/>
          <w:iCs/>
          <w:sz w:val="22"/>
          <w:szCs w:val="22"/>
        </w:rPr>
      </w:pPr>
      <w:r w:rsidRPr="004A697E">
        <w:rPr>
          <w:rFonts w:ascii="Arial" w:hAnsi="Arial" w:cs="Arial"/>
          <w:i/>
          <w:iCs/>
          <w:sz w:val="22"/>
          <w:szCs w:val="22"/>
        </w:rPr>
        <w:t>What is the specific aspect of GDPR that your case study addresses?</w:t>
      </w:r>
    </w:p>
    <w:p w14:paraId="3C32743F" w14:textId="77777777" w:rsidR="004A697E" w:rsidRPr="004A697E" w:rsidRDefault="004A697E" w:rsidP="004A697E">
      <w:pPr>
        <w:numPr>
          <w:ilvl w:val="0"/>
          <w:numId w:val="1"/>
        </w:numPr>
        <w:rPr>
          <w:rFonts w:ascii="Arial" w:hAnsi="Arial" w:cs="Arial"/>
          <w:i/>
          <w:iCs/>
          <w:sz w:val="22"/>
          <w:szCs w:val="22"/>
        </w:rPr>
      </w:pPr>
      <w:r w:rsidRPr="004A697E">
        <w:rPr>
          <w:rFonts w:ascii="Arial" w:hAnsi="Arial" w:cs="Arial"/>
          <w:i/>
          <w:iCs/>
          <w:sz w:val="22"/>
          <w:szCs w:val="22"/>
        </w:rPr>
        <w:t>How was it resolved?</w:t>
      </w:r>
    </w:p>
    <w:p w14:paraId="76A26CB3" w14:textId="77777777" w:rsidR="004A697E" w:rsidRPr="004A697E" w:rsidRDefault="004A697E" w:rsidP="004A697E">
      <w:pPr>
        <w:numPr>
          <w:ilvl w:val="0"/>
          <w:numId w:val="1"/>
        </w:numPr>
        <w:rPr>
          <w:rFonts w:ascii="Arial" w:hAnsi="Arial" w:cs="Arial"/>
          <w:i/>
          <w:iCs/>
          <w:sz w:val="22"/>
          <w:szCs w:val="22"/>
        </w:rPr>
      </w:pPr>
      <w:r w:rsidRPr="004A697E">
        <w:rPr>
          <w:rFonts w:ascii="Arial" w:hAnsi="Arial" w:cs="Arial"/>
          <w:i/>
          <w:iCs/>
          <w:sz w:val="22"/>
          <w:szCs w:val="22"/>
        </w:rPr>
        <w:t>If this was your organisation what steps would you take as an Information Security Manager to mitigate the issue?</w:t>
      </w:r>
    </w:p>
    <w:p w14:paraId="3F6AA32D" w14:textId="77777777" w:rsidR="004A697E" w:rsidRPr="006A3113" w:rsidRDefault="004A697E">
      <w:pPr>
        <w:rPr>
          <w:rFonts w:ascii="Arial" w:hAnsi="Arial" w:cs="Arial"/>
        </w:rPr>
      </w:pPr>
    </w:p>
    <w:p w14:paraId="3B57D2F6" w14:textId="6D13054D" w:rsidR="004A697E" w:rsidRDefault="006A3113" w:rsidP="004A697E">
      <w:pPr>
        <w:jc w:val="center"/>
        <w:rPr>
          <w:rFonts w:ascii="Arial" w:hAnsi="Arial" w:cs="Arial"/>
          <w:u w:val="single"/>
        </w:rPr>
      </w:pPr>
      <w:r w:rsidRPr="006A3113">
        <w:rPr>
          <w:rFonts w:ascii="Arial" w:hAnsi="Arial" w:cs="Arial"/>
          <w:u w:val="single"/>
        </w:rPr>
        <w:t>Chosen</w:t>
      </w:r>
      <w:r w:rsidR="004A697E" w:rsidRPr="006A3113">
        <w:rPr>
          <w:rFonts w:ascii="Arial" w:hAnsi="Arial" w:cs="Arial"/>
          <w:u w:val="single"/>
        </w:rPr>
        <w:t xml:space="preserve"> case: </w:t>
      </w:r>
      <w:bookmarkStart w:id="0" w:name="201704"/>
      <w:r w:rsidR="004A697E" w:rsidRPr="006A3113">
        <w:rPr>
          <w:rFonts w:ascii="Arial" w:hAnsi="Arial" w:cs="Arial"/>
          <w:u w:val="single"/>
        </w:rPr>
        <w:t>Use of CCTV footage in a disciplinary process</w:t>
      </w:r>
      <w:bookmarkEnd w:id="0"/>
    </w:p>
    <w:p w14:paraId="13672708" w14:textId="77777777" w:rsidR="006A3113" w:rsidRDefault="006A3113" w:rsidP="004A697E">
      <w:pPr>
        <w:jc w:val="center"/>
        <w:rPr>
          <w:rFonts w:ascii="Arial" w:hAnsi="Arial" w:cs="Arial"/>
          <w:u w:val="single"/>
        </w:rPr>
      </w:pPr>
    </w:p>
    <w:p w14:paraId="01A398E4" w14:textId="05BA777A" w:rsidR="006A3113" w:rsidRPr="006A3113" w:rsidRDefault="006A3113" w:rsidP="006A3113">
      <w:pPr>
        <w:rPr>
          <w:rFonts w:ascii="Arial" w:hAnsi="Arial" w:cs="Arial"/>
          <w:i/>
          <w:iCs/>
          <w:sz w:val="22"/>
          <w:szCs w:val="22"/>
        </w:rPr>
      </w:pPr>
      <w:r w:rsidRPr="006A3113">
        <w:rPr>
          <w:rFonts w:ascii="Arial" w:hAnsi="Arial" w:cs="Arial"/>
          <w:i/>
          <w:iCs/>
          <w:sz w:val="22"/>
          <w:szCs w:val="22"/>
        </w:rPr>
        <w:t xml:space="preserve">Under the following link you can access the case study: </w:t>
      </w:r>
      <w:hyperlink r:id="rId5" w:history="1">
        <w:r w:rsidRPr="006A3113">
          <w:rPr>
            <w:rStyle w:val="Hyperlink"/>
            <w:rFonts w:ascii="Arial" w:hAnsi="Arial" w:cs="Arial"/>
            <w:i/>
            <w:iCs/>
            <w:sz w:val="22"/>
            <w:szCs w:val="22"/>
          </w:rPr>
          <w:t>https://dataprotection.ie/en/pre-gdpr/case-studies#201704</w:t>
        </w:r>
      </w:hyperlink>
    </w:p>
    <w:p w14:paraId="1A210571" w14:textId="77777777" w:rsidR="004A697E" w:rsidRPr="006A3113" w:rsidRDefault="004A697E" w:rsidP="004A697E">
      <w:pPr>
        <w:rPr>
          <w:rFonts w:ascii="Arial" w:hAnsi="Arial" w:cs="Arial"/>
        </w:rPr>
      </w:pPr>
    </w:p>
    <w:p w14:paraId="46AEF646" w14:textId="77777777" w:rsidR="004A697E" w:rsidRPr="006A3113" w:rsidRDefault="004A697E" w:rsidP="004A697E">
      <w:pPr>
        <w:rPr>
          <w:rFonts w:ascii="Arial" w:hAnsi="Arial" w:cs="Arial"/>
          <w:b/>
          <w:bCs/>
          <w:sz w:val="22"/>
          <w:szCs w:val="22"/>
        </w:rPr>
      </w:pPr>
      <w:r w:rsidRPr="004A697E">
        <w:rPr>
          <w:rFonts w:ascii="Arial" w:hAnsi="Arial" w:cs="Arial"/>
          <w:b/>
          <w:bCs/>
          <w:sz w:val="22"/>
          <w:szCs w:val="22"/>
        </w:rPr>
        <w:t>What is the specific aspect of GDPR that your case study addresses?</w:t>
      </w:r>
    </w:p>
    <w:p w14:paraId="31718335" w14:textId="77777777" w:rsidR="004A697E" w:rsidRPr="004A697E" w:rsidRDefault="004A697E" w:rsidP="004A697E">
      <w:pPr>
        <w:rPr>
          <w:rFonts w:ascii="Arial" w:hAnsi="Arial" w:cs="Arial"/>
          <w:b/>
          <w:bCs/>
        </w:rPr>
      </w:pPr>
    </w:p>
    <w:p w14:paraId="412AB592" w14:textId="77777777" w:rsidR="004A697E" w:rsidRPr="006A3113" w:rsidRDefault="004A697E" w:rsidP="004A697E">
      <w:pPr>
        <w:rPr>
          <w:rFonts w:ascii="Arial" w:hAnsi="Arial" w:cs="Arial"/>
          <w:sz w:val="22"/>
          <w:szCs w:val="22"/>
        </w:rPr>
      </w:pPr>
      <w:r w:rsidRPr="004A697E">
        <w:rPr>
          <w:rFonts w:ascii="Arial" w:hAnsi="Arial" w:cs="Arial"/>
          <w:sz w:val="22"/>
          <w:szCs w:val="22"/>
        </w:rPr>
        <w:t>The case study addresses the aspect of GDPR related to the </w:t>
      </w:r>
      <w:r w:rsidRPr="004A697E">
        <w:rPr>
          <w:rFonts w:ascii="Arial" w:hAnsi="Arial" w:cs="Arial"/>
          <w:b/>
          <w:bCs/>
          <w:sz w:val="22"/>
          <w:szCs w:val="22"/>
        </w:rPr>
        <w:t>legal basis for processing personal data</w:t>
      </w:r>
      <w:r w:rsidRPr="004A697E">
        <w:rPr>
          <w:rFonts w:ascii="Arial" w:hAnsi="Arial" w:cs="Arial"/>
          <w:sz w:val="22"/>
          <w:szCs w:val="22"/>
        </w:rPr>
        <w:t>, specifically whether the use of CCTV footage in a disciplinary process is justified under the principle of </w:t>
      </w:r>
      <w:r w:rsidRPr="004A697E">
        <w:rPr>
          <w:rFonts w:ascii="Arial" w:hAnsi="Arial" w:cs="Arial"/>
          <w:b/>
          <w:bCs/>
          <w:sz w:val="22"/>
          <w:szCs w:val="22"/>
        </w:rPr>
        <w:t>legitimate interest</w:t>
      </w:r>
      <w:r w:rsidRPr="004A697E">
        <w:rPr>
          <w:rFonts w:ascii="Arial" w:hAnsi="Arial" w:cs="Arial"/>
          <w:sz w:val="22"/>
          <w:szCs w:val="22"/>
        </w:rPr>
        <w:t>.</w:t>
      </w:r>
    </w:p>
    <w:p w14:paraId="611ECC5A" w14:textId="77777777" w:rsidR="004A697E" w:rsidRPr="004A697E" w:rsidRDefault="004A697E" w:rsidP="004A697E">
      <w:pPr>
        <w:rPr>
          <w:rFonts w:ascii="Arial" w:hAnsi="Arial" w:cs="Arial"/>
        </w:rPr>
      </w:pPr>
    </w:p>
    <w:p w14:paraId="1E846939" w14:textId="77777777" w:rsidR="004A697E" w:rsidRPr="006A3113" w:rsidRDefault="004A697E" w:rsidP="004A697E">
      <w:pPr>
        <w:rPr>
          <w:rFonts w:ascii="Arial" w:hAnsi="Arial" w:cs="Arial"/>
          <w:b/>
          <w:bCs/>
        </w:rPr>
      </w:pPr>
      <w:r w:rsidRPr="004A697E">
        <w:rPr>
          <w:rFonts w:ascii="Arial" w:hAnsi="Arial" w:cs="Arial"/>
          <w:b/>
          <w:bCs/>
        </w:rPr>
        <w:t>How was it resolved?</w:t>
      </w:r>
    </w:p>
    <w:p w14:paraId="0F4C176B" w14:textId="77777777" w:rsidR="004A697E" w:rsidRPr="004A697E" w:rsidRDefault="004A697E" w:rsidP="004A697E">
      <w:pPr>
        <w:rPr>
          <w:rFonts w:ascii="Arial" w:hAnsi="Arial" w:cs="Arial"/>
          <w:b/>
          <w:bCs/>
        </w:rPr>
      </w:pPr>
    </w:p>
    <w:p w14:paraId="58C5789C" w14:textId="77777777" w:rsidR="004A697E" w:rsidRPr="006A3113" w:rsidRDefault="004A697E" w:rsidP="004A697E">
      <w:pPr>
        <w:rPr>
          <w:rFonts w:ascii="Arial" w:hAnsi="Arial" w:cs="Arial"/>
          <w:sz w:val="22"/>
          <w:szCs w:val="22"/>
        </w:rPr>
      </w:pPr>
      <w:r w:rsidRPr="004A697E">
        <w:rPr>
          <w:rFonts w:ascii="Arial" w:hAnsi="Arial" w:cs="Arial"/>
          <w:sz w:val="22"/>
          <w:szCs w:val="22"/>
        </w:rPr>
        <w:t>The Data Protection Commissioner concluded that the employer had a legitimate interest in using CCTV footage to investigate the employee's conduct. The processing was deemed necessary, proportionate, and in accordance with the principle of data minimization. The employer also provided adequate notice to the employee through documentation, leading to the conclusion that the processing was lawful under the Data Protection Acts 1988 and 2003.</w:t>
      </w:r>
    </w:p>
    <w:p w14:paraId="3C82A21E" w14:textId="77777777" w:rsidR="004A697E" w:rsidRPr="006A3113" w:rsidRDefault="004A697E" w:rsidP="004A697E">
      <w:pPr>
        <w:rPr>
          <w:rFonts w:ascii="Arial" w:hAnsi="Arial" w:cs="Arial"/>
          <w:sz w:val="22"/>
          <w:szCs w:val="22"/>
        </w:rPr>
      </w:pPr>
    </w:p>
    <w:p w14:paraId="0950CF3E" w14:textId="77777777" w:rsidR="004A697E" w:rsidRPr="006A3113" w:rsidRDefault="004A697E" w:rsidP="004A697E">
      <w:pPr>
        <w:rPr>
          <w:rFonts w:ascii="Arial" w:hAnsi="Arial" w:cs="Arial"/>
          <w:b/>
          <w:bCs/>
        </w:rPr>
      </w:pPr>
      <w:r w:rsidRPr="004A697E">
        <w:rPr>
          <w:rFonts w:ascii="Arial" w:hAnsi="Arial" w:cs="Arial"/>
          <w:b/>
          <w:bCs/>
        </w:rPr>
        <w:t>As an Information Security Manager, to mitigate issues related to the use of CCTV footage in disciplinary processes, I would take the following steps:</w:t>
      </w:r>
    </w:p>
    <w:p w14:paraId="27B145C5" w14:textId="77777777" w:rsidR="004A697E" w:rsidRPr="004A697E" w:rsidRDefault="004A697E" w:rsidP="004A697E">
      <w:pPr>
        <w:rPr>
          <w:rFonts w:ascii="Arial" w:hAnsi="Arial" w:cs="Arial"/>
          <w:sz w:val="22"/>
          <w:szCs w:val="22"/>
        </w:rPr>
      </w:pPr>
    </w:p>
    <w:p w14:paraId="7C2B3D22" w14:textId="377E56D3"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Clear Policy and Communication</w:t>
      </w:r>
      <w:r w:rsidRPr="004A697E">
        <w:rPr>
          <w:rFonts w:ascii="Arial" w:hAnsi="Arial" w:cs="Arial"/>
          <w:sz w:val="22"/>
          <w:szCs w:val="22"/>
        </w:rPr>
        <w:t>: Ensure that all employees are informed through clear policies (e.g., in the employee handbook</w:t>
      </w:r>
      <w:r w:rsidRPr="006A3113">
        <w:rPr>
          <w:rFonts w:ascii="Arial" w:hAnsi="Arial" w:cs="Arial"/>
          <w:sz w:val="22"/>
          <w:szCs w:val="22"/>
        </w:rPr>
        <w:t>)</w:t>
      </w:r>
      <w:r w:rsidRPr="004A697E">
        <w:rPr>
          <w:rFonts w:ascii="Arial" w:hAnsi="Arial" w:cs="Arial"/>
          <w:sz w:val="22"/>
          <w:szCs w:val="22"/>
        </w:rPr>
        <w:t xml:space="preserve"> about the use of CCTV footage, including its potential use in disciplinary actions.</w:t>
      </w:r>
    </w:p>
    <w:p w14:paraId="21D549B9" w14:textId="77777777"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Legitimate Interest Assessment</w:t>
      </w:r>
      <w:r w:rsidRPr="004A697E">
        <w:rPr>
          <w:rFonts w:ascii="Arial" w:hAnsi="Arial" w:cs="Arial"/>
          <w:sz w:val="22"/>
          <w:szCs w:val="22"/>
        </w:rPr>
        <w:t>: Regularly conduct and document a legitimate interest assessment to justify the use of CCTV in line with GDPR requirements.</w:t>
      </w:r>
    </w:p>
    <w:p w14:paraId="0E7A082A" w14:textId="1370EC59"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Data Minimization</w:t>
      </w:r>
      <w:r w:rsidRPr="004A697E">
        <w:rPr>
          <w:rFonts w:ascii="Arial" w:hAnsi="Arial" w:cs="Arial"/>
          <w:sz w:val="22"/>
          <w:szCs w:val="22"/>
        </w:rPr>
        <w:t xml:space="preserve">: Use CCTV footage only when </w:t>
      </w:r>
      <w:r w:rsidRPr="006A3113">
        <w:rPr>
          <w:rFonts w:ascii="Arial" w:hAnsi="Arial" w:cs="Arial"/>
          <w:sz w:val="22"/>
          <w:szCs w:val="22"/>
        </w:rPr>
        <w:t>necessary</w:t>
      </w:r>
      <w:r w:rsidRPr="004A697E">
        <w:rPr>
          <w:rFonts w:ascii="Arial" w:hAnsi="Arial" w:cs="Arial"/>
          <w:sz w:val="22"/>
          <w:szCs w:val="22"/>
        </w:rPr>
        <w:t xml:space="preserve"> and ensure it's only used to address specific incidents, minimizing data usage.</w:t>
      </w:r>
    </w:p>
    <w:p w14:paraId="7A97F172" w14:textId="77777777"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Training</w:t>
      </w:r>
      <w:r w:rsidRPr="004A697E">
        <w:rPr>
          <w:rFonts w:ascii="Arial" w:hAnsi="Arial" w:cs="Arial"/>
          <w:sz w:val="22"/>
          <w:szCs w:val="22"/>
        </w:rPr>
        <w:t>: Provide regular training to employees on data protection and the proper use of surveillance tools.</w:t>
      </w:r>
    </w:p>
    <w:p w14:paraId="3216997A" w14:textId="77777777"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Access Control</w:t>
      </w:r>
      <w:r w:rsidRPr="004A697E">
        <w:rPr>
          <w:rFonts w:ascii="Arial" w:hAnsi="Arial" w:cs="Arial"/>
          <w:sz w:val="22"/>
          <w:szCs w:val="22"/>
        </w:rPr>
        <w:t>: Implement strict access control to CCTV footage, ensuring that only authorized personnel can view or process the data.</w:t>
      </w:r>
    </w:p>
    <w:p w14:paraId="280AA8ED" w14:textId="77777777" w:rsidR="004A697E" w:rsidRPr="004A697E" w:rsidRDefault="004A697E" w:rsidP="004A697E">
      <w:pPr>
        <w:numPr>
          <w:ilvl w:val="0"/>
          <w:numId w:val="2"/>
        </w:numPr>
        <w:rPr>
          <w:rFonts w:ascii="Arial" w:hAnsi="Arial" w:cs="Arial"/>
          <w:sz w:val="22"/>
          <w:szCs w:val="22"/>
        </w:rPr>
      </w:pPr>
      <w:r w:rsidRPr="004A697E">
        <w:rPr>
          <w:rFonts w:ascii="Arial" w:hAnsi="Arial" w:cs="Arial"/>
          <w:b/>
          <w:bCs/>
          <w:sz w:val="22"/>
          <w:szCs w:val="22"/>
        </w:rPr>
        <w:t>Regular Audits</w:t>
      </w:r>
      <w:r w:rsidRPr="004A697E">
        <w:rPr>
          <w:rFonts w:ascii="Arial" w:hAnsi="Arial" w:cs="Arial"/>
          <w:sz w:val="22"/>
          <w:szCs w:val="22"/>
        </w:rPr>
        <w:t>: Perform regular audits to ensure compliance with data protection laws and internal policies.</w:t>
      </w:r>
    </w:p>
    <w:p w14:paraId="55A2EEFA" w14:textId="77777777" w:rsidR="004A697E" w:rsidRPr="004A697E" w:rsidRDefault="004A697E" w:rsidP="004A697E">
      <w:pPr>
        <w:rPr>
          <w:rFonts w:ascii="Arial" w:hAnsi="Arial" w:cs="Arial"/>
          <w:sz w:val="22"/>
          <w:szCs w:val="22"/>
        </w:rPr>
      </w:pPr>
    </w:p>
    <w:p w14:paraId="7C43C00E" w14:textId="77777777" w:rsidR="004A697E" w:rsidRPr="006A3113" w:rsidRDefault="004A697E" w:rsidP="004A697E">
      <w:pPr>
        <w:rPr>
          <w:rFonts w:ascii="Arial" w:hAnsi="Arial" w:cs="Arial"/>
        </w:rPr>
      </w:pPr>
    </w:p>
    <w:p w14:paraId="3A153291" w14:textId="33450D7F" w:rsidR="004A697E" w:rsidRPr="006A3113" w:rsidRDefault="004A697E"/>
    <w:sectPr w:rsidR="004A697E" w:rsidRPr="006A31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3301A"/>
    <w:multiLevelType w:val="multilevel"/>
    <w:tmpl w:val="FE9A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36738"/>
    <w:multiLevelType w:val="multilevel"/>
    <w:tmpl w:val="58621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92367">
    <w:abstractNumId w:val="1"/>
  </w:num>
  <w:num w:numId="2" w16cid:durableId="186898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7E"/>
    <w:rsid w:val="0007595F"/>
    <w:rsid w:val="000B4998"/>
    <w:rsid w:val="004A697E"/>
    <w:rsid w:val="006A3113"/>
    <w:rsid w:val="00833AE5"/>
    <w:rsid w:val="00B7499A"/>
    <w:rsid w:val="00BF1FCA"/>
    <w:rsid w:val="00C1435D"/>
    <w:rsid w:val="00F72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7138"/>
  <w15:chartTrackingRefBased/>
  <w15:docId w15:val="{C7FBC6F0-613A-EB4E-B260-1A06BC11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A6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A6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A697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697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697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697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697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697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697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97E"/>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4A697E"/>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rsid w:val="004A697E"/>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4A697E"/>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4A697E"/>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4A697E"/>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4A697E"/>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4A697E"/>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4A697E"/>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4A697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697E"/>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4A697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697E"/>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4A697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A697E"/>
    <w:rPr>
      <w:i/>
      <w:iCs/>
      <w:color w:val="404040" w:themeColor="text1" w:themeTint="BF"/>
      <w:lang w:val="en-GB"/>
    </w:rPr>
  </w:style>
  <w:style w:type="paragraph" w:styleId="Listenabsatz">
    <w:name w:val="List Paragraph"/>
    <w:basedOn w:val="Standard"/>
    <w:uiPriority w:val="34"/>
    <w:qFormat/>
    <w:rsid w:val="004A697E"/>
    <w:pPr>
      <w:ind w:left="720"/>
      <w:contextualSpacing/>
    </w:pPr>
  </w:style>
  <w:style w:type="character" w:styleId="IntensiveHervorhebung">
    <w:name w:val="Intense Emphasis"/>
    <w:basedOn w:val="Absatz-Standardschriftart"/>
    <w:uiPriority w:val="21"/>
    <w:qFormat/>
    <w:rsid w:val="004A697E"/>
    <w:rPr>
      <w:i/>
      <w:iCs/>
      <w:color w:val="0F4761" w:themeColor="accent1" w:themeShade="BF"/>
    </w:rPr>
  </w:style>
  <w:style w:type="paragraph" w:styleId="IntensivesZitat">
    <w:name w:val="Intense Quote"/>
    <w:basedOn w:val="Standard"/>
    <w:next w:val="Standard"/>
    <w:link w:val="IntensivesZitatZchn"/>
    <w:uiPriority w:val="30"/>
    <w:qFormat/>
    <w:rsid w:val="004A6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697E"/>
    <w:rPr>
      <w:i/>
      <w:iCs/>
      <w:color w:val="0F4761" w:themeColor="accent1" w:themeShade="BF"/>
      <w:lang w:val="en-GB"/>
    </w:rPr>
  </w:style>
  <w:style w:type="character" w:styleId="IntensiverVerweis">
    <w:name w:val="Intense Reference"/>
    <w:basedOn w:val="Absatz-Standardschriftart"/>
    <w:uiPriority w:val="32"/>
    <w:qFormat/>
    <w:rsid w:val="004A697E"/>
    <w:rPr>
      <w:b/>
      <w:bCs/>
      <w:smallCaps/>
      <w:color w:val="0F4761" w:themeColor="accent1" w:themeShade="BF"/>
      <w:spacing w:val="5"/>
    </w:rPr>
  </w:style>
  <w:style w:type="character" w:styleId="Hyperlink">
    <w:name w:val="Hyperlink"/>
    <w:basedOn w:val="Absatz-Standardschriftart"/>
    <w:uiPriority w:val="99"/>
    <w:unhideWhenUsed/>
    <w:rsid w:val="006A3113"/>
    <w:rPr>
      <w:color w:val="467886" w:themeColor="hyperlink"/>
      <w:u w:val="single"/>
    </w:rPr>
  </w:style>
  <w:style w:type="character" w:styleId="NichtaufgelsteErwhnung">
    <w:name w:val="Unresolved Mention"/>
    <w:basedOn w:val="Absatz-Standardschriftart"/>
    <w:uiPriority w:val="99"/>
    <w:semiHidden/>
    <w:unhideWhenUsed/>
    <w:rsid w:val="006A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9482">
      <w:bodyDiv w:val="1"/>
      <w:marLeft w:val="0"/>
      <w:marRight w:val="0"/>
      <w:marTop w:val="0"/>
      <w:marBottom w:val="0"/>
      <w:divBdr>
        <w:top w:val="none" w:sz="0" w:space="0" w:color="auto"/>
        <w:left w:val="none" w:sz="0" w:space="0" w:color="auto"/>
        <w:bottom w:val="none" w:sz="0" w:space="0" w:color="auto"/>
        <w:right w:val="none" w:sz="0" w:space="0" w:color="auto"/>
      </w:divBdr>
    </w:div>
    <w:div w:id="422383688">
      <w:bodyDiv w:val="1"/>
      <w:marLeft w:val="0"/>
      <w:marRight w:val="0"/>
      <w:marTop w:val="0"/>
      <w:marBottom w:val="0"/>
      <w:divBdr>
        <w:top w:val="none" w:sz="0" w:space="0" w:color="auto"/>
        <w:left w:val="none" w:sz="0" w:space="0" w:color="auto"/>
        <w:bottom w:val="none" w:sz="0" w:space="0" w:color="auto"/>
        <w:right w:val="none" w:sz="0" w:space="0" w:color="auto"/>
      </w:divBdr>
    </w:div>
    <w:div w:id="839540528">
      <w:bodyDiv w:val="1"/>
      <w:marLeft w:val="0"/>
      <w:marRight w:val="0"/>
      <w:marTop w:val="0"/>
      <w:marBottom w:val="0"/>
      <w:divBdr>
        <w:top w:val="none" w:sz="0" w:space="0" w:color="auto"/>
        <w:left w:val="none" w:sz="0" w:space="0" w:color="auto"/>
        <w:bottom w:val="none" w:sz="0" w:space="0" w:color="auto"/>
        <w:right w:val="none" w:sz="0" w:space="0" w:color="auto"/>
      </w:divBdr>
    </w:div>
    <w:div w:id="1075010623">
      <w:bodyDiv w:val="1"/>
      <w:marLeft w:val="0"/>
      <w:marRight w:val="0"/>
      <w:marTop w:val="0"/>
      <w:marBottom w:val="0"/>
      <w:divBdr>
        <w:top w:val="none" w:sz="0" w:space="0" w:color="auto"/>
        <w:left w:val="none" w:sz="0" w:space="0" w:color="auto"/>
        <w:bottom w:val="none" w:sz="0" w:space="0" w:color="auto"/>
        <w:right w:val="none" w:sz="0" w:space="0" w:color="auto"/>
      </w:divBdr>
    </w:div>
    <w:div w:id="1188561807">
      <w:bodyDiv w:val="1"/>
      <w:marLeft w:val="0"/>
      <w:marRight w:val="0"/>
      <w:marTop w:val="0"/>
      <w:marBottom w:val="0"/>
      <w:divBdr>
        <w:top w:val="none" w:sz="0" w:space="0" w:color="auto"/>
        <w:left w:val="none" w:sz="0" w:space="0" w:color="auto"/>
        <w:bottom w:val="none" w:sz="0" w:space="0" w:color="auto"/>
        <w:right w:val="none" w:sz="0" w:space="0" w:color="auto"/>
      </w:divBdr>
    </w:div>
    <w:div w:id="1899972917">
      <w:bodyDiv w:val="1"/>
      <w:marLeft w:val="0"/>
      <w:marRight w:val="0"/>
      <w:marTop w:val="0"/>
      <w:marBottom w:val="0"/>
      <w:divBdr>
        <w:top w:val="none" w:sz="0" w:space="0" w:color="auto"/>
        <w:left w:val="none" w:sz="0" w:space="0" w:color="auto"/>
        <w:bottom w:val="none" w:sz="0" w:space="0" w:color="auto"/>
        <w:right w:val="none" w:sz="0" w:space="0" w:color="auto"/>
      </w:divBdr>
    </w:div>
    <w:div w:id="2019116141">
      <w:bodyDiv w:val="1"/>
      <w:marLeft w:val="0"/>
      <w:marRight w:val="0"/>
      <w:marTop w:val="0"/>
      <w:marBottom w:val="0"/>
      <w:divBdr>
        <w:top w:val="none" w:sz="0" w:space="0" w:color="auto"/>
        <w:left w:val="none" w:sz="0" w:space="0" w:color="auto"/>
        <w:bottom w:val="none" w:sz="0" w:space="0" w:color="auto"/>
        <w:right w:val="none" w:sz="0" w:space="0" w:color="auto"/>
      </w:divBdr>
    </w:div>
    <w:div w:id="20777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protection.ie/en/pre-gdpr/case-studies#20170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Bösche</dc:creator>
  <cp:keywords/>
  <dc:description/>
  <cp:lastModifiedBy>Philipp Bösche</cp:lastModifiedBy>
  <cp:revision>2</cp:revision>
  <dcterms:created xsi:type="dcterms:W3CDTF">2024-09-02T09:31:00Z</dcterms:created>
  <dcterms:modified xsi:type="dcterms:W3CDTF">2024-09-02T09:44:00Z</dcterms:modified>
</cp:coreProperties>
</file>