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CEF1A" w14:textId="37376BEB" w:rsidR="000B4998" w:rsidRPr="00176D15" w:rsidRDefault="00EA6F18" w:rsidP="00176D1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6D15">
        <w:rPr>
          <w:rFonts w:ascii="Arial" w:hAnsi="Arial" w:cs="Arial"/>
          <w:b/>
          <w:bCs/>
          <w:sz w:val="28"/>
          <w:szCs w:val="28"/>
        </w:rPr>
        <w:t>Wiki Activity – Security Frameworks</w:t>
      </w:r>
    </w:p>
    <w:p w14:paraId="5CEDAA74" w14:textId="77777777" w:rsidR="00176D15" w:rsidRDefault="00176D15"/>
    <w:p w14:paraId="5CF35766" w14:textId="77777777" w:rsidR="00176D15" w:rsidRPr="008C5DA8" w:rsidRDefault="00176D15" w:rsidP="00176D15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FAQ Section:</w:t>
      </w:r>
    </w:p>
    <w:p w14:paraId="3F8DCFBC" w14:textId="1E28A575" w:rsidR="003629EE" w:rsidRPr="008C5DA8" w:rsidRDefault="00176D15" w:rsidP="003629EE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Question: What is the primary difference between COBIT and ISO/IEC 27001?</w:t>
      </w:r>
    </w:p>
    <w:p w14:paraId="3107DA76" w14:textId="77777777" w:rsidR="00176D15" w:rsidRPr="008C5DA8" w:rsidRDefault="00176D15" w:rsidP="00176D15">
      <w:pPr>
        <w:numPr>
          <w:ilvl w:val="1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Answer: COBIT focuses on IT governance and alignment with business goals, while ISO/IEC 27001 centers on information security management (De Haes &amp; Van </w:t>
      </w:r>
      <w:proofErr w:type="spellStart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Grembergen</w:t>
      </w:r>
      <w:proofErr w:type="spellEnd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, 2015; Humphreys, 2016).</w:t>
      </w:r>
    </w:p>
    <w:p w14:paraId="1554B8E9" w14:textId="77777777" w:rsidR="00176D15" w:rsidRPr="008C5DA8" w:rsidRDefault="00176D15" w:rsidP="00176D15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Question: How does ITIL benefit a large hospital?</w:t>
      </w:r>
    </w:p>
    <w:p w14:paraId="6E468687" w14:textId="77777777" w:rsidR="00176D15" w:rsidRPr="008C5DA8" w:rsidRDefault="00176D15" w:rsidP="00176D15">
      <w:pPr>
        <w:numPr>
          <w:ilvl w:val="1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Answer: ITIL provides a framework for managing IT services, ensuring critical systems in a hospital are reliable and secure (Hochstein et al., 2005).</w:t>
      </w:r>
    </w:p>
    <w:p w14:paraId="22A3D89D" w14:textId="77777777" w:rsidR="00176D15" w:rsidRPr="008C5DA8" w:rsidRDefault="00176D15" w:rsidP="00176D15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Question: Why is Lean Six Sigma important in a manufacturing environment?</w:t>
      </w:r>
    </w:p>
    <w:p w14:paraId="02B9C459" w14:textId="77777777" w:rsidR="00176D15" w:rsidRPr="008C5DA8" w:rsidRDefault="00176D15" w:rsidP="00176D15">
      <w:pPr>
        <w:numPr>
          <w:ilvl w:val="1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Answer: Lean Six Sigma combines lean manufacturing principles with Six Sigma methodologies to reduce waste, improve process efficiency, and enhance product quality, which is essential in a competitive manufacturing environment (Antony et al., 2016).</w:t>
      </w:r>
    </w:p>
    <w:p w14:paraId="2BAE3E7C" w14:textId="77777777" w:rsidR="00176D15" w:rsidRPr="008C5DA8" w:rsidRDefault="00176D15" w:rsidP="00176D15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Question: How do HL7 standards impact healthcare organizations?</w:t>
      </w:r>
    </w:p>
    <w:p w14:paraId="569FDEB5" w14:textId="77777777" w:rsidR="00176D15" w:rsidRPr="008C5DA8" w:rsidRDefault="00176D15" w:rsidP="00176D15">
      <w:pPr>
        <w:numPr>
          <w:ilvl w:val="1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Answer: HL7 standards facilitate the exchange, integration, sharing, and retrieval of electronic health information, which is critical for improving patient care and ensuring interoperability across different healthcare systems (Braunstein, 2014).</w:t>
      </w:r>
    </w:p>
    <w:p w14:paraId="351AB736" w14:textId="4534FD77" w:rsidR="00176D15" w:rsidRPr="0043388D" w:rsidRDefault="00176D15" w:rsidP="0043388D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Responses Section:</w:t>
      </w:r>
    </w:p>
    <w:p w14:paraId="51A03B2F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Which of the frameworks do you think would be applicable to the following organisations:</w:t>
      </w:r>
    </w:p>
    <w:p w14:paraId="0B0B483A" w14:textId="77777777" w:rsidR="00EA6F18" w:rsidRPr="00EA6F18" w:rsidRDefault="00EA6F18" w:rsidP="00EA6F1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International bank.</w:t>
      </w:r>
    </w:p>
    <w:p w14:paraId="4ADE9DDB" w14:textId="77777777" w:rsidR="00EA6F18" w:rsidRPr="00EA6F18" w:rsidRDefault="00EA6F18" w:rsidP="00EA6F1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Large hospital.</w:t>
      </w:r>
    </w:p>
    <w:p w14:paraId="483A6518" w14:textId="651A1D7B" w:rsidR="00EA6F18" w:rsidRPr="00A313E8" w:rsidRDefault="00EA6F18" w:rsidP="00EA6F1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Large food manufacturing factory.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br/>
      </w:r>
    </w:p>
    <w:p w14:paraId="781028D0" w14:textId="6EC00900" w:rsidR="00EA6F18" w:rsidRPr="00EA6F18" w:rsidRDefault="0043388D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Analysing</w:t>
      </w:r>
      <w:r w:rsidR="00EA6F18"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 xml:space="preserve"> the Frameworks and Their Applicability</w:t>
      </w:r>
    </w:p>
    <w:p w14:paraId="1EFAA60E" w14:textId="77777777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For an International Bank:</w:t>
      </w:r>
    </w:p>
    <w:p w14:paraId="10C12F8B" w14:textId="77777777" w:rsidR="00EA6F18" w:rsidRPr="00EA6F18" w:rsidRDefault="00EA6F18" w:rsidP="00EA6F1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Applicable Frameworks:</w:t>
      </w:r>
    </w:p>
    <w:p w14:paraId="5E49B3C6" w14:textId="77777777" w:rsidR="00EA6F18" w:rsidRPr="00EA6F18" w:rsidRDefault="00EA6F18" w:rsidP="00EA6F1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COBIT (Control Objectives for Information and Related Technologies):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 COBIT is ideal for banks due to its focus on aligning IT with business objectives, managing risks, and ensuring regulatory compliance (De Haes &amp; Van </w:t>
      </w:r>
      <w:proofErr w:type="spellStart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Grembergen</w:t>
      </w:r>
      <w:proofErr w:type="spellEnd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, 2015).</w:t>
      </w:r>
    </w:p>
    <w:p w14:paraId="4C828952" w14:textId="77777777" w:rsidR="00EA6F18" w:rsidRPr="00EA6F18" w:rsidRDefault="00EA6F18" w:rsidP="00EA6F1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ISO/IEC 27001 (Information Security Management):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This framework is critical for banks to ensure the security and confidentiality of customer data (Humphreys, 2016).</w:t>
      </w:r>
    </w:p>
    <w:p w14:paraId="46DAF930" w14:textId="77777777" w:rsidR="00EA6F18" w:rsidRPr="00EA6F18" w:rsidRDefault="00EA6F18" w:rsidP="00EA6F1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ITIL (Information Technology Infrastructure Library):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ITIL helps in the management of IT services, ensuring reliability and efficiency, which is crucial in a banking environment (Hochstein et al., 2005).</w:t>
      </w:r>
    </w:p>
    <w:p w14:paraId="59967D94" w14:textId="77777777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For a Large Hospital:</w:t>
      </w:r>
    </w:p>
    <w:p w14:paraId="7D5C7A1E" w14:textId="77777777" w:rsidR="00EA6F18" w:rsidRPr="00EA6F18" w:rsidRDefault="00EA6F18" w:rsidP="00EA6F18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lastRenderedPageBreak/>
        <w:t>Applicable Frameworks:</w:t>
      </w:r>
    </w:p>
    <w:p w14:paraId="5FC5CB8E" w14:textId="77777777" w:rsidR="00EA6F18" w:rsidRPr="00EA6F18" w:rsidRDefault="00EA6F18" w:rsidP="00EA6F1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 9001 (Quality Management Systems):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ISO 9001 ensures consistent quality management practices, crucial for maintaining high standards of patient care (Hoyle, 2017).</w:t>
      </w:r>
    </w:p>
    <w:p w14:paraId="421EEDC3" w14:textId="77777777" w:rsidR="00EA6F18" w:rsidRPr="00EA6F18" w:rsidRDefault="00EA6F18" w:rsidP="00EA6F1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ISO/IEC 27001: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Protecting sensitive patient information is critical, and ISO 27001 provides the necessary framework (Humphreys, 2016).</w:t>
      </w:r>
    </w:p>
    <w:p w14:paraId="37943040" w14:textId="77777777" w:rsidR="00EA6F18" w:rsidRPr="00EA6F18" w:rsidRDefault="00EA6F18" w:rsidP="00EA6F1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ITIL: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ITIL’s service management focus supports the critical IT infrastructure of hospitals, ensuring continuous service delivery (Hochstein et al., 2005).</w:t>
      </w:r>
    </w:p>
    <w:p w14:paraId="4B0BDBFE" w14:textId="77777777" w:rsidR="00EA6F18" w:rsidRPr="00EA6F18" w:rsidRDefault="00EA6F18" w:rsidP="00EA6F1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HL7 (Health Level 7):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HL7 standards are crucial in healthcare for the seamless exchange of clinical and administrative data (Braunstein, 2014).</w:t>
      </w:r>
    </w:p>
    <w:p w14:paraId="210389D3" w14:textId="77777777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For a Large Food Manufacturing Factory:</w:t>
      </w:r>
    </w:p>
    <w:p w14:paraId="1FCB225F" w14:textId="77777777" w:rsidR="00EA6F18" w:rsidRPr="00EA6F18" w:rsidRDefault="00EA6F18" w:rsidP="00EA6F18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Applicable Frameworks:</w:t>
      </w:r>
    </w:p>
    <w:p w14:paraId="4EF24B43" w14:textId="77777777" w:rsidR="00EA6F18" w:rsidRPr="00EA6F18" w:rsidRDefault="00EA6F18" w:rsidP="00EA6F18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 22000 (Food Safety Management Systems):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ISO 22000 is specifically designed for ensuring food safety, which is a top priority in manufacturing (</w:t>
      </w:r>
      <w:proofErr w:type="spellStart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Kheradia</w:t>
      </w:r>
      <w:proofErr w:type="spellEnd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&amp; Warriner, 2013).</w:t>
      </w:r>
    </w:p>
    <w:p w14:paraId="403E1E62" w14:textId="77777777" w:rsidR="00EA6F18" w:rsidRPr="00EA6F18" w:rsidRDefault="00EA6F18" w:rsidP="00EA6F18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 9001: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This ensures consistent product quality and process efficiency in manufacturing (Hoyle, 2017).</w:t>
      </w:r>
    </w:p>
    <w:p w14:paraId="2A2075A9" w14:textId="77777777" w:rsidR="00EA6F18" w:rsidRPr="00EA6F18" w:rsidRDefault="00EA6F18" w:rsidP="00EA6F18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ISO/IEC 27001: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Protecting proprietary information such as recipes and production processes is vital (Humphreys, 2016).</w:t>
      </w:r>
    </w:p>
    <w:p w14:paraId="3A4EA8FD" w14:textId="77777777" w:rsidR="00EA6F18" w:rsidRPr="00A313E8" w:rsidRDefault="00EA6F18" w:rsidP="00EA6F18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Lean Six Sigma: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This approach can significantly improve manufacturing efficiency and reduce waste (Antony et al., 2016).</w:t>
      </w:r>
    </w:p>
    <w:p w14:paraId="679EC1C3" w14:textId="15AACAC0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Summarise the tests and recommendations you would make to the owners/ managers for each of the above businesses to help them use the frameworks and comply with industry standards.</w:t>
      </w:r>
    </w:p>
    <w:p w14:paraId="76B5CE85" w14:textId="385FC599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Tests and Recommendations</w:t>
      </w:r>
      <w:r w:rsidR="0043388D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 xml:space="preserve"> to </w:t>
      </w:r>
      <w:r w:rsidR="0043388D"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help</w:t>
      </w:r>
      <w:r w:rsidR="0043388D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 xml:space="preserve"> owners</w:t>
      </w:r>
      <w:r w:rsidR="0043388D"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 xml:space="preserve"> use the frameworks and comply with industry standards</w:t>
      </w:r>
    </w:p>
    <w:p w14:paraId="37C0B1A3" w14:textId="77777777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International Bank:</w:t>
      </w:r>
    </w:p>
    <w:p w14:paraId="766B94A6" w14:textId="77777777" w:rsidR="00EA6F18" w:rsidRPr="00EA6F18" w:rsidRDefault="00EA6F18" w:rsidP="00EA6F18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Tests:</w:t>
      </w:r>
    </w:p>
    <w:p w14:paraId="1832ADBA" w14:textId="77777777" w:rsidR="00EA6F18" w:rsidRPr="00EA6F18" w:rsidRDefault="00EA6F18" w:rsidP="00EA6F18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COBIT: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 Evaluate governance and risk management processes, ensuring alignment with regulatory requirements (De Haes &amp; Van </w:t>
      </w:r>
      <w:proofErr w:type="spellStart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Grembergen</w:t>
      </w:r>
      <w:proofErr w:type="spellEnd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, 2015).</w:t>
      </w:r>
    </w:p>
    <w:p w14:paraId="6B3F70FD" w14:textId="77777777" w:rsidR="00EA6F18" w:rsidRPr="00EA6F18" w:rsidRDefault="00EA6F18" w:rsidP="00EA6F18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ISO/IEC 27001: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Conduct regular risk assessments to ensure data protection (Humphreys, 2016).</w:t>
      </w:r>
    </w:p>
    <w:p w14:paraId="7BDE917E" w14:textId="77777777" w:rsidR="00EA6F18" w:rsidRPr="00EA6F18" w:rsidRDefault="00EA6F18" w:rsidP="00EA6F18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ITIL: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Test service management processes for efficiency and reliability (Hochstein et al., 2005).</w:t>
      </w:r>
    </w:p>
    <w:p w14:paraId="24808B15" w14:textId="77777777" w:rsidR="00EA6F18" w:rsidRPr="00EA6F18" w:rsidRDefault="00EA6F18" w:rsidP="00EA6F18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Recommendations:</w:t>
      </w:r>
    </w:p>
    <w:p w14:paraId="7264654A" w14:textId="77777777" w:rsidR="00EA6F18" w:rsidRPr="00EA6F18" w:rsidRDefault="00EA6F18" w:rsidP="00EA6F18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Implement continuous monitoring and audits to maintain compliance with COBIT.</w:t>
      </w:r>
    </w:p>
    <w:p w14:paraId="108EBEB9" w14:textId="77777777" w:rsidR="00EA6F18" w:rsidRPr="00EA6F18" w:rsidRDefault="00EA6F18" w:rsidP="00EA6F18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Establish a robust ISMS based on ISO/IEC 27001 standards.</w:t>
      </w:r>
    </w:p>
    <w:p w14:paraId="4F3775D4" w14:textId="77777777" w:rsidR="00EA6F18" w:rsidRPr="00EA6F18" w:rsidRDefault="00EA6F18" w:rsidP="00EA6F18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Adopt ITIL best practices to enhance service management and reduce downtime.</w:t>
      </w:r>
    </w:p>
    <w:p w14:paraId="1DB02FD1" w14:textId="77777777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Large Hospital:</w:t>
      </w:r>
    </w:p>
    <w:p w14:paraId="0B272AB0" w14:textId="77777777" w:rsidR="00EA6F18" w:rsidRPr="00EA6F18" w:rsidRDefault="00EA6F18" w:rsidP="00EA6F18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lastRenderedPageBreak/>
        <w:t>Tests:</w:t>
      </w:r>
    </w:p>
    <w:p w14:paraId="789D5988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 9001: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Ensure consistent quality management practices across all departments (Hoyle, 2017).</w:t>
      </w:r>
    </w:p>
    <w:p w14:paraId="4780AE11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ISO/IEC 27001: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Test the effectiveness of security measures protecting patient data (Humphreys, 2016).</w:t>
      </w:r>
    </w:p>
    <w:p w14:paraId="2EA29F2A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ITIL: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Assess the reliability of IT services critical to patient care (Hochstein et al., 2005).</w:t>
      </w:r>
    </w:p>
    <w:p w14:paraId="2FC0D1B2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HL7: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Verify compliance with HL7 standards for data interoperability (Braunstein, 2014).</w:t>
      </w:r>
    </w:p>
    <w:p w14:paraId="13395F6D" w14:textId="77777777" w:rsidR="00EA6F18" w:rsidRPr="00EA6F18" w:rsidRDefault="00EA6F18" w:rsidP="00EA6F18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Recommendations:</w:t>
      </w:r>
    </w:p>
    <w:p w14:paraId="1B0E9032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Implement a comprehensive quality management system aligned with ISO 9001.</w:t>
      </w:r>
    </w:p>
    <w:p w14:paraId="18BE9F77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Regularly update and review ISMS to protect patient data effectively.</w:t>
      </w:r>
    </w:p>
    <w:p w14:paraId="63F84EC7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Use ITIL to improve IT service management, ensuring critical systems are secure and reliable.</w:t>
      </w:r>
    </w:p>
    <w:p w14:paraId="47F30B20" w14:textId="77777777" w:rsidR="00EA6F18" w:rsidRPr="00EA6F18" w:rsidRDefault="00EA6F18" w:rsidP="00EA6F18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Ensure that all healthcare systems are HL7-compliant.</w:t>
      </w:r>
    </w:p>
    <w:p w14:paraId="51FE9481" w14:textId="77777777" w:rsidR="00EA6F18" w:rsidRPr="00EA6F18" w:rsidRDefault="00EA6F18" w:rsidP="00EA6F1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Large Food Manufacturing Factory:</w:t>
      </w:r>
    </w:p>
    <w:p w14:paraId="2E93F673" w14:textId="77777777" w:rsidR="00EA6F18" w:rsidRPr="00EA6F18" w:rsidRDefault="00EA6F18" w:rsidP="00EA6F18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Tests:</w:t>
      </w:r>
    </w:p>
    <w:p w14:paraId="7D626E98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 22000: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Ensure compliance with food safety standards through rigorous testing (</w:t>
      </w:r>
      <w:proofErr w:type="spellStart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Kheradia</w:t>
      </w:r>
      <w:proofErr w:type="spellEnd"/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&amp; Warriner, 2013).</w:t>
      </w:r>
    </w:p>
    <w:p w14:paraId="4439AEBC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 9001: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Evaluate process efficiency and product quality consistency (Hoyle, 2017).</w:t>
      </w:r>
    </w:p>
    <w:p w14:paraId="73F14353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ISO/IEC 27001: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Test the security of sensitive information and supply chain data (Humphreys, 2016).</w:t>
      </w:r>
    </w:p>
    <w:p w14:paraId="09B0CFFA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Lean Six Sigma:</w:t>
      </w: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Assess manufacturing processes for efficiency and waste reduction (Antony et al., 2016).</w:t>
      </w:r>
    </w:p>
    <w:p w14:paraId="5F2750DB" w14:textId="77777777" w:rsidR="00EA6F18" w:rsidRPr="00EA6F18" w:rsidRDefault="00EA6F18" w:rsidP="00EA6F18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Recommendations:</w:t>
      </w:r>
    </w:p>
    <w:p w14:paraId="0255D3C1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Strengthen food safety practices by adhering to ISO 22000 standards.</w:t>
      </w:r>
    </w:p>
    <w:p w14:paraId="31A93FB2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Implement ISO 9001 practices to ensure consistent product quality.</w:t>
      </w:r>
    </w:p>
    <w:p w14:paraId="44FD6C6D" w14:textId="77777777" w:rsidR="00EA6F18" w:rsidRPr="00EA6F1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Secure sensitive information with an ISMS compliant with ISO/IEC 27001.</w:t>
      </w:r>
    </w:p>
    <w:p w14:paraId="49357D7F" w14:textId="77777777" w:rsidR="00EA6F18" w:rsidRPr="00A313E8" w:rsidRDefault="00EA6F18" w:rsidP="00EA6F18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EA6F1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Apply Lean Six Sigma to optimize manufacturing processes and reduce waste.</w:t>
      </w:r>
    </w:p>
    <w:p w14:paraId="223FA540" w14:textId="77777777" w:rsidR="008C5DA8" w:rsidRP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b/>
          <w:bCs/>
          <w:color w:val="4C5A73"/>
          <w:kern w:val="0"/>
          <w:lang w:eastAsia="de-DE"/>
          <w14:ligatures w14:val="none"/>
        </w:rPr>
        <w:t>References</w:t>
      </w:r>
    </w:p>
    <w:p w14:paraId="7EB35366" w14:textId="78005F08" w:rsid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Antony, J., </w:t>
      </w:r>
      <w:proofErr w:type="spellStart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Snee</w:t>
      </w:r>
      <w:proofErr w:type="spellEnd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, R. D., &amp; </w:t>
      </w:r>
      <w:proofErr w:type="spellStart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Hoerl</w:t>
      </w:r>
      <w:proofErr w:type="spellEnd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, R. W. (2016) Lean Six Sigma: Yesterday, Today and Tomorrow.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 xml:space="preserve"> International Journal of Quality &amp; Reliability Management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33(6)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: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1075-1093.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DOI: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</w:t>
      </w:r>
      <w:hyperlink r:id="rId5" w:history="1">
        <w:r w:rsidR="0043388D" w:rsidRPr="008C5DA8">
          <w:rPr>
            <w:rStyle w:val="Hyperlink"/>
            <w:rFonts w:ascii="Arial" w:eastAsia="Times New Roman" w:hAnsi="Arial" w:cs="Arial"/>
            <w:kern w:val="0"/>
            <w:lang w:eastAsia="de-DE"/>
            <w14:ligatures w14:val="none"/>
          </w:rPr>
          <w:t>https://doi.org/10.1108/IJQRM-03-2015-0035</w:t>
        </w:r>
      </w:hyperlink>
    </w:p>
    <w:p w14:paraId="31E6D654" w14:textId="426C435A" w:rsidR="0043388D" w:rsidRPr="008C5DA8" w:rsidRDefault="0043388D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proofErr w:type="spellStart"/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Barafort</w:t>
      </w:r>
      <w:proofErr w:type="spellEnd"/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, B.</w:t>
      </w:r>
      <w:r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et al. </w:t>
      </w:r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(2018) Integrating risk management in IT settings from ISO standards and management systems perspectives. </w:t>
      </w:r>
      <w:r w:rsidRPr="0043388D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Computer Standards &amp; Interfaces</w:t>
      </w:r>
      <w:r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</w:t>
      </w:r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60</w:t>
      </w:r>
      <w:r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: </w:t>
      </w:r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95-111. </w:t>
      </w:r>
      <w:r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DOI: </w:t>
      </w:r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https://doi.org/10.1016/j.csi.2018.04.011</w:t>
      </w:r>
    </w:p>
    <w:p w14:paraId="40937760" w14:textId="186029B6" w:rsidR="008C5DA8" w:rsidRP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Braunstein, M. L. (2014) Health Informatics in the Cloud. 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Springer.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DOI: 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https://doi.org/10.1007/978-1-4614-9529-7</w:t>
      </w:r>
    </w:p>
    <w:p w14:paraId="7457795C" w14:textId="0630EFFC" w:rsidR="008C5DA8" w:rsidRP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lastRenderedPageBreak/>
        <w:t xml:space="preserve">De Haes, S., &amp; Van </w:t>
      </w:r>
      <w:proofErr w:type="spellStart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Grembergen</w:t>
      </w:r>
      <w:proofErr w:type="spellEnd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, W. (2015) Enterprise Governance of Information Technology: Achieving Alignment and Value, Featuring COBIT 5. 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Springer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. 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DOI: 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https://doi.org/10.1007/978-3-319-14547-1</w:t>
      </w:r>
    </w:p>
    <w:p w14:paraId="5AD7B64E" w14:textId="3BC43236" w:rsidR="008C5DA8" w:rsidRP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Hochstein, A., Tamm, G., &amp; Brenner, W. (2005) Service-oriented IT management: Benefit, cost and success factors. 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Proceedings of the European Conference on Information Systems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 (ECIS 2005)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Available from </w:t>
      </w:r>
      <w:hyperlink r:id="rId6" w:history="1">
        <w:r w:rsidR="00252CA7" w:rsidRPr="008C5DA8">
          <w:rPr>
            <w:rStyle w:val="Hyperlink"/>
            <w:rFonts w:ascii="Arial" w:eastAsia="Times New Roman" w:hAnsi="Arial" w:cs="Arial"/>
            <w:kern w:val="0"/>
            <w:lang w:eastAsia="de-DE"/>
            <w14:ligatures w14:val="none"/>
          </w:rPr>
          <w:t>https://aisel.aisnet.org/ecis2005/100/</w:t>
        </w:r>
      </w:hyperlink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[Accessed 01. September 2024]</w:t>
      </w:r>
    </w:p>
    <w:p w14:paraId="2079C027" w14:textId="27009624" w:rsidR="008C5DA8" w:rsidRP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Hoyle, D. (2017) ISO 9001:2015: An Introduction to the Global Standard for Quality Management Systems. 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Routledge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. 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DOI: 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https://doi.org/10.4324/9781315267444</w:t>
      </w:r>
    </w:p>
    <w:p w14:paraId="79CD6EA2" w14:textId="375BD28F" w:rsidR="008C5DA8" w:rsidRP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Humphreys, E. (2016) Information Security Management Standards: Compliance, Governance and Risk Management. 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BCS, The Chartered Institute for IT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. 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Available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from </w:t>
      </w:r>
      <w:hyperlink r:id="rId7" w:history="1">
        <w:r w:rsidR="00252CA7" w:rsidRPr="008C5DA8">
          <w:rPr>
            <w:rStyle w:val="Hyperlink"/>
            <w:rFonts w:ascii="Arial" w:eastAsia="Times New Roman" w:hAnsi="Arial" w:cs="Arial"/>
            <w:kern w:val="0"/>
            <w:lang w:eastAsia="de-DE"/>
            <w14:ligatures w14:val="none"/>
          </w:rPr>
          <w:t>https://shop.bcs.org/store/221/detail/workgroup?id=9b70bc9c-7ac0-4a88-8729-e37b5d17d818</w:t>
        </w:r>
      </w:hyperlink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[Accessed 01. September 2024]</w:t>
      </w:r>
    </w:p>
    <w:p w14:paraId="591A2E38" w14:textId="0E9C5F06" w:rsidR="008C5DA8" w:rsidRDefault="008C5DA8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proofErr w:type="spellStart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Kheradia</w:t>
      </w:r>
      <w:proofErr w:type="spellEnd"/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, A., &amp; Warriner, K. (2013) Understanding the Science Behind Food Safety and Its Impact on Public Health. </w:t>
      </w:r>
      <w:r w:rsidRPr="008C5DA8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>Microbial Risk Analysis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1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:</w:t>
      </w:r>
      <w:r w:rsidRPr="008C5DA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43-52. </w:t>
      </w:r>
      <w:r w:rsidR="00252CA7"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DOI: </w:t>
      </w:r>
      <w:hyperlink r:id="rId8" w:history="1">
        <w:r w:rsidR="0043388D" w:rsidRPr="008C5DA8">
          <w:rPr>
            <w:rStyle w:val="Hyperlink"/>
            <w:rFonts w:ascii="Arial" w:eastAsia="Times New Roman" w:hAnsi="Arial" w:cs="Arial"/>
            <w:kern w:val="0"/>
            <w:lang w:eastAsia="de-DE"/>
            <w14:ligatures w14:val="none"/>
          </w:rPr>
          <w:t>https://doi.org/10.1016/j.mran.2015.03.001</w:t>
        </w:r>
      </w:hyperlink>
    </w:p>
    <w:p w14:paraId="36F8D38C" w14:textId="04D4BE32" w:rsidR="0043388D" w:rsidRPr="008C5DA8" w:rsidRDefault="0043388D" w:rsidP="008C5DA8">
      <w:pPr>
        <w:spacing w:before="100" w:beforeAutospacing="1" w:after="100" w:afterAutospacing="1"/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</w:pPr>
      <w:proofErr w:type="spellStart"/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Kirvan</w:t>
      </w:r>
      <w:proofErr w:type="spellEnd"/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, P. (2021) A guide to IT governance frameworks: COBIT, ITIL, ISO/IEC 27001 and more. </w:t>
      </w:r>
      <w:r w:rsidRPr="0043388D">
        <w:rPr>
          <w:rFonts w:ascii="Arial" w:eastAsia="Times New Roman" w:hAnsi="Arial" w:cs="Arial"/>
          <w:i/>
          <w:iCs/>
          <w:color w:val="4C5A73"/>
          <w:kern w:val="0"/>
          <w:lang w:eastAsia="de-DE"/>
          <w14:ligatures w14:val="none"/>
        </w:rPr>
        <w:t xml:space="preserve">TechTarget. </w:t>
      </w:r>
      <w:r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Available</w:t>
      </w:r>
      <w:r w:rsidRPr="0043388D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from </w:t>
      </w:r>
      <w:hyperlink r:id="rId9" w:history="1">
        <w:r w:rsidRPr="000208A4">
          <w:rPr>
            <w:rStyle w:val="Hyperlink"/>
            <w:rFonts w:ascii="Arial" w:eastAsia="Times New Roman" w:hAnsi="Arial" w:cs="Arial"/>
            <w:kern w:val="0"/>
            <w:lang w:eastAsia="de-DE"/>
            <w14:ligatures w14:val="none"/>
          </w:rPr>
          <w:t>https://www.techtarget.com/searchcio/tip/A-guide-to-IT-governance-frameworks-COBIT-ITIL-ISO-IEC-27001-and-more</w:t>
        </w:r>
      </w:hyperlink>
      <w:r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 xml:space="preserve"> </w:t>
      </w:r>
      <w:r w:rsidRPr="00A313E8">
        <w:rPr>
          <w:rFonts w:ascii="Arial" w:eastAsia="Times New Roman" w:hAnsi="Arial" w:cs="Arial"/>
          <w:color w:val="4C5A73"/>
          <w:kern w:val="0"/>
          <w:lang w:eastAsia="de-DE"/>
          <w14:ligatures w14:val="none"/>
        </w:rPr>
        <w:t>[Accessed 01. September 2024]</w:t>
      </w:r>
    </w:p>
    <w:p w14:paraId="3CC00375" w14:textId="77777777" w:rsidR="00EA6F18" w:rsidRPr="00A313E8" w:rsidRDefault="00EA6F18" w:rsidP="008C5DA8">
      <w:pPr>
        <w:spacing w:before="100" w:beforeAutospacing="1" w:after="100" w:afterAutospacing="1"/>
      </w:pPr>
    </w:p>
    <w:sectPr w:rsidR="00EA6F18" w:rsidRPr="00A313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639"/>
    <w:multiLevelType w:val="multilevel"/>
    <w:tmpl w:val="EC72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90635"/>
    <w:multiLevelType w:val="multilevel"/>
    <w:tmpl w:val="9B5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10F5"/>
    <w:multiLevelType w:val="multilevel"/>
    <w:tmpl w:val="5F3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C5707"/>
    <w:multiLevelType w:val="multilevel"/>
    <w:tmpl w:val="EE4E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67444"/>
    <w:multiLevelType w:val="multilevel"/>
    <w:tmpl w:val="61D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958F2"/>
    <w:multiLevelType w:val="multilevel"/>
    <w:tmpl w:val="204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21A53"/>
    <w:multiLevelType w:val="multilevel"/>
    <w:tmpl w:val="235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A7EA8"/>
    <w:multiLevelType w:val="multilevel"/>
    <w:tmpl w:val="9AC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723E9"/>
    <w:multiLevelType w:val="multilevel"/>
    <w:tmpl w:val="B7C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0558E"/>
    <w:multiLevelType w:val="multilevel"/>
    <w:tmpl w:val="C60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F113C"/>
    <w:multiLevelType w:val="multilevel"/>
    <w:tmpl w:val="99A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B3B15"/>
    <w:multiLevelType w:val="multilevel"/>
    <w:tmpl w:val="AFD8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B0138"/>
    <w:multiLevelType w:val="multilevel"/>
    <w:tmpl w:val="EE4E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F1BF6"/>
    <w:multiLevelType w:val="multilevel"/>
    <w:tmpl w:val="B80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94683"/>
    <w:multiLevelType w:val="multilevel"/>
    <w:tmpl w:val="B32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828C7"/>
    <w:multiLevelType w:val="multilevel"/>
    <w:tmpl w:val="44E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60685">
    <w:abstractNumId w:val="12"/>
  </w:num>
  <w:num w:numId="2" w16cid:durableId="1255823149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45319995">
    <w:abstractNumId w:val="15"/>
  </w:num>
  <w:num w:numId="4" w16cid:durableId="1298416997">
    <w:abstractNumId w:val="14"/>
  </w:num>
  <w:num w:numId="5" w16cid:durableId="1879002910">
    <w:abstractNumId w:val="0"/>
  </w:num>
  <w:num w:numId="6" w16cid:durableId="950359300">
    <w:abstractNumId w:val="11"/>
  </w:num>
  <w:num w:numId="7" w16cid:durableId="1023675354">
    <w:abstractNumId w:val="6"/>
  </w:num>
  <w:num w:numId="8" w16cid:durableId="334962181">
    <w:abstractNumId w:val="8"/>
  </w:num>
  <w:num w:numId="9" w16cid:durableId="268244997">
    <w:abstractNumId w:val="9"/>
  </w:num>
  <w:num w:numId="10" w16cid:durableId="1487089332">
    <w:abstractNumId w:val="5"/>
  </w:num>
  <w:num w:numId="11" w16cid:durableId="38823313">
    <w:abstractNumId w:val="10"/>
  </w:num>
  <w:num w:numId="12" w16cid:durableId="1483040590">
    <w:abstractNumId w:val="4"/>
  </w:num>
  <w:num w:numId="13" w16cid:durableId="1935279544">
    <w:abstractNumId w:val="3"/>
  </w:num>
  <w:num w:numId="14" w16cid:durableId="2009869163">
    <w:abstractNumId w:val="2"/>
  </w:num>
  <w:num w:numId="15" w16cid:durableId="1852647480">
    <w:abstractNumId w:val="13"/>
  </w:num>
  <w:num w:numId="16" w16cid:durableId="1997805867">
    <w:abstractNumId w:val="1"/>
  </w:num>
  <w:num w:numId="17" w16cid:durableId="196354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18"/>
    <w:rsid w:val="0007595F"/>
    <w:rsid w:val="000B4998"/>
    <w:rsid w:val="00176D15"/>
    <w:rsid w:val="00252CA7"/>
    <w:rsid w:val="003629EE"/>
    <w:rsid w:val="0043388D"/>
    <w:rsid w:val="00833AE5"/>
    <w:rsid w:val="008C5DA8"/>
    <w:rsid w:val="00A313E8"/>
    <w:rsid w:val="00B7499A"/>
    <w:rsid w:val="00BF1FCA"/>
    <w:rsid w:val="00EA6F18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AEFF"/>
  <w15:chartTrackingRefBased/>
  <w15:docId w15:val="{F52EB84A-8534-0D48-A828-46105664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6F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6F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6F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6F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6F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6F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6F1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6F1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6F18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6F1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6F18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6F1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6F18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EA6F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6F1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6F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6F1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EA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6F18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EA6F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6F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6F18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EA6F1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A6F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EA6F18"/>
  </w:style>
  <w:style w:type="character" w:styleId="Hyperlink">
    <w:name w:val="Hyperlink"/>
    <w:basedOn w:val="Absatz-Standardschriftart"/>
    <w:uiPriority w:val="99"/>
    <w:unhideWhenUsed/>
    <w:rsid w:val="00EA6F1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mran.2015.03.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bcs.org/store/221/detail/workgroup?id=9b70bc9c-7ac0-4a88-8729-e37b5d17d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el.aisnet.org/ecis2005/1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8/IJQRM-03-2015-00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cio/tip/A-guide-to-IT-governance-frameworks-COBIT-ITIL-ISO-IEC-27001-and-m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Bösche</dc:creator>
  <cp:keywords/>
  <dc:description/>
  <cp:lastModifiedBy>Philipp Bösche</cp:lastModifiedBy>
  <cp:revision>3</cp:revision>
  <dcterms:created xsi:type="dcterms:W3CDTF">2024-09-01T14:15:00Z</dcterms:created>
  <dcterms:modified xsi:type="dcterms:W3CDTF">2024-09-01T15:04:00Z</dcterms:modified>
</cp:coreProperties>
</file>