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7.png" ContentType="image/png"/>
  <Override PartName="/word/media/rId118.png" ContentType="image/png"/>
  <Override PartName="/word/media/rId119.png" ContentType="image/png"/>
  <Override PartName="/word/media/rId148.png" ContentType="image/png"/>
  <Override PartName="/word/media/rId149.png" ContentType="image/png"/>
  <Override PartName="/word/media/rId159.png" ContentType="image/png"/>
  <Override PartName="/word/media/rId164.png" ContentType="image/png"/>
  <Override PartName="/word/media/rId170.png" ContentType="image/png"/>
  <Override PartName="/word/media/rId171.png" ContentType="image/png"/>
  <Override PartName="/word/media/rId172.png" ContentType="image/png"/>
  <Override PartName="/word/media/rId174.png" ContentType="image/png"/>
  <Override PartName="/word/media/rId175.png" ContentType="image/png"/>
  <Override PartName="/word/media/rId176.png" ContentType="image/png"/>
  <Override PartName="/word/media/rId177.png" ContentType="image/png"/>
  <Override PartName="/word/media/rId32.jpg" ContentType="image/jpeg"/>
  <Override PartName="/word/media/rId34.png" ContentType="image/png"/>
  <Override PartName="/word/media/rId99.png" ContentType="image/png"/>
  <Override PartName="/word/media/rId141.png" ContentType="image/png"/>
  <Override PartName="/word/media/rId10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07</w:t>
      </w:r>
      <w:r>
        <w:t xml:space="preserve"> </w:t>
      </w:r>
      <w:r>
        <w:t xml:space="preserve">März,</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berschrift1"/>
      </w:pPr>
      <w:bookmarkStart w:id="51" w:name="core"/>
      <w:r>
        <w:t xml:space="preserve">2	Core concepts</w:t>
      </w:r>
      <w:bookmarkEnd w:id="51"/>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2" w:name="variables"/>
      <w:r>
        <w:t xml:space="preserve">2.1	Variables</w:t>
      </w:r>
      <w:bookmarkEnd w:id="52"/>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3" w:name="algorithms-and-functions"/>
      <w:r>
        <w:t xml:space="preserve">2.2	Algorithms and functions</w:t>
      </w:r>
      <w:bookmarkEnd w:id="53"/>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4" w:name="libraries"/>
      <w:r>
        <w:t xml:space="preserve">2.3	Libraries</w:t>
      </w:r>
      <w:bookmarkEnd w:id="54"/>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5">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6">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7">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8" w:name="complex-data-types"/>
      <w:r>
        <w:t xml:space="preserve">3	Complex Data Types</w:t>
      </w:r>
      <w:bookmarkEnd w:id="58"/>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59" w:name="vectors"/>
      <w:r>
        <w:t xml:space="preserve">3.1	Vectors</w:t>
      </w:r>
      <w:bookmarkEnd w:id="59"/>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0" w:name="vector-element-selection"/>
      <w:r>
        <w:t xml:space="preserve">3.1.1	Vector element selection</w:t>
      </w:r>
      <w:bookmarkEnd w:id="60"/>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1" w:name="functions-on-vectors"/>
      <w:r>
        <w:t xml:space="preserve">3.1.2	Functions on vectors</w:t>
      </w:r>
      <w:bookmarkEnd w:id="61"/>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2">
        <w:r>
          <w:rPr>
            <w:rStyle w:val="Hyperlink"/>
          </w:rPr>
          <w:t xml:space="preserve">Programming with R</w:t>
        </w:r>
      </w:hyperlink>
    </w:p>
    <w:p>
      <w:pPr>
        <w:pStyle w:val="berschrift2"/>
      </w:pPr>
      <w:bookmarkStart w:id="63" w:name="multi-dimensional-data-types"/>
      <w:r>
        <w:t xml:space="preserve">3.2	Multi-dimensional data types</w:t>
      </w:r>
      <w:bookmarkEnd w:id="63"/>
    </w:p>
    <w:p>
      <w:pPr>
        <w:pStyle w:val="berschrift3"/>
      </w:pPr>
      <w:bookmarkStart w:id="64" w:name="matrices"/>
      <w:r>
        <w:t xml:space="preserve">3.2.1	Matrices</w:t>
      </w:r>
      <w:bookmarkEnd w:id="64"/>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5">
        <w:r>
          <w:rPr>
            <w:rStyle w:val="Hyperlink"/>
          </w:rPr>
          <w:t xml:space="preserve">Quick-R</w:t>
        </w:r>
      </w:hyperlink>
      <w:r>
        <w:t xml:space="preserve">.</w:t>
      </w:r>
    </w:p>
    <w:p>
      <w:pPr>
        <w:pStyle w:val="berschrift3"/>
      </w:pPr>
      <w:bookmarkStart w:id="66" w:name="arrays"/>
      <w:r>
        <w:t xml:space="preserve">3.2.2	Arrays</w:t>
      </w:r>
      <w:bookmarkEnd w:id="66"/>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7" w:name="selection"/>
      <w:r>
        <w:t xml:space="preserve">3.2.3	Selection</w:t>
      </w:r>
      <w:bookmarkEnd w:id="67"/>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8" w:name="list"/>
      <w:r>
        <w:t xml:space="preserve">3.2.4	List</w:t>
      </w:r>
      <w:bookmarkEnd w:id="68"/>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9" w:name="data-frame"/>
      <w:r>
        <w:t xml:space="preserve">3.2.5	Data Frame</w:t>
      </w:r>
      <w:bookmarkEnd w:id="69"/>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0" w:name="control-structures"/>
      <w:r>
        <w:t xml:space="preserve">4	Control structures</w:t>
      </w:r>
      <w:bookmarkEnd w:id="70"/>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1" w:name="if"/>
      <w:r>
        <w:t xml:space="preserve">4.1	If</w:t>
      </w:r>
      <w:bookmarkEnd w:id="71"/>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2">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3" w:name="else"/>
      <w:r>
        <w:t xml:space="preserve">4.2	Else</w:t>
      </w:r>
      <w:bookmarkEnd w:id="73"/>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4" w:name="code-blocks"/>
      <w:r>
        <w:t xml:space="preserve">4.3	Code blocks</w:t>
      </w:r>
      <w:bookmarkEnd w:id="74"/>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5" w:name="loops"/>
      <w:r>
        <w:t xml:space="preserve">4.4	Loops</w:t>
      </w:r>
      <w:bookmarkEnd w:id="75"/>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6" w:name="while"/>
      <w:r>
        <w:t xml:space="preserve">4.4.1	While</w:t>
      </w:r>
      <w:bookmarkEnd w:id="76"/>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7" w:name="for"/>
      <w:r>
        <w:t xml:space="preserve">4.4.2	For</w:t>
      </w:r>
      <w:bookmarkEnd w:id="77"/>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8" w:name="loops-with-conditional-statements"/>
      <w:r>
        <w:t xml:space="preserve">4.5	Loops with conditional statements</w:t>
      </w:r>
      <w:bookmarkEnd w:id="78"/>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9" w:name="functions"/>
      <w:r>
        <w:t xml:space="preserve">5	Functions</w:t>
      </w:r>
      <w:bookmarkEnd w:id="79"/>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0" w:name="defining-functions"/>
      <w:r>
        <w:t xml:space="preserve">5.1	Defining functions</w:t>
      </w:r>
      <w:bookmarkEnd w:id="80"/>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1" w:name="more-parameters"/>
      <w:r>
        <w:t xml:space="preserve">5.2	More parameters</w:t>
      </w:r>
      <w:bookmarkEnd w:id="81"/>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2" w:name="more-return-values"/>
      <w:r>
        <w:t xml:space="preserve">5.3	More return values</w:t>
      </w:r>
      <w:bookmarkEnd w:id="82"/>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3" w:name="functions-and-control-structures"/>
      <w:r>
        <w:t xml:space="preserve">5.4	Functions and control structures</w:t>
      </w:r>
      <w:bookmarkEnd w:id="83"/>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4" w:name="scope"/>
      <w:r>
        <w:t xml:space="preserve">5.5	Scope</w:t>
      </w:r>
      <w:bookmarkEnd w:id="84"/>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5">
        <w:r>
          <w:rPr>
            <w:rStyle w:val="Hyperlink"/>
          </w:rPr>
          <w:t xml:space="preserve">Base R Cheatsheet</w:t>
        </w:r>
      </w:hyperlink>
      <w:r>
        <w:t xml:space="preserve"> </w:t>
      </w:r>
      <w:r>
        <w:t xml:space="preserve">contains a concise summary of most important operations at a glance.</w:t>
      </w:r>
    </w:p>
    <w:p>
      <w:pPr>
        <w:pStyle w:val="berschrift1"/>
      </w:pPr>
      <w:bookmarkStart w:id="86" w:name="data-wrangling"/>
      <w:r>
        <w:t xml:space="preserve">6	Data wrangling</w:t>
      </w:r>
      <w:bookmarkEnd w:id="86"/>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7">
        <w:r>
          <w:rPr>
            <w:rStyle w:val="Hyperlink"/>
          </w:rPr>
          <w:t xml:space="preserve">tibbles</w:t>
        </w:r>
      </w:hyperlink>
      <w:r>
        <w:t xml:space="preserve"> </w:t>
      </w:r>
      <w:r>
        <w:t xml:space="preserve">as a new complex data type. Tibbles are basically a lightweight version of data frames (see</w:t>
      </w:r>
      <w:r>
        <w:t xml:space="preserve"> </w:t>
      </w:r>
      <w:hyperlink r:id="rId88">
        <w:r>
          <w:rPr>
            <w:rStyle w:val="Hyperlink"/>
          </w:rPr>
          <w:t xml:space="preserve">Tibbles in R for Data Science</w:t>
        </w:r>
      </w:hyperlink>
      <w:r>
        <w:t xml:space="preserve">).</w:t>
      </w:r>
    </w:p>
    <w:p>
      <w:pPr>
        <w:pStyle w:val="berschrift2"/>
      </w:pPr>
      <w:bookmarkStart w:id="89" w:name="preparation"/>
      <w:r>
        <w:t xml:space="preserve">6.1	Preparation</w:t>
      </w:r>
      <w:bookmarkEnd w:id="89"/>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7">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0" w:name="data-manipulation"/>
      <w:r>
        <w:t xml:space="preserve">6.2	Data manipulation</w:t>
      </w:r>
      <w:bookmarkEnd w:id="90"/>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1">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2" w:name="summarise"/>
      <w:r>
        <w:t xml:space="preserve">6.2.1	Summarise</w:t>
      </w:r>
      <w:bookmarkEnd w:id="92"/>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3" w:name="select-and-filter"/>
      <w:r>
        <w:t xml:space="preserve">6.2.2	Select and filter</w:t>
      </w:r>
      <w:bookmarkEnd w:id="93"/>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4" w:name="mutate"/>
      <w:r>
        <w:t xml:space="preserve">6.2.3	Mutate</w:t>
      </w:r>
      <w:bookmarkEnd w:id="94"/>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5" w:name="arrange"/>
      <w:r>
        <w:t xml:space="preserve">6.2.4	Arrange</w:t>
      </w:r>
      <w:bookmarkEnd w:id="95"/>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6" w:name="exercise-data-manipulation"/>
      <w:r>
        <w:t xml:space="preserve">6.2.5	Exercise: data manipulation</w:t>
      </w:r>
      <w:bookmarkEnd w:id="96"/>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7">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8">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9"/>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0">
        <w:r>
          <w:rPr>
            <w:rStyle w:val="Hyperlink"/>
          </w:rPr>
          <w:t xml:space="preserve">my solution</w:t>
        </w:r>
      </w:hyperlink>
      <w:r>
        <w:t xml:space="preserve">!</w:t>
      </w:r>
    </w:p>
    <w:p>
      <w:pPr>
        <w:pStyle w:val="berschrift2"/>
      </w:pPr>
      <w:bookmarkStart w:id="101" w:name="join"/>
      <w:r>
        <w:t xml:space="preserve">6.3	Join</w:t>
      </w:r>
      <w:bookmarkEnd w:id="101"/>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7">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2"/>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3">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4" w:name="exercise-join"/>
      <w:r>
        <w:t xml:space="preserve">6.3.1	Exercise: join</w:t>
      </w:r>
      <w:bookmarkEnd w:id="104"/>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0">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5">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106">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6">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3-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7-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0">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1">
        <w:r>
          <w:rPr>
            <w:rStyle w:val="Hyperlink"/>
          </w:rPr>
          <w:t xml:space="preserve">sf cheatsheets</w:t>
        </w:r>
      </w:hyperlink>
      <w:r>
        <w:t xml:space="preserve">.</w:t>
      </w:r>
    </w:p>
    <w:p>
      <w:pPr>
        <w:pStyle w:val="Textkrper"/>
      </w:pPr>
      <w:r>
        <w:t xml:space="preserve">In order to test the code on your machine,</w:t>
      </w:r>
      <w:r>
        <w:t xml:space="preserve"> </w:t>
      </w:r>
      <w:hyperlink r:id="rId122">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3">
        <w:r>
          <w:rPr>
            <w:rStyle w:val="Hyperlink"/>
          </w:rPr>
          <w:t xml:space="preserve">documentation</w:t>
        </w:r>
      </w:hyperlink>
      <w:r>
        <w:t xml:space="preserve"> </w:t>
      </w:r>
      <w:r>
        <w:t xml:space="preserve">for more information.</w:t>
      </w:r>
    </w:p>
    <w:p>
      <w:pPr>
        <w:pStyle w:val="Textkrper"/>
      </w:pPr>
      <w:r>
        <w:t xml:space="preserve">See</w:t>
      </w:r>
      <w:r>
        <w:t xml:space="preserve"> </w:t>
      </w:r>
      <w:hyperlink r:id="rId124">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5">
        <w:r>
          <w:rPr>
            <w:rStyle w:val="Hyperlink"/>
          </w:rPr>
          <w:t xml:space="preserve">raster: Geographic Data Analysis and Modeling</w:t>
        </w:r>
      </w:hyperlink>
      <w:r>
        <w:t xml:space="preserve">)</w:t>
      </w:r>
    </w:p>
    <w:p>
      <w:pPr>
        <w:pStyle w:val="berschrift2"/>
      </w:pPr>
      <w:bookmarkStart w:id="126" w:name="data-api"/>
      <w:r>
        <w:t xml:space="preserve">7.3	Data API</w:t>
      </w:r>
      <w:bookmarkEnd w:id="126"/>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7">
        <w:r>
          <w:rPr>
            <w:rStyle w:val="Hyperlink"/>
          </w:rPr>
          <w:t xml:space="preserve">APIs</w:t>
        </w:r>
      </w:hyperlink>
      <w:r>
        <w:t xml:space="preserve"> </w:t>
      </w:r>
      <w:r>
        <w:t xml:space="preserve">offered by</w:t>
      </w:r>
      <w:r>
        <w:t xml:space="preserve"> </w:t>
      </w:r>
      <w:hyperlink r:id="rId128">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9">
        <w:r>
          <w:rPr>
            <w:rStyle w:val="Hyperlink"/>
          </w:rPr>
          <w:t xml:space="preserve">Current Weather API</w:t>
        </w:r>
      </w:hyperlink>
      <w:r>
        <w:t xml:space="preserve">, which is one out of currently</w:t>
      </w:r>
      <w:r>
        <w:t xml:space="preserve"> </w:t>
      </w:r>
      <w:hyperlink r:id="rId130">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1">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274</w:t>
      </w:r>
      <w:r>
        <w:br/>
      </w:r>
      <w:r>
        <w:rPr>
          <w:rStyle w:val="VerbatimChar"/>
        </w:rPr>
        <w:t xml:space="preserve">##   ..$ feels_like: num 269</w:t>
      </w:r>
      <w:r>
        <w:br/>
      </w:r>
      <w:r>
        <w:rPr>
          <w:rStyle w:val="VerbatimChar"/>
        </w:rPr>
        <w:t xml:space="preserve">##   ..$ temp_min  : num 273</w:t>
      </w:r>
      <w:r>
        <w:br/>
      </w:r>
      <w:r>
        <w:rPr>
          <w:rStyle w:val="VerbatimChar"/>
        </w:rPr>
        <w:t xml:space="preserve">##   ..$ temp_max  : num 277</w:t>
      </w:r>
      <w:r>
        <w:br/>
      </w:r>
      <w:r>
        <w:rPr>
          <w:rStyle w:val="VerbatimChar"/>
        </w:rPr>
        <w:t xml:space="preserve">##   ..$ pressure  : int 1023</w:t>
      </w:r>
      <w:r>
        <w:br/>
      </w:r>
      <w:r>
        <w:rPr>
          <w:rStyle w:val="VerbatimChar"/>
        </w:rPr>
        <w:t xml:space="preserve">##   ..$ humidity  : int 66</w:t>
      </w:r>
      <w:r>
        <w:br/>
      </w:r>
      <w:r>
        <w:rPr>
          <w:rStyle w:val="VerbatimChar"/>
        </w:rPr>
        <w:t xml:space="preserve">##  $ visibility: int 10000</w:t>
      </w:r>
      <w:r>
        <w:br/>
      </w:r>
      <w:r>
        <w:rPr>
          <w:rStyle w:val="VerbatimChar"/>
        </w:rPr>
        <w:t xml:space="preserve">##  $ wind      :List of 2</w:t>
      </w:r>
      <w:r>
        <w:br/>
      </w:r>
      <w:r>
        <w:rPr>
          <w:rStyle w:val="VerbatimChar"/>
        </w:rPr>
        <w:t xml:space="preserve">##   ..$ speed: num 5.66</w:t>
      </w:r>
      <w:r>
        <w:br/>
      </w:r>
      <w:r>
        <w:rPr>
          <w:rStyle w:val="VerbatimChar"/>
        </w:rPr>
        <w:t xml:space="preserve">##   ..$ deg  : int 10</w:t>
      </w:r>
      <w:r>
        <w:br/>
      </w:r>
      <w:r>
        <w:rPr>
          <w:rStyle w:val="VerbatimChar"/>
        </w:rPr>
        <w:t xml:space="preserve">##  $ clouds    :List of 1</w:t>
      </w:r>
      <w:r>
        <w:br/>
      </w:r>
      <w:r>
        <w:rPr>
          <w:rStyle w:val="VerbatimChar"/>
        </w:rPr>
        <w:t xml:space="preserve">##   ..$ all: int 75</w:t>
      </w:r>
      <w:r>
        <w:br/>
      </w:r>
      <w:r>
        <w:rPr>
          <w:rStyle w:val="VerbatimChar"/>
        </w:rPr>
        <w:t xml:space="preserve">##  $ dt        : int 1646654322</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1646631459</w:t>
      </w:r>
      <w:r>
        <w:br/>
      </w:r>
      <w:r>
        <w:rPr>
          <w:rStyle w:val="VerbatimChar"/>
        </w:rPr>
        <w:t xml:space="preserve">##   ..$ sunset : int 1646672433</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9">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2">
        <w:r>
          <w:rPr>
            <w:rStyle w:val="Hyperlink"/>
          </w:rPr>
          <w:t xml:space="preserve">Tidyverse</w:t>
        </w:r>
      </w:hyperlink>
      <w:r>
        <w:t xml:space="preserve"> </w:t>
      </w:r>
      <w:r>
        <w:t xml:space="preserve">also provides other packages for reading data such as</w:t>
      </w:r>
      <w:r>
        <w:t xml:space="preserve"> </w:t>
      </w:r>
      <w:hyperlink r:id="rId133">
        <w:r>
          <w:rPr>
            <w:rStyle w:val="Hyperlink"/>
          </w:rPr>
          <w:t xml:space="preserve">DBI</w:t>
        </w:r>
      </w:hyperlink>
      <w:r>
        <w:t xml:space="preserve"> </w:t>
      </w:r>
      <w:r>
        <w:t xml:space="preserve">for relational databases</w:t>
      </w:r>
      <w:r>
        <w:t xml:space="preserve"> </w:t>
      </w:r>
      <w:hyperlink r:id="rId134">
        <w:r>
          <w:rPr>
            <w:rStyle w:val="Hyperlink"/>
          </w:rPr>
          <w:t xml:space="preserve">jsonlite</w:t>
        </w:r>
      </w:hyperlink>
      <w:r>
        <w:t xml:space="preserve"> </w:t>
      </w:r>
      <w:r>
        <w:t xml:space="preserve">for JSON and</w:t>
      </w:r>
      <w:r>
        <w:t xml:space="preserve"> </w:t>
      </w:r>
      <w:hyperlink r:id="rId135">
        <w:r>
          <w:rPr>
            <w:rStyle w:val="Hyperlink"/>
          </w:rPr>
          <w:t xml:space="preserve">xml2</w:t>
        </w:r>
      </w:hyperlink>
      <w:r>
        <w:t xml:space="preserve"> </w:t>
      </w:r>
      <w:r>
        <w:t xml:space="preserve">for XML.</w:t>
      </w:r>
    </w:p>
    <w:p>
      <w:pPr>
        <w:pStyle w:val="berschrift1"/>
      </w:pPr>
      <w:bookmarkStart w:id="136" w:name="data-visualization"/>
      <w:r>
        <w:t xml:space="preserve">8	Data visualization</w:t>
      </w:r>
      <w:bookmarkEnd w:id="136"/>
    </w:p>
    <w:p>
      <w:pPr>
        <w:pStyle w:val="FirstParagraph"/>
      </w:pPr>
      <w:r>
        <w:t xml:space="preserve">R has a very rich set of graphical functions. The</w:t>
      </w:r>
      <w:r>
        <w:t xml:space="preserve"> </w:t>
      </w:r>
      <w:hyperlink r:id="rId137">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8" w:name="the-grammar-of-graphics"/>
      <w:r>
        <w:t xml:space="preserve">8.1	The Grammar of Graphics</w:t>
      </w:r>
      <w:bookmarkEnd w:id="138"/>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39">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0">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2">
        <w:r>
          <w:rPr>
            <w:rStyle w:val="Hyperlink"/>
          </w:rPr>
          <w:t xml:space="preserve">article</w:t>
        </w:r>
      </w:hyperlink>
      <w:r>
        <w:t xml:space="preserve"> </w:t>
      </w:r>
      <w:r>
        <w:t xml:space="preserve">by Hadley Wickham.</w:t>
      </w:r>
    </w:p>
    <w:p>
      <w:pPr>
        <w:pStyle w:val="berschrift2"/>
      </w:pPr>
      <w:bookmarkStart w:id="143" w:name="visualization-of-distributions"/>
      <w:r>
        <w:t xml:space="preserve">8.2	Visualization of distributions</w:t>
      </w:r>
      <w:bookmarkEnd w:id="143"/>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4">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5">
        <w:r>
          <w:rPr>
            <w:b/>
            <w:rStyle w:val="Hyperlink"/>
          </w:rPr>
          <w:t xml:space="preserve">component</w:t>
        </w:r>
      </w:hyperlink>
    </w:p>
    <w:p>
      <w:pPr>
        <w:numPr>
          <w:numId w:val="1034"/>
          <w:ilvl w:val="0"/>
        </w:numPr>
      </w:pPr>
      <w:hyperlink r:id="rId146">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7">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3-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1">
        <w:r>
          <w:rPr>
            <w:rStyle w:val="Hyperlink"/>
          </w:rPr>
          <w:t xml:space="preserve">colors</w:t>
        </w:r>
      </w:hyperlink>
      <w:r>
        <w:t xml:space="preserve"> </w:t>
      </w:r>
      <w:r>
        <w:t xml:space="preserve">grey20, grey50 and grey80. Instead of ggplot colors, you can also use</w:t>
      </w:r>
      <w:r>
        <w:t xml:space="preserve"> </w:t>
      </w:r>
      <w:hyperlink r:id="rId152">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4">
        <w:r>
          <w:rPr>
            <w:rStyle w:val="Hyperlink"/>
          </w:rPr>
          <w:t xml:space="preserve">input data</w:t>
        </w:r>
      </w:hyperlink>
      <w:r>
        <w:t xml:space="preserve">, recreate the histogram and insert one additional line of code to add a plot title (see</w:t>
      </w:r>
      <w:r>
        <w:t xml:space="preserve"> </w:t>
      </w:r>
      <w:hyperlink r:id="rId154">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5" w:name="boxplots"/>
      <w:r>
        <w:t xml:space="preserve">8.3	Boxplots</w:t>
      </w:r>
      <w:bookmarkEnd w:id="155"/>
    </w:p>
    <w:p>
      <w:pPr>
        <w:pStyle w:val="FirstParagraph"/>
      </w:pPr>
      <w:r>
        <w:t xml:space="preserve">The same basic syntax is used to create other types of plots like bar plots (use geometry</w:t>
      </w:r>
      <w:r>
        <w:t xml:space="preserve"> </w:t>
      </w:r>
      <w:hyperlink r:id="rId156">
        <w:r>
          <w:rPr>
            <w:rStyle w:val="VerbatimChar"/>
            <w:rStyle w:val="Hyperlink"/>
          </w:rPr>
          <w:t xml:space="preserve">geom_bar()</w:t>
        </w:r>
      </w:hyperlink>
      <w:r>
        <w:t xml:space="preserve"> </w:t>
      </w:r>
      <w:r>
        <w:t xml:space="preserve">or</w:t>
      </w:r>
      <w:r>
        <w:t xml:space="preserve"> </w:t>
      </w:r>
      <w:hyperlink r:id="rId156">
        <w:r>
          <w:rPr>
            <w:rStyle w:val="VerbatimChar"/>
            <w:rStyle w:val="Hyperlink"/>
          </w:rPr>
          <w:t xml:space="preserve">geom_col()</w:t>
        </w:r>
      </w:hyperlink>
      <w:r>
        <w:t xml:space="preserve">, line plots (use geometry</w:t>
      </w:r>
      <w:r>
        <w:t xml:space="preserve"> </w:t>
      </w:r>
      <w:hyperlink r:id="rId157">
        <w:r>
          <w:rPr>
            <w:rStyle w:val="VerbatimChar"/>
            <w:rStyle w:val="Hyperlink"/>
          </w:rPr>
          <w:t xml:space="preserve">geom_line()</w:t>
        </w:r>
      </w:hyperlink>
      <w:r>
        <w:t xml:space="preserve">) and many</w:t>
      </w:r>
      <w:r>
        <w:t xml:space="preserve"> </w:t>
      </w:r>
      <w:hyperlink r:id="rId15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0">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1">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2">
        <w:r>
          <w:rPr>
            <w:rStyle w:val="Hyperlink"/>
          </w:rPr>
          <w:t xml:space="preserve">my solution</w:t>
        </w:r>
      </w:hyperlink>
      <w:r>
        <w:t xml:space="preserve">!</w:t>
      </w:r>
    </w:p>
    <w:p>
      <w:pPr>
        <w:pStyle w:val="berschrift2"/>
      </w:pPr>
      <w:bookmarkStart w:id="163" w:name="scatterplots"/>
      <w:r>
        <w:t xml:space="preserve">8.4	Scatterplots</w:t>
      </w:r>
      <w:bookmarkEnd w:id="163"/>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5">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6">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7" w:name="map-visualization"/>
      <w:r>
        <w:t xml:space="preserve">8.5	Map visualization</w:t>
      </w:r>
      <w:bookmarkEnd w:id="167"/>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8">
        <w:r>
          <w:rPr>
            <w:rStyle w:val="Hyperlink"/>
          </w:rPr>
          <w:t xml:space="preserve">North Carolina</w:t>
        </w:r>
      </w:hyperlink>
      <w:r>
        <w:t xml:space="preserve"> </w:t>
      </w:r>
      <w:r>
        <w:t xml:space="preserve">and</w:t>
      </w:r>
      <w:r>
        <w:t xml:space="preserve"> </w:t>
      </w:r>
      <w:hyperlink r:id="rId169">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3">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4"/>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7"/>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106">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99" Target="media/rId99.png" /><Relationship Type="http://schemas.openxmlformats.org/officeDocument/2006/relationships/image" Id="rId141" Target="media/rId141.png" /><Relationship Type="http://schemas.openxmlformats.org/officeDocument/2006/relationships/image" Id="rId102" Target="media/rId102.png" /><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0" Target="Solution_Exercise_DataWrangling1.R" TargetMode="External" /><Relationship Type="http://schemas.openxmlformats.org/officeDocument/2006/relationships/hyperlink" Id="rId105"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8" Target="http://www.fao.org/faostat/en/#data/QCL" TargetMode="External" /><Relationship Type="http://schemas.openxmlformats.org/officeDocument/2006/relationships/hyperlink" Id="rId97"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6"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5"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5"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8"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2"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2" Target="https://www.rdocumentation.org/packages/base/versions/3.6.2/topics/cat" TargetMode="External" /><Relationship Type="http://schemas.openxmlformats.org/officeDocument/2006/relationships/hyperlink" Id="rId57" Target="https://www.rdocumentation.org/packages/base/versions/3.6.2/topics/ls" TargetMode="External" /><Relationship Type="http://schemas.openxmlformats.org/officeDocument/2006/relationships/hyperlink" Id="rId103"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06"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5"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1"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2022-03-07T11:58:59Z</dcterms:created>
  <dcterms:modified xsi:type="dcterms:W3CDTF">2022-03-07T11:58:59Z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07 März,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