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ТУТ СОБРАНЫ ТЕКСТА ИЗ РАЗНЫХ ИСТОЧНИКОВ ЧТО ПРИГОДЯТСЯ В ДИПЛОМЕ.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hyperlink r:id="rId9" w:tooltip="https://thirdpin.io/stendy_testirovaniya_elektroniki_i_pechatnyh_plat" w:history="1"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ru-RU"/>
          </w:rPr>
          <w:t xml:space="preserve">https://thirdpin.io/stendy_testirovaniya_elektroniki_i_pechatnyh_plat</w:t>
        </w:r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ru-RU"/>
          </w:rPr>
        </w:r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ru-RU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36"/>
        <w:numPr>
          <w:ilvl w:val="0"/>
          <w:numId w:val="1"/>
        </w:numPr>
        <w:pBdr/>
        <w:spacing/>
        <w:ind/>
        <w:jc w:val="left"/>
        <w:rPr>
          <w:rStyle w:val="814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hyperlink r:id="rId10" w:tooltip="https://habr.com/ru/companies/thirdpin/articles/425569/" w:history="1"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ru-RU"/>
          </w:rPr>
          <w:t xml:space="preserve">https://habr.com/ru/companies/thirdpin/articles/425569/</w:t>
        </w:r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ru-RU"/>
          </w:rPr>
        </w:r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ru-RU"/>
          </w:rPr>
        </w:r>
        <w:r>
          <w:rPr>
            <w:rStyle w:val="814"/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3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https://portal-ed.ru/index.php/testirovanie-i-kontrol/89-elektricheskoe-testirovanie-pechatnykh-plat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thirdpin.io/stendy_testirovaniya_elektroniki_i_pechatnyh_plat" TargetMode="External"/><Relationship Id="rId10" Type="http://schemas.openxmlformats.org/officeDocument/2006/relationships/hyperlink" Target="https://habr.com/ru/companies/thirdpin/articles/425569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2025-03-17T08:13:10Z</dcterms:modified>
</cp:coreProperties>
</file>