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748" w:rsidRPr="002C5D94" w:rsidRDefault="006B0748" w:rsidP="006B0748">
      <w:pPr>
        <w:pStyle w:val="Titre1"/>
        <w:jc w:val="center"/>
        <w:rPr>
          <w:rFonts w:ascii="Arial" w:hAnsi="Arial" w:cs="Arial"/>
          <w:b/>
          <w:i/>
          <w:color w:val="C00000"/>
          <w:sz w:val="28"/>
          <w:szCs w:val="28"/>
        </w:rPr>
      </w:pPr>
      <w:bookmarkStart w:id="0" w:name="_Toc21962964"/>
      <w:bookmarkStart w:id="1" w:name="_Toc21962961"/>
      <w:r w:rsidRPr="002C5D94">
        <w:rPr>
          <w:rFonts w:ascii="Arial" w:hAnsi="Arial" w:cs="Arial"/>
          <w:b/>
          <w:i/>
          <w:color w:val="C00000"/>
          <w:sz w:val="28"/>
          <w:szCs w:val="28"/>
        </w:rPr>
        <w:t>Glossaire</w:t>
      </w:r>
      <w:bookmarkEnd w:id="1"/>
    </w:p>
    <w:p w:rsidR="006B0748" w:rsidRPr="002C5D94" w:rsidRDefault="006B0748" w:rsidP="006B0748">
      <w:pPr>
        <w:rPr>
          <w:rFonts w:ascii="Arial" w:hAnsi="Arial" w:cs="Arial"/>
          <w:color w:val="538135" w:themeColor="accent6" w:themeShade="BF"/>
          <w:sz w:val="24"/>
          <w:szCs w:val="24"/>
        </w:rPr>
      </w:pPr>
    </w:p>
    <w:tbl>
      <w:tblPr>
        <w:tblStyle w:val="Tableausimple1"/>
        <w:tblW w:w="0" w:type="auto"/>
        <w:tblLook w:val="04A0" w:firstRow="1" w:lastRow="0" w:firstColumn="1" w:lastColumn="0" w:noHBand="0" w:noVBand="1"/>
      </w:tblPr>
      <w:tblGrid>
        <w:gridCol w:w="2263"/>
        <w:gridCol w:w="6799"/>
      </w:tblGrid>
      <w:tr w:rsidR="006B0748" w:rsidRPr="00EB02FC" w:rsidTr="00B1430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6B0748" w:rsidRPr="000C58EB" w:rsidRDefault="006B0748" w:rsidP="00B14307">
            <w:pPr>
              <w:rPr>
                <w:rFonts w:ascii="Arial" w:hAnsi="Arial" w:cs="Arial"/>
                <w:sz w:val="24"/>
                <w:szCs w:val="24"/>
              </w:rPr>
            </w:pPr>
            <w:r w:rsidRPr="000C58EB">
              <w:rPr>
                <w:rFonts w:ascii="Arial" w:hAnsi="Arial" w:cs="Arial"/>
                <w:sz w:val="24"/>
                <w:szCs w:val="24"/>
              </w:rPr>
              <w:t>AGILE</w:t>
            </w:r>
          </w:p>
        </w:tc>
        <w:tc>
          <w:tcPr>
            <w:tcW w:w="6799" w:type="dxa"/>
            <w:vAlign w:val="center"/>
          </w:tcPr>
          <w:p w:rsidR="006B0748" w:rsidRPr="000C58EB" w:rsidRDefault="006B0748" w:rsidP="00B14307">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n-US"/>
              </w:rPr>
            </w:pPr>
            <w:r w:rsidRPr="000C58EB">
              <w:rPr>
                <w:rFonts w:ascii="Arial" w:hAnsi="Arial" w:cs="Arial"/>
                <w:b w:val="0"/>
                <w:sz w:val="24"/>
                <w:szCs w:val="24"/>
                <w:lang w:val="en-US"/>
              </w:rPr>
              <w:t>Advanced Generation of Interoperability for Law Enforcement</w:t>
            </w:r>
          </w:p>
        </w:tc>
      </w:tr>
      <w:tr w:rsidR="006B0748" w:rsidRPr="00E36095" w:rsidTr="00B1430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6B0748" w:rsidRPr="000C58EB" w:rsidRDefault="006B0748" w:rsidP="00B14307">
            <w:pPr>
              <w:rPr>
                <w:rFonts w:ascii="Arial" w:hAnsi="Arial" w:cs="Arial"/>
                <w:sz w:val="24"/>
                <w:szCs w:val="24"/>
                <w:lang w:val="en-US"/>
              </w:rPr>
            </w:pPr>
            <w:r w:rsidRPr="000C58EB">
              <w:rPr>
                <w:rFonts w:ascii="Arial" w:hAnsi="Arial" w:cs="Arial"/>
                <w:sz w:val="24"/>
                <w:szCs w:val="24"/>
                <w:lang w:val="en-US"/>
              </w:rPr>
              <w:t xml:space="preserve">API </w:t>
            </w:r>
          </w:p>
        </w:tc>
        <w:tc>
          <w:tcPr>
            <w:tcW w:w="6799" w:type="dxa"/>
            <w:vAlign w:val="center"/>
          </w:tcPr>
          <w:p w:rsidR="006B0748" w:rsidRPr="000C58EB" w:rsidRDefault="006B0748" w:rsidP="00B143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0C58EB">
              <w:rPr>
                <w:rFonts w:ascii="Arial" w:hAnsi="Arial" w:cs="Arial"/>
                <w:sz w:val="24"/>
                <w:szCs w:val="24"/>
                <w:lang w:val="en-US"/>
              </w:rPr>
              <w:t>Applicative Programming Interface</w:t>
            </w:r>
          </w:p>
        </w:tc>
      </w:tr>
      <w:tr w:rsidR="006B0748" w:rsidRPr="00E36095" w:rsidTr="00B14307">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6B0748" w:rsidRPr="000C58EB" w:rsidRDefault="006B0748" w:rsidP="00B14307">
            <w:pPr>
              <w:rPr>
                <w:rFonts w:ascii="Arial" w:hAnsi="Arial" w:cs="Arial"/>
                <w:sz w:val="24"/>
                <w:szCs w:val="24"/>
                <w:lang w:val="en-US"/>
              </w:rPr>
            </w:pPr>
            <w:r w:rsidRPr="000C58EB">
              <w:rPr>
                <w:rFonts w:ascii="Arial" w:hAnsi="Arial" w:cs="Arial"/>
                <w:sz w:val="24"/>
                <w:szCs w:val="24"/>
                <w:lang w:val="en-US"/>
              </w:rPr>
              <w:t>AWS</w:t>
            </w:r>
          </w:p>
        </w:tc>
        <w:tc>
          <w:tcPr>
            <w:tcW w:w="6799" w:type="dxa"/>
            <w:vAlign w:val="center"/>
          </w:tcPr>
          <w:p w:rsidR="006B0748" w:rsidRPr="000C58EB" w:rsidRDefault="006B0748" w:rsidP="00B143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0C58EB">
              <w:rPr>
                <w:rFonts w:ascii="Arial" w:hAnsi="Arial" w:cs="Arial"/>
                <w:sz w:val="24"/>
                <w:szCs w:val="24"/>
                <w:lang w:val="en-US"/>
              </w:rPr>
              <w:t>Amazon Web Services</w:t>
            </w:r>
          </w:p>
        </w:tc>
      </w:tr>
      <w:tr w:rsidR="006B0748" w:rsidRPr="000C58EB" w:rsidTr="00B1430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6B0748" w:rsidRPr="000C58EB" w:rsidRDefault="006B0748" w:rsidP="00B14307">
            <w:pPr>
              <w:rPr>
                <w:rFonts w:ascii="Arial" w:hAnsi="Arial" w:cs="Arial"/>
                <w:sz w:val="24"/>
                <w:szCs w:val="24"/>
                <w:lang w:val="en-US"/>
              </w:rPr>
            </w:pPr>
            <w:r w:rsidRPr="000C58EB">
              <w:rPr>
                <w:rFonts w:ascii="Arial" w:hAnsi="Arial" w:cs="Arial"/>
                <w:sz w:val="24"/>
                <w:szCs w:val="24"/>
                <w:lang w:val="en-US"/>
              </w:rPr>
              <w:t>Back End</w:t>
            </w:r>
          </w:p>
        </w:tc>
        <w:tc>
          <w:tcPr>
            <w:tcW w:w="6799" w:type="dxa"/>
            <w:vAlign w:val="center"/>
          </w:tcPr>
          <w:p w:rsidR="006B0748" w:rsidRPr="000C58EB" w:rsidRDefault="006B0748" w:rsidP="00B143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C58EB">
              <w:rPr>
                <w:rFonts w:ascii="Arial" w:hAnsi="Arial" w:cs="Arial"/>
                <w:sz w:val="24"/>
                <w:szCs w:val="24"/>
              </w:rPr>
              <w:t>Partie du site invisible pour l’utilisateur. Partie du code exécuté par le serveur.</w:t>
            </w:r>
          </w:p>
        </w:tc>
      </w:tr>
      <w:tr w:rsidR="006B0748" w:rsidRPr="000C58EB" w:rsidTr="00B14307">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6B0748" w:rsidRPr="000C58EB" w:rsidRDefault="006B0748" w:rsidP="00B14307">
            <w:pPr>
              <w:rPr>
                <w:rFonts w:ascii="Arial" w:hAnsi="Arial" w:cs="Arial"/>
                <w:sz w:val="24"/>
                <w:szCs w:val="24"/>
              </w:rPr>
            </w:pPr>
            <w:r w:rsidRPr="000C58EB">
              <w:rPr>
                <w:rFonts w:ascii="Arial" w:hAnsi="Arial" w:cs="Arial"/>
                <w:sz w:val="24"/>
                <w:szCs w:val="24"/>
              </w:rPr>
              <w:t>CE</w:t>
            </w:r>
          </w:p>
        </w:tc>
        <w:tc>
          <w:tcPr>
            <w:tcW w:w="6799" w:type="dxa"/>
            <w:vAlign w:val="center"/>
          </w:tcPr>
          <w:p w:rsidR="006B0748" w:rsidRPr="000C58EB" w:rsidRDefault="006B0748" w:rsidP="00B143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C58EB">
              <w:rPr>
                <w:rFonts w:ascii="Arial" w:hAnsi="Arial" w:cs="Arial"/>
                <w:sz w:val="24"/>
                <w:szCs w:val="24"/>
              </w:rPr>
              <w:t>Comité d’entreprise</w:t>
            </w:r>
          </w:p>
        </w:tc>
      </w:tr>
      <w:tr w:rsidR="006B0748" w:rsidRPr="000C58EB" w:rsidTr="00B1430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6B0748" w:rsidRPr="000C58EB" w:rsidRDefault="006B0748" w:rsidP="00B14307">
            <w:pPr>
              <w:rPr>
                <w:rFonts w:ascii="Arial" w:hAnsi="Arial" w:cs="Arial"/>
                <w:sz w:val="24"/>
                <w:szCs w:val="24"/>
              </w:rPr>
            </w:pPr>
            <w:r w:rsidRPr="000C58EB">
              <w:rPr>
                <w:rFonts w:ascii="Arial" w:hAnsi="Arial" w:cs="Arial"/>
                <w:sz w:val="24"/>
                <w:szCs w:val="24"/>
              </w:rPr>
              <w:t>CSS</w:t>
            </w:r>
          </w:p>
        </w:tc>
        <w:tc>
          <w:tcPr>
            <w:tcW w:w="6799" w:type="dxa"/>
            <w:vAlign w:val="center"/>
          </w:tcPr>
          <w:p w:rsidR="006B0748" w:rsidRPr="000C58EB" w:rsidRDefault="006B0748" w:rsidP="00B143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0C58EB">
              <w:rPr>
                <w:rFonts w:ascii="Arial" w:hAnsi="Arial" w:cs="Arial"/>
                <w:sz w:val="24"/>
                <w:szCs w:val="24"/>
              </w:rPr>
              <w:t>Cascading</w:t>
            </w:r>
            <w:proofErr w:type="spellEnd"/>
            <w:r w:rsidRPr="000C58EB">
              <w:rPr>
                <w:rFonts w:ascii="Arial" w:hAnsi="Arial" w:cs="Arial"/>
                <w:sz w:val="24"/>
                <w:szCs w:val="24"/>
              </w:rPr>
              <w:t xml:space="preserve"> Style Sheets</w:t>
            </w:r>
          </w:p>
        </w:tc>
      </w:tr>
      <w:tr w:rsidR="006B0748" w:rsidRPr="000C58EB" w:rsidTr="00B14307">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6B0748" w:rsidRPr="000C58EB" w:rsidRDefault="006B0748" w:rsidP="00B14307">
            <w:pPr>
              <w:rPr>
                <w:rFonts w:ascii="Arial" w:hAnsi="Arial" w:cs="Arial"/>
                <w:sz w:val="24"/>
                <w:szCs w:val="24"/>
              </w:rPr>
            </w:pPr>
            <w:r w:rsidRPr="000C58EB">
              <w:rPr>
                <w:rFonts w:ascii="Arial" w:hAnsi="Arial" w:cs="Arial"/>
                <w:sz w:val="24"/>
                <w:szCs w:val="24"/>
              </w:rPr>
              <w:t>DF</w:t>
            </w:r>
          </w:p>
        </w:tc>
        <w:tc>
          <w:tcPr>
            <w:tcW w:w="6799" w:type="dxa"/>
            <w:vAlign w:val="center"/>
          </w:tcPr>
          <w:p w:rsidR="006B0748" w:rsidRPr="000C58EB" w:rsidRDefault="006B0748" w:rsidP="00B143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C58EB">
              <w:rPr>
                <w:rFonts w:ascii="Arial" w:hAnsi="Arial" w:cs="Arial"/>
                <w:sz w:val="24"/>
                <w:szCs w:val="24"/>
              </w:rPr>
              <w:t xml:space="preserve">Digital </w:t>
            </w:r>
            <w:proofErr w:type="spellStart"/>
            <w:r w:rsidRPr="000C58EB">
              <w:rPr>
                <w:rFonts w:ascii="Arial" w:hAnsi="Arial" w:cs="Arial"/>
                <w:sz w:val="24"/>
                <w:szCs w:val="24"/>
              </w:rPr>
              <w:t>Factory</w:t>
            </w:r>
            <w:proofErr w:type="spellEnd"/>
          </w:p>
        </w:tc>
      </w:tr>
      <w:tr w:rsidR="006B0748" w:rsidRPr="000C58EB" w:rsidTr="00B1430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6B0748" w:rsidRPr="000C58EB" w:rsidRDefault="006B0748" w:rsidP="00B14307">
            <w:pPr>
              <w:rPr>
                <w:rFonts w:ascii="Arial" w:hAnsi="Arial" w:cs="Arial"/>
                <w:sz w:val="24"/>
                <w:szCs w:val="24"/>
              </w:rPr>
            </w:pPr>
            <w:r w:rsidRPr="000C58EB">
              <w:rPr>
                <w:rFonts w:ascii="Arial" w:hAnsi="Arial" w:cs="Arial"/>
                <w:sz w:val="24"/>
                <w:szCs w:val="24"/>
              </w:rPr>
              <w:t>DSI</w:t>
            </w:r>
          </w:p>
        </w:tc>
        <w:tc>
          <w:tcPr>
            <w:tcW w:w="6799" w:type="dxa"/>
            <w:vAlign w:val="center"/>
          </w:tcPr>
          <w:p w:rsidR="006B0748" w:rsidRPr="000C58EB" w:rsidRDefault="006B0748" w:rsidP="00B14307">
            <w:pPr>
              <w:pStyle w:val="Default"/>
              <w:cnfStyle w:val="000000100000" w:firstRow="0" w:lastRow="0" w:firstColumn="0" w:lastColumn="0" w:oddVBand="0" w:evenVBand="0" w:oddHBand="1" w:evenHBand="0" w:firstRowFirstColumn="0" w:firstRowLastColumn="0" w:lastRowFirstColumn="0" w:lastRowLastColumn="0"/>
              <w:rPr>
                <w:rFonts w:ascii="Arial" w:hAnsi="Arial" w:cs="Arial"/>
              </w:rPr>
            </w:pPr>
            <w:r w:rsidRPr="000C58EB">
              <w:rPr>
                <w:rFonts w:ascii="Arial" w:hAnsi="Arial" w:cs="Arial"/>
              </w:rPr>
              <w:t>Direction des systèmes d’informations</w:t>
            </w:r>
          </w:p>
        </w:tc>
      </w:tr>
      <w:tr w:rsidR="006B0748" w:rsidRPr="000C58EB" w:rsidTr="00B14307">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6B0748" w:rsidRPr="000C58EB" w:rsidRDefault="006B0748" w:rsidP="00B14307">
            <w:pPr>
              <w:rPr>
                <w:rFonts w:ascii="Arial" w:hAnsi="Arial" w:cs="Arial"/>
                <w:sz w:val="24"/>
                <w:szCs w:val="24"/>
              </w:rPr>
            </w:pPr>
            <w:r w:rsidRPr="000C58EB">
              <w:rPr>
                <w:rFonts w:ascii="Arial" w:hAnsi="Arial" w:cs="Arial"/>
                <w:sz w:val="24"/>
                <w:szCs w:val="24"/>
              </w:rPr>
              <w:t>ESAT</w:t>
            </w:r>
          </w:p>
        </w:tc>
        <w:tc>
          <w:tcPr>
            <w:tcW w:w="6799" w:type="dxa"/>
            <w:vAlign w:val="center"/>
          </w:tcPr>
          <w:p w:rsidR="006B0748" w:rsidRPr="000C58EB" w:rsidRDefault="006B0748" w:rsidP="00B143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C58EB">
              <w:rPr>
                <w:rFonts w:ascii="Arial" w:hAnsi="Arial" w:cs="Arial"/>
                <w:sz w:val="24"/>
                <w:szCs w:val="24"/>
              </w:rPr>
              <w:t>Etablissement et Service d’Aide par le Travail</w:t>
            </w:r>
          </w:p>
        </w:tc>
      </w:tr>
      <w:tr w:rsidR="006B0748" w:rsidRPr="000C58EB" w:rsidTr="00B1430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6B0748" w:rsidRPr="000C58EB" w:rsidRDefault="006B0748" w:rsidP="00B14307">
            <w:pPr>
              <w:rPr>
                <w:rFonts w:ascii="Arial" w:hAnsi="Arial" w:cs="Arial"/>
                <w:bCs w:val="0"/>
                <w:sz w:val="24"/>
                <w:szCs w:val="24"/>
              </w:rPr>
            </w:pPr>
            <w:r w:rsidRPr="000C58EB">
              <w:rPr>
                <w:rFonts w:ascii="Arial" w:hAnsi="Arial" w:cs="Arial"/>
                <w:sz w:val="24"/>
                <w:szCs w:val="24"/>
              </w:rPr>
              <w:t>Front End</w:t>
            </w:r>
          </w:p>
        </w:tc>
        <w:tc>
          <w:tcPr>
            <w:tcW w:w="6799" w:type="dxa"/>
            <w:vAlign w:val="center"/>
          </w:tcPr>
          <w:p w:rsidR="006B0748" w:rsidRPr="000C58EB" w:rsidRDefault="006B0748" w:rsidP="00B143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C58EB">
              <w:rPr>
                <w:rFonts w:ascii="Arial" w:hAnsi="Arial" w:cs="Arial"/>
                <w:sz w:val="24"/>
                <w:szCs w:val="24"/>
              </w:rPr>
              <w:t>Eléments du site que l’on voit à l’écran et avec lesquels on peut interagir</w:t>
            </w:r>
          </w:p>
        </w:tc>
      </w:tr>
      <w:tr w:rsidR="006B0748" w:rsidRPr="000C58EB" w:rsidTr="00B14307">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6B0748" w:rsidRPr="000C58EB" w:rsidRDefault="006B0748" w:rsidP="00B14307">
            <w:pPr>
              <w:rPr>
                <w:rFonts w:ascii="Arial" w:hAnsi="Arial" w:cs="Arial"/>
                <w:sz w:val="24"/>
                <w:szCs w:val="24"/>
              </w:rPr>
            </w:pPr>
            <w:r w:rsidRPr="000C58EB">
              <w:rPr>
                <w:rFonts w:ascii="Arial" w:hAnsi="Arial" w:cs="Arial"/>
                <w:sz w:val="24"/>
                <w:szCs w:val="24"/>
              </w:rPr>
              <w:t>HTML</w:t>
            </w:r>
          </w:p>
        </w:tc>
        <w:tc>
          <w:tcPr>
            <w:tcW w:w="6799" w:type="dxa"/>
            <w:vAlign w:val="center"/>
          </w:tcPr>
          <w:p w:rsidR="006B0748" w:rsidRPr="000C58EB" w:rsidRDefault="006B0748" w:rsidP="00B143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0C58EB">
              <w:rPr>
                <w:rFonts w:ascii="Arial" w:hAnsi="Arial" w:cs="Arial"/>
                <w:sz w:val="24"/>
                <w:szCs w:val="24"/>
                <w:lang w:val="en-US"/>
              </w:rPr>
              <w:t>HyperText</w:t>
            </w:r>
            <w:proofErr w:type="spellEnd"/>
            <w:r w:rsidRPr="000C58EB">
              <w:rPr>
                <w:rFonts w:ascii="Arial" w:hAnsi="Arial" w:cs="Arial"/>
                <w:sz w:val="24"/>
                <w:szCs w:val="24"/>
                <w:lang w:val="en-US"/>
              </w:rPr>
              <w:t xml:space="preserve"> Markup Language </w:t>
            </w:r>
          </w:p>
        </w:tc>
      </w:tr>
      <w:tr w:rsidR="006B0748" w:rsidRPr="000C58EB" w:rsidTr="00B1430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6B0748" w:rsidRPr="000C58EB" w:rsidRDefault="006B0748" w:rsidP="00B14307">
            <w:pPr>
              <w:rPr>
                <w:rFonts w:ascii="Arial" w:hAnsi="Arial" w:cs="Arial"/>
                <w:sz w:val="24"/>
                <w:szCs w:val="24"/>
              </w:rPr>
            </w:pPr>
            <w:r w:rsidRPr="000C58EB">
              <w:rPr>
                <w:rFonts w:ascii="Arial" w:hAnsi="Arial" w:cs="Arial"/>
                <w:sz w:val="24"/>
                <w:szCs w:val="24"/>
              </w:rPr>
              <w:t>IDE</w:t>
            </w:r>
          </w:p>
        </w:tc>
        <w:tc>
          <w:tcPr>
            <w:tcW w:w="6799" w:type="dxa"/>
            <w:vAlign w:val="center"/>
          </w:tcPr>
          <w:p w:rsidR="006B0748" w:rsidRPr="000C58EB" w:rsidRDefault="006B0748" w:rsidP="00B143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C58EB">
              <w:rPr>
                <w:rFonts w:ascii="Arial" w:hAnsi="Arial" w:cs="Arial"/>
                <w:sz w:val="24"/>
                <w:szCs w:val="24"/>
              </w:rPr>
              <w:t xml:space="preserve">Integrated </w:t>
            </w:r>
            <w:proofErr w:type="spellStart"/>
            <w:r w:rsidRPr="000C58EB">
              <w:rPr>
                <w:rFonts w:ascii="Arial" w:hAnsi="Arial" w:cs="Arial"/>
                <w:sz w:val="24"/>
                <w:szCs w:val="24"/>
              </w:rPr>
              <w:t>development</w:t>
            </w:r>
            <w:proofErr w:type="spellEnd"/>
            <w:r w:rsidRPr="000C58EB">
              <w:rPr>
                <w:rFonts w:ascii="Arial" w:hAnsi="Arial" w:cs="Arial"/>
                <w:sz w:val="24"/>
                <w:szCs w:val="24"/>
              </w:rPr>
              <w:t xml:space="preserve"> </w:t>
            </w:r>
            <w:proofErr w:type="spellStart"/>
            <w:r w:rsidRPr="000C58EB">
              <w:rPr>
                <w:rFonts w:ascii="Arial" w:hAnsi="Arial" w:cs="Arial"/>
                <w:sz w:val="24"/>
                <w:szCs w:val="24"/>
              </w:rPr>
              <w:t>environment</w:t>
            </w:r>
            <w:proofErr w:type="spellEnd"/>
            <w:r w:rsidRPr="000C58EB">
              <w:rPr>
                <w:rFonts w:ascii="Arial" w:hAnsi="Arial" w:cs="Arial"/>
                <w:sz w:val="24"/>
                <w:szCs w:val="24"/>
              </w:rPr>
              <w:t xml:space="preserve"> ou environnement de développement</w:t>
            </w:r>
          </w:p>
        </w:tc>
      </w:tr>
      <w:tr w:rsidR="006B0748" w:rsidRPr="000C58EB" w:rsidTr="00B14307">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6B0748" w:rsidRPr="000C58EB" w:rsidRDefault="006B0748" w:rsidP="00B14307">
            <w:pPr>
              <w:rPr>
                <w:rFonts w:ascii="Arial" w:hAnsi="Arial" w:cs="Arial"/>
                <w:sz w:val="24"/>
                <w:szCs w:val="24"/>
              </w:rPr>
            </w:pPr>
            <w:proofErr w:type="spellStart"/>
            <w:r w:rsidRPr="000C58EB">
              <w:rPr>
                <w:rFonts w:ascii="Arial" w:hAnsi="Arial" w:cs="Arial"/>
                <w:sz w:val="24"/>
                <w:szCs w:val="24"/>
              </w:rPr>
              <w:t>Mockup</w:t>
            </w:r>
            <w:proofErr w:type="spellEnd"/>
          </w:p>
        </w:tc>
        <w:tc>
          <w:tcPr>
            <w:tcW w:w="6799" w:type="dxa"/>
            <w:vAlign w:val="center"/>
          </w:tcPr>
          <w:p w:rsidR="006B0748" w:rsidRPr="000C58EB" w:rsidRDefault="006B0748" w:rsidP="00B14307">
            <w:pPr>
              <w:pStyle w:val="Default"/>
              <w:cnfStyle w:val="000000000000" w:firstRow="0" w:lastRow="0" w:firstColumn="0" w:lastColumn="0" w:oddVBand="0" w:evenVBand="0" w:oddHBand="0" w:evenHBand="0" w:firstRowFirstColumn="0" w:firstRowLastColumn="0" w:lastRowFirstColumn="0" w:lastRowLastColumn="0"/>
              <w:rPr>
                <w:rFonts w:ascii="Arial" w:hAnsi="Arial" w:cs="Arial"/>
              </w:rPr>
            </w:pPr>
            <w:r w:rsidRPr="000C58EB">
              <w:rPr>
                <w:rFonts w:ascii="Arial" w:hAnsi="Arial" w:cs="Arial"/>
              </w:rPr>
              <w:t>Maquette d’interface utilisateur</w:t>
            </w:r>
          </w:p>
        </w:tc>
      </w:tr>
      <w:tr w:rsidR="006B0748" w:rsidRPr="000C58EB" w:rsidTr="00B1430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6B0748" w:rsidRPr="000C58EB" w:rsidRDefault="006B0748" w:rsidP="00B14307">
            <w:pPr>
              <w:rPr>
                <w:rFonts w:ascii="Arial" w:hAnsi="Arial" w:cs="Arial"/>
                <w:sz w:val="24"/>
                <w:szCs w:val="24"/>
              </w:rPr>
            </w:pPr>
            <w:r w:rsidRPr="000C58EB">
              <w:rPr>
                <w:rFonts w:ascii="Arial" w:hAnsi="Arial" w:cs="Arial"/>
                <w:sz w:val="24"/>
                <w:szCs w:val="24"/>
              </w:rPr>
              <w:t>NPM</w:t>
            </w:r>
          </w:p>
        </w:tc>
        <w:tc>
          <w:tcPr>
            <w:tcW w:w="6799" w:type="dxa"/>
            <w:vAlign w:val="center"/>
          </w:tcPr>
          <w:p w:rsidR="006B0748" w:rsidRPr="000C58EB" w:rsidRDefault="006B0748" w:rsidP="00B143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C58EB">
              <w:rPr>
                <w:rFonts w:ascii="Arial" w:hAnsi="Arial" w:cs="Arial"/>
                <w:color w:val="000000"/>
                <w:sz w:val="24"/>
                <w:szCs w:val="24"/>
              </w:rPr>
              <w:t>Node Package Manager</w:t>
            </w:r>
          </w:p>
        </w:tc>
      </w:tr>
      <w:tr w:rsidR="006B0748" w:rsidRPr="000C58EB" w:rsidTr="00B14307">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6B0748" w:rsidRPr="000C58EB" w:rsidRDefault="006B0748" w:rsidP="00B14307">
            <w:pPr>
              <w:rPr>
                <w:rFonts w:ascii="Arial" w:hAnsi="Arial" w:cs="Arial"/>
                <w:bCs w:val="0"/>
                <w:sz w:val="24"/>
                <w:szCs w:val="24"/>
              </w:rPr>
            </w:pPr>
            <w:r w:rsidRPr="000C58EB">
              <w:rPr>
                <w:rFonts w:ascii="Arial" w:hAnsi="Arial" w:cs="Arial"/>
                <w:sz w:val="24"/>
                <w:szCs w:val="24"/>
              </w:rPr>
              <w:t>PMA</w:t>
            </w:r>
          </w:p>
        </w:tc>
        <w:tc>
          <w:tcPr>
            <w:tcW w:w="6799" w:type="dxa"/>
            <w:vAlign w:val="center"/>
          </w:tcPr>
          <w:p w:rsidR="006B0748" w:rsidRPr="000C58EB" w:rsidRDefault="006B0748" w:rsidP="00B143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C58EB">
              <w:rPr>
                <w:rFonts w:ascii="Arial" w:hAnsi="Arial" w:cs="Arial"/>
                <w:sz w:val="24"/>
                <w:szCs w:val="24"/>
              </w:rPr>
              <w:t>Procréation médicalement assistée</w:t>
            </w:r>
          </w:p>
        </w:tc>
      </w:tr>
      <w:tr w:rsidR="006B0748" w:rsidRPr="000C58EB" w:rsidTr="00B1430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6B0748" w:rsidRPr="000C58EB" w:rsidRDefault="006B0748" w:rsidP="00B14307">
            <w:pPr>
              <w:rPr>
                <w:rFonts w:ascii="Arial" w:hAnsi="Arial" w:cs="Arial"/>
                <w:sz w:val="24"/>
                <w:szCs w:val="24"/>
              </w:rPr>
            </w:pPr>
            <w:r w:rsidRPr="000C58EB">
              <w:rPr>
                <w:rFonts w:ascii="Arial" w:hAnsi="Arial" w:cs="Arial"/>
                <w:sz w:val="24"/>
                <w:szCs w:val="24"/>
              </w:rPr>
              <w:t>POC</w:t>
            </w:r>
          </w:p>
        </w:tc>
        <w:tc>
          <w:tcPr>
            <w:tcW w:w="6799" w:type="dxa"/>
            <w:vAlign w:val="center"/>
          </w:tcPr>
          <w:p w:rsidR="006B0748" w:rsidRPr="000C58EB" w:rsidRDefault="006B0748" w:rsidP="00B143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C58EB">
              <w:rPr>
                <w:rFonts w:ascii="Arial" w:hAnsi="Arial" w:cs="Arial"/>
                <w:sz w:val="24"/>
                <w:szCs w:val="24"/>
              </w:rPr>
              <w:t>Proof of concept</w:t>
            </w:r>
          </w:p>
        </w:tc>
      </w:tr>
      <w:tr w:rsidR="006B0748" w:rsidRPr="000C58EB" w:rsidTr="00B14307">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6B0748" w:rsidRPr="000C58EB" w:rsidRDefault="006B0748" w:rsidP="00B14307">
            <w:pPr>
              <w:rPr>
                <w:rFonts w:ascii="Arial" w:hAnsi="Arial" w:cs="Arial"/>
                <w:sz w:val="24"/>
                <w:szCs w:val="24"/>
              </w:rPr>
            </w:pPr>
            <w:r w:rsidRPr="000C58EB">
              <w:rPr>
                <w:rFonts w:ascii="Arial" w:hAnsi="Arial" w:cs="Arial"/>
                <w:sz w:val="24"/>
                <w:szCs w:val="24"/>
              </w:rPr>
              <w:t>RB</w:t>
            </w:r>
          </w:p>
        </w:tc>
        <w:tc>
          <w:tcPr>
            <w:tcW w:w="6799" w:type="dxa"/>
            <w:vAlign w:val="center"/>
          </w:tcPr>
          <w:p w:rsidR="006B0748" w:rsidRPr="000C58EB" w:rsidRDefault="006B0748" w:rsidP="00B143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C58EB">
              <w:rPr>
                <w:rFonts w:ascii="Arial" w:hAnsi="Arial" w:cs="Arial"/>
                <w:sz w:val="24"/>
                <w:szCs w:val="24"/>
                <w:lang w:val="en-US"/>
              </w:rPr>
              <w:t>Remote Business</w:t>
            </w:r>
          </w:p>
        </w:tc>
      </w:tr>
      <w:tr w:rsidR="006B0748" w:rsidRPr="000C58EB" w:rsidTr="00B1430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6B0748" w:rsidRPr="000C58EB" w:rsidRDefault="006B0748" w:rsidP="00B14307">
            <w:pPr>
              <w:rPr>
                <w:rFonts w:ascii="Arial" w:hAnsi="Arial" w:cs="Arial"/>
                <w:sz w:val="24"/>
                <w:szCs w:val="24"/>
              </w:rPr>
            </w:pPr>
            <w:r w:rsidRPr="000C58EB">
              <w:rPr>
                <w:rFonts w:ascii="Arial" w:hAnsi="Arial" w:cs="Arial"/>
                <w:sz w:val="24"/>
                <w:szCs w:val="24"/>
              </w:rPr>
              <w:t>RH</w:t>
            </w:r>
          </w:p>
        </w:tc>
        <w:tc>
          <w:tcPr>
            <w:tcW w:w="6799" w:type="dxa"/>
            <w:vAlign w:val="center"/>
          </w:tcPr>
          <w:p w:rsidR="006B0748" w:rsidRPr="000C58EB" w:rsidRDefault="006B0748" w:rsidP="00B143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C58EB">
              <w:rPr>
                <w:rFonts w:ascii="Arial" w:hAnsi="Arial" w:cs="Arial"/>
                <w:sz w:val="24"/>
                <w:szCs w:val="24"/>
              </w:rPr>
              <w:t>Ressources humaines</w:t>
            </w:r>
          </w:p>
        </w:tc>
      </w:tr>
      <w:tr w:rsidR="006B0748" w:rsidRPr="000C58EB" w:rsidTr="00B14307">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6B0748" w:rsidRPr="000C58EB" w:rsidRDefault="006B0748" w:rsidP="00B14307">
            <w:pPr>
              <w:rPr>
                <w:rFonts w:ascii="Arial" w:hAnsi="Arial" w:cs="Arial"/>
                <w:sz w:val="24"/>
                <w:szCs w:val="24"/>
              </w:rPr>
            </w:pPr>
            <w:r w:rsidRPr="000C58EB">
              <w:rPr>
                <w:rFonts w:ascii="Arial" w:hAnsi="Arial" w:cs="Arial"/>
                <w:sz w:val="24"/>
                <w:szCs w:val="24"/>
              </w:rPr>
              <w:t>RSE</w:t>
            </w:r>
          </w:p>
        </w:tc>
        <w:tc>
          <w:tcPr>
            <w:tcW w:w="6799" w:type="dxa"/>
            <w:vAlign w:val="center"/>
          </w:tcPr>
          <w:p w:rsidR="006B0748" w:rsidRPr="000C58EB" w:rsidRDefault="006B0748" w:rsidP="00B14307">
            <w:pPr>
              <w:pStyle w:val="Default"/>
              <w:cnfStyle w:val="000000000000" w:firstRow="0" w:lastRow="0" w:firstColumn="0" w:lastColumn="0" w:oddVBand="0" w:evenVBand="0" w:oddHBand="0" w:evenHBand="0" w:firstRowFirstColumn="0" w:firstRowLastColumn="0" w:lastRowFirstColumn="0" w:lastRowLastColumn="0"/>
              <w:rPr>
                <w:rFonts w:ascii="Arial" w:hAnsi="Arial" w:cs="Arial"/>
              </w:rPr>
            </w:pPr>
            <w:r w:rsidRPr="000C58EB">
              <w:rPr>
                <w:rFonts w:ascii="Arial" w:hAnsi="Arial" w:cs="Arial"/>
              </w:rPr>
              <w:t>Responsabilité Sociétale des Entreprises</w:t>
            </w:r>
            <w:r w:rsidRPr="00A46083">
              <w:rPr>
                <w:rFonts w:ascii="Arial" w:hAnsi="Arial" w:cs="Arial"/>
                <w:color w:val="212121"/>
                <w:shd w:val="clear" w:color="auto" w:fill="FFFFFF"/>
              </w:rPr>
              <w:t xml:space="preserve"> </w:t>
            </w:r>
          </w:p>
        </w:tc>
      </w:tr>
      <w:tr w:rsidR="006B0748" w:rsidRPr="000C58EB" w:rsidTr="00B1430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6B0748" w:rsidRPr="00A46083" w:rsidRDefault="006B0748" w:rsidP="00B14307">
            <w:pPr>
              <w:rPr>
                <w:rFonts w:ascii="Arial" w:hAnsi="Arial" w:cs="Arial"/>
                <w:sz w:val="24"/>
                <w:szCs w:val="24"/>
              </w:rPr>
            </w:pPr>
            <w:r w:rsidRPr="00A46083">
              <w:rPr>
                <w:rFonts w:ascii="Arial" w:hAnsi="Arial" w:cs="Arial"/>
                <w:sz w:val="24"/>
                <w:szCs w:val="24"/>
              </w:rPr>
              <w:t>UAT</w:t>
            </w:r>
          </w:p>
        </w:tc>
        <w:tc>
          <w:tcPr>
            <w:tcW w:w="6799" w:type="dxa"/>
            <w:vAlign w:val="center"/>
          </w:tcPr>
          <w:p w:rsidR="006B0748" w:rsidRPr="00A46083" w:rsidRDefault="006B0748" w:rsidP="00B143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Les tests de validation utilisateur constituent l’étape final de tout cycle de développement logiciel.</w:t>
            </w:r>
          </w:p>
        </w:tc>
      </w:tr>
      <w:tr w:rsidR="006B0748" w:rsidRPr="000C58EB" w:rsidTr="00B14307">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6B0748" w:rsidRPr="000C58EB" w:rsidRDefault="006B0748" w:rsidP="00B14307">
            <w:pPr>
              <w:rPr>
                <w:rFonts w:ascii="Arial" w:hAnsi="Arial" w:cs="Arial"/>
                <w:sz w:val="24"/>
                <w:szCs w:val="24"/>
              </w:rPr>
            </w:pPr>
            <w:r w:rsidRPr="000C58EB">
              <w:rPr>
                <w:rFonts w:ascii="Arial" w:hAnsi="Arial" w:cs="Arial"/>
                <w:sz w:val="24"/>
                <w:szCs w:val="24"/>
              </w:rPr>
              <w:t>UI</w:t>
            </w:r>
          </w:p>
        </w:tc>
        <w:tc>
          <w:tcPr>
            <w:tcW w:w="6799" w:type="dxa"/>
            <w:vAlign w:val="center"/>
          </w:tcPr>
          <w:p w:rsidR="006B0748" w:rsidRPr="000C58EB" w:rsidRDefault="006B0748" w:rsidP="00B143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C58EB">
              <w:rPr>
                <w:rFonts w:ascii="Arial" w:hAnsi="Arial" w:cs="Arial"/>
                <w:sz w:val="24"/>
                <w:szCs w:val="24"/>
              </w:rPr>
              <w:t>User Interface</w:t>
            </w:r>
          </w:p>
        </w:tc>
      </w:tr>
      <w:tr w:rsidR="006B0748" w:rsidRPr="000C58EB" w:rsidTr="00B1430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6B0748" w:rsidRPr="000C58EB" w:rsidRDefault="006B0748" w:rsidP="00B14307">
            <w:pPr>
              <w:rPr>
                <w:rFonts w:ascii="Arial" w:hAnsi="Arial" w:cs="Arial"/>
                <w:sz w:val="24"/>
                <w:szCs w:val="24"/>
              </w:rPr>
            </w:pPr>
            <w:r w:rsidRPr="000C58EB">
              <w:rPr>
                <w:rFonts w:ascii="Arial" w:hAnsi="Arial" w:cs="Arial"/>
                <w:sz w:val="24"/>
                <w:szCs w:val="24"/>
              </w:rPr>
              <w:t>UX</w:t>
            </w:r>
          </w:p>
        </w:tc>
        <w:tc>
          <w:tcPr>
            <w:tcW w:w="6799" w:type="dxa"/>
            <w:vAlign w:val="center"/>
          </w:tcPr>
          <w:p w:rsidR="006B0748" w:rsidRPr="000C58EB" w:rsidRDefault="006B0748" w:rsidP="00B143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C58EB">
              <w:rPr>
                <w:rFonts w:ascii="Arial" w:hAnsi="Arial" w:cs="Arial"/>
                <w:sz w:val="24"/>
                <w:szCs w:val="24"/>
                <w:lang w:val="en-US"/>
              </w:rPr>
              <w:t>User Experience</w:t>
            </w:r>
          </w:p>
        </w:tc>
      </w:tr>
      <w:tr w:rsidR="006B0748" w:rsidRPr="000C58EB" w:rsidTr="00B14307">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6B0748" w:rsidRPr="000C58EB" w:rsidRDefault="006B0748" w:rsidP="00B14307">
            <w:pPr>
              <w:rPr>
                <w:rFonts w:ascii="Arial" w:hAnsi="Arial" w:cs="Arial"/>
                <w:sz w:val="24"/>
                <w:szCs w:val="24"/>
              </w:rPr>
            </w:pPr>
            <w:r w:rsidRPr="000C58EB">
              <w:rPr>
                <w:rFonts w:ascii="Arial" w:hAnsi="Arial" w:cs="Arial"/>
                <w:sz w:val="24"/>
                <w:szCs w:val="24"/>
              </w:rPr>
              <w:t>SIT</w:t>
            </w:r>
          </w:p>
        </w:tc>
        <w:tc>
          <w:tcPr>
            <w:tcW w:w="6799" w:type="dxa"/>
            <w:vAlign w:val="center"/>
          </w:tcPr>
          <w:p w:rsidR="006B0748" w:rsidRPr="000C58EB" w:rsidRDefault="006B0748" w:rsidP="00B14307">
            <w:pPr>
              <w:pStyle w:val="Default"/>
              <w:cnfStyle w:val="000000000000" w:firstRow="0" w:lastRow="0" w:firstColumn="0" w:lastColumn="0" w:oddVBand="0" w:evenVBand="0" w:oddHBand="0" w:evenHBand="0" w:firstRowFirstColumn="0" w:firstRowLastColumn="0" w:lastRowFirstColumn="0" w:lastRowLastColumn="0"/>
              <w:rPr>
                <w:rFonts w:ascii="Arial" w:hAnsi="Arial" w:cs="Arial"/>
              </w:rPr>
            </w:pPr>
            <w:r w:rsidRPr="000C58EB">
              <w:rPr>
                <w:rFonts w:ascii="Arial" w:hAnsi="Arial" w:cs="Arial"/>
                <w:color w:val="212121"/>
                <w:shd w:val="clear" w:color="auto" w:fill="FFFFFF"/>
              </w:rPr>
              <w:t>Les tests de validation développeurs constituent l’étape de vérifications des fonctionnalités par le développeur</w:t>
            </w:r>
            <w:r>
              <w:rPr>
                <w:rFonts w:ascii="Arial" w:hAnsi="Arial" w:cs="Arial"/>
                <w:color w:val="212121"/>
                <w:shd w:val="clear" w:color="auto" w:fill="FFFFFF"/>
              </w:rPr>
              <w:t>.</w:t>
            </w:r>
          </w:p>
        </w:tc>
      </w:tr>
      <w:tr w:rsidR="006B0748" w:rsidRPr="000C58EB" w:rsidTr="00B1430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6B0748" w:rsidRPr="000C58EB" w:rsidRDefault="006B0748" w:rsidP="00B14307">
            <w:pPr>
              <w:rPr>
                <w:rFonts w:ascii="Arial" w:hAnsi="Arial" w:cs="Arial"/>
                <w:sz w:val="24"/>
                <w:szCs w:val="24"/>
              </w:rPr>
            </w:pPr>
            <w:r w:rsidRPr="000C58EB">
              <w:rPr>
                <w:rFonts w:ascii="Arial" w:hAnsi="Arial" w:cs="Arial"/>
                <w:sz w:val="24"/>
                <w:szCs w:val="24"/>
              </w:rPr>
              <w:t>TNP</w:t>
            </w:r>
          </w:p>
        </w:tc>
        <w:tc>
          <w:tcPr>
            <w:tcW w:w="6799" w:type="dxa"/>
            <w:vAlign w:val="center"/>
          </w:tcPr>
          <w:p w:rsidR="006B0748" w:rsidRPr="000C58EB" w:rsidRDefault="006B0748" w:rsidP="00B143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0C58EB">
              <w:rPr>
                <w:rFonts w:ascii="Arial" w:hAnsi="Arial" w:cs="Arial"/>
                <w:sz w:val="24"/>
                <w:szCs w:val="24"/>
                <w:lang w:val="en-US"/>
              </w:rPr>
              <w:t>Transformation and Performance</w:t>
            </w:r>
          </w:p>
        </w:tc>
      </w:tr>
    </w:tbl>
    <w:p w:rsidR="006B0748" w:rsidRPr="006B0748" w:rsidRDefault="006B0748" w:rsidP="006B0748"/>
    <w:p w:rsidR="006B0748" w:rsidRPr="004D2605" w:rsidRDefault="006B0748" w:rsidP="006B0748">
      <w:pPr>
        <w:pStyle w:val="Titre1"/>
        <w:numPr>
          <w:ilvl w:val="0"/>
          <w:numId w:val="2"/>
        </w:numPr>
        <w:rPr>
          <w:rFonts w:ascii="Arial" w:hAnsi="Arial" w:cs="Arial"/>
          <w:b/>
          <w:color w:val="BF3737"/>
          <w:sz w:val="28"/>
        </w:rPr>
      </w:pPr>
      <w:r>
        <w:rPr>
          <w:rFonts w:ascii="Arial" w:hAnsi="Arial" w:cs="Arial"/>
          <w:b/>
          <w:color w:val="BF3737"/>
          <w:sz w:val="28"/>
        </w:rPr>
        <w:t>Contexte de la mission</w:t>
      </w:r>
      <w:bookmarkEnd w:id="0"/>
    </w:p>
    <w:p w:rsidR="006B0748" w:rsidRDefault="006B0748" w:rsidP="006B0748">
      <w:pPr>
        <w:pStyle w:val="Titre2"/>
        <w:numPr>
          <w:ilvl w:val="0"/>
          <w:numId w:val="3"/>
        </w:numPr>
        <w:rPr>
          <w:rFonts w:ascii="Arial" w:hAnsi="Arial" w:cs="Arial"/>
          <w:b/>
          <w:i/>
          <w:color w:val="2E74B5" w:themeColor="accent5" w:themeShade="BF"/>
        </w:rPr>
      </w:pPr>
      <w:bookmarkStart w:id="2" w:name="_Toc21962965"/>
      <w:r w:rsidRPr="00FE57EB">
        <w:rPr>
          <w:rFonts w:ascii="Arial" w:hAnsi="Arial" w:cs="Arial"/>
          <w:b/>
          <w:i/>
          <w:color w:val="2E74B5" w:themeColor="accent5" w:themeShade="BF"/>
        </w:rPr>
        <w:t>L’entreprise : TNP Consultants</w:t>
      </w:r>
      <w:bookmarkEnd w:id="2"/>
    </w:p>
    <w:p w:rsidR="006B0748" w:rsidRPr="003D7AB1" w:rsidRDefault="006B0748" w:rsidP="006B0748"/>
    <w:p w:rsidR="006B0748" w:rsidRDefault="006B0748" w:rsidP="006B0748">
      <w:pPr>
        <w:pStyle w:val="NormalWeb"/>
        <w:spacing w:before="240" w:beforeAutospacing="0" w:after="240" w:afterAutospacing="0"/>
        <w:ind w:firstLine="360"/>
        <w:jc w:val="both"/>
      </w:pPr>
      <w:r>
        <w:rPr>
          <w:rFonts w:ascii="Arial" w:hAnsi="Arial" w:cs="Arial"/>
          <w:color w:val="000000"/>
        </w:rPr>
        <w:t>Transformation and Performance Consultants (TNP Consultants) est un cabinet multi spécialiste hybride et indépendant qui intervient dans la mise en place de programmes de transformation auprès de grands groupes. Le cabinet fut créé en 2007 (12 ans d’activité) par Benoit RANINI et Guy LETURCQ.</w:t>
      </w:r>
    </w:p>
    <w:p w:rsidR="006B0748" w:rsidRDefault="006B0748" w:rsidP="006B0748">
      <w:pPr>
        <w:pStyle w:val="NormalWeb"/>
        <w:spacing w:before="240" w:beforeAutospacing="0" w:after="240" w:afterAutospacing="0"/>
        <w:ind w:firstLine="360"/>
        <w:jc w:val="both"/>
      </w:pPr>
      <w:r>
        <w:rPr>
          <w:rFonts w:ascii="Arial" w:hAnsi="Arial" w:cs="Arial"/>
          <w:color w:val="000000"/>
        </w:rPr>
        <w:t>Le cabinet apporte son expertise et son savoir-faire dans la mise en place de modèles opérationnels pour dynamiser la performance des entreprises et leur permettre de créer toujours plus de valeur ajoutée. Le cabinet est détenu à 100% par les associés. Le cabinet TNP Consultants est en pleine croissance avec 50 millions d’euros de chiffre d’affaires en 2017, 60 millions en 2018, 85 millions en 2019 et une prévision de 100 millions pour 2020.</w:t>
      </w:r>
    </w:p>
    <w:p w:rsidR="006B0748" w:rsidRDefault="006B0748" w:rsidP="006B0748">
      <w:pPr>
        <w:ind w:firstLine="360"/>
        <w:jc w:val="both"/>
        <w:rPr>
          <w:rFonts w:ascii="Arial" w:hAnsi="Arial" w:cs="Arial"/>
          <w:noProof/>
        </w:rPr>
      </w:pPr>
      <w:r w:rsidRPr="00FE57EB">
        <w:rPr>
          <w:rFonts w:ascii="Arial" w:hAnsi="Arial" w:cs="Arial"/>
          <w:sz w:val="24"/>
          <w:szCs w:val="24"/>
        </w:rPr>
        <w:t>Il comptabilise 9 bureaux dans le monde (Paris, Marseille, Lyon, Casablanca, Alger, Cochin, Genève et Luxembourg). Il réunit en son sein 18 nationalités différentes à travers le monde, avec 16 langues parlées entre tous ses collaborateurs.</w:t>
      </w:r>
      <w:r w:rsidRPr="00FE57EB">
        <w:rPr>
          <w:rFonts w:ascii="Arial" w:hAnsi="Arial" w:cs="Arial"/>
          <w:noProof/>
        </w:rPr>
        <w:t xml:space="preserve"> </w:t>
      </w:r>
    </w:p>
    <w:p w:rsidR="006B0748" w:rsidRDefault="006B0748" w:rsidP="006B0748">
      <w:pPr>
        <w:keepNext/>
        <w:ind w:firstLine="360"/>
        <w:jc w:val="center"/>
      </w:pPr>
      <w:r w:rsidRPr="00FE57EB">
        <w:rPr>
          <w:rFonts w:ascii="Arial" w:hAnsi="Arial" w:cs="Arial"/>
          <w:noProof/>
        </w:rPr>
        <w:drawing>
          <wp:inline distT="0" distB="0" distL="0" distR="0" wp14:anchorId="31158469" wp14:editId="218573E2">
            <wp:extent cx="3151505" cy="16078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847" b="6016"/>
                    <a:stretch/>
                  </pic:blipFill>
                  <pic:spPr bwMode="auto">
                    <a:xfrm>
                      <a:off x="0" y="0"/>
                      <a:ext cx="3176664" cy="1620656"/>
                    </a:xfrm>
                    <a:prstGeom prst="rect">
                      <a:avLst/>
                    </a:prstGeom>
                    <a:ln>
                      <a:noFill/>
                    </a:ln>
                    <a:extLst>
                      <a:ext uri="{53640926-AAD7-44D8-BBD7-CCE9431645EC}">
                        <a14:shadowObscured xmlns:a14="http://schemas.microsoft.com/office/drawing/2010/main"/>
                      </a:ext>
                    </a:extLst>
                  </pic:spPr>
                </pic:pic>
              </a:graphicData>
            </a:graphic>
          </wp:inline>
        </w:drawing>
      </w:r>
    </w:p>
    <w:p w:rsidR="006B0748" w:rsidRDefault="006B0748" w:rsidP="006B0748">
      <w:pPr>
        <w:pStyle w:val="Lgende"/>
        <w:jc w:val="center"/>
        <w:rPr>
          <w:rFonts w:ascii="Arial" w:hAnsi="Arial" w:cs="Arial"/>
          <w:sz w:val="24"/>
          <w:szCs w:val="24"/>
        </w:rPr>
      </w:pPr>
      <w:bookmarkStart w:id="3" w:name="_Toc21962929"/>
      <w:r>
        <w:t xml:space="preserve">Figure </w:t>
      </w:r>
      <w:r>
        <w:fldChar w:fldCharType="begin"/>
      </w:r>
      <w:r>
        <w:instrText xml:space="preserve"> SEQ Figure \* ARABIC </w:instrText>
      </w:r>
      <w:r>
        <w:fldChar w:fldCharType="separate"/>
      </w:r>
      <w:r>
        <w:rPr>
          <w:noProof/>
        </w:rPr>
        <w:t>1</w:t>
      </w:r>
      <w:r>
        <w:fldChar w:fldCharType="end"/>
      </w:r>
      <w:r>
        <w:t xml:space="preserve"> : Implantation de TNP Consultants dans le monde</w:t>
      </w:r>
      <w:bookmarkEnd w:id="3"/>
    </w:p>
    <w:p w:rsidR="006B0748" w:rsidRPr="00FE57EB" w:rsidRDefault="006B0748" w:rsidP="006B0748">
      <w:pPr>
        <w:ind w:firstLine="360"/>
        <w:jc w:val="both"/>
        <w:rPr>
          <w:rFonts w:ascii="Arial" w:hAnsi="Arial" w:cs="Arial"/>
          <w:sz w:val="24"/>
          <w:szCs w:val="24"/>
        </w:rPr>
      </w:pPr>
      <w:r w:rsidRPr="00FE57EB">
        <w:rPr>
          <w:rFonts w:ascii="Arial" w:hAnsi="Arial" w:cs="Arial"/>
          <w:sz w:val="24"/>
          <w:szCs w:val="24"/>
        </w:rPr>
        <w:t xml:space="preserve"> Il participe au développement et l’accélération de solutions innovantes et disruptives grâce à ses différentes entités. Le </w:t>
      </w:r>
      <w:proofErr w:type="spellStart"/>
      <w:r w:rsidRPr="00FE57EB">
        <w:rPr>
          <w:rFonts w:ascii="Arial" w:hAnsi="Arial" w:cs="Arial"/>
          <w:sz w:val="24"/>
          <w:szCs w:val="24"/>
        </w:rPr>
        <w:t>Gate</w:t>
      </w:r>
      <w:proofErr w:type="spellEnd"/>
      <w:r w:rsidRPr="00FE57EB">
        <w:rPr>
          <w:rFonts w:ascii="Arial" w:hAnsi="Arial" w:cs="Arial"/>
          <w:sz w:val="24"/>
          <w:szCs w:val="24"/>
        </w:rPr>
        <w:t xml:space="preserve"> 31, qui est l’incubateur de start-ups parmi lesquelles nous pouvons citer </w:t>
      </w:r>
      <w:proofErr w:type="spellStart"/>
      <w:r w:rsidRPr="00FE57EB">
        <w:rPr>
          <w:rFonts w:ascii="Arial" w:hAnsi="Arial" w:cs="Arial"/>
          <w:sz w:val="24"/>
          <w:szCs w:val="24"/>
        </w:rPr>
        <w:t>BlueDME</w:t>
      </w:r>
      <w:proofErr w:type="spellEnd"/>
      <w:r w:rsidRPr="00FE57EB">
        <w:rPr>
          <w:rFonts w:ascii="Arial" w:hAnsi="Arial" w:cs="Arial"/>
          <w:sz w:val="24"/>
          <w:szCs w:val="24"/>
        </w:rPr>
        <w:t xml:space="preserve">, une solution intelligente pour les constructeurs automobiles ou encore </w:t>
      </w:r>
      <w:proofErr w:type="spellStart"/>
      <w:r w:rsidRPr="00FE57EB">
        <w:rPr>
          <w:rFonts w:ascii="Arial" w:hAnsi="Arial" w:cs="Arial"/>
          <w:sz w:val="24"/>
          <w:szCs w:val="24"/>
        </w:rPr>
        <w:t>Wistim</w:t>
      </w:r>
      <w:proofErr w:type="spellEnd"/>
      <w:r w:rsidRPr="00FE57EB">
        <w:rPr>
          <w:rFonts w:ascii="Arial" w:hAnsi="Arial" w:cs="Arial"/>
          <w:sz w:val="24"/>
          <w:szCs w:val="24"/>
        </w:rPr>
        <w:t xml:space="preserve">, une solution pour les couples ayant effectué </w:t>
      </w:r>
      <w:proofErr w:type="gramStart"/>
      <w:r w:rsidRPr="00FE57EB">
        <w:rPr>
          <w:rFonts w:ascii="Arial" w:hAnsi="Arial" w:cs="Arial"/>
          <w:sz w:val="24"/>
          <w:szCs w:val="24"/>
        </w:rPr>
        <w:t>une PMA</w:t>
      </w:r>
      <w:proofErr w:type="gramEnd"/>
      <w:r w:rsidRPr="00FE57EB">
        <w:rPr>
          <w:rFonts w:ascii="Arial" w:hAnsi="Arial" w:cs="Arial"/>
          <w:sz w:val="24"/>
          <w:szCs w:val="24"/>
        </w:rPr>
        <w:t xml:space="preserve">. L’IOT Valley à Toulouse, un autre incubateur de start-ups. Enfin, le T-Hub à Hyderabad, un des plus grands incubateurs de start-ups indiennes. </w:t>
      </w:r>
    </w:p>
    <w:p w:rsidR="006B0748" w:rsidRPr="00FE57EB" w:rsidRDefault="006B0748" w:rsidP="006B0748">
      <w:pPr>
        <w:ind w:firstLine="360"/>
        <w:jc w:val="both"/>
        <w:rPr>
          <w:rFonts w:ascii="Arial" w:hAnsi="Arial" w:cs="Arial"/>
          <w:sz w:val="24"/>
          <w:szCs w:val="24"/>
        </w:rPr>
      </w:pPr>
      <w:r w:rsidRPr="00FE57EB">
        <w:rPr>
          <w:rFonts w:ascii="Arial" w:hAnsi="Arial" w:cs="Arial"/>
          <w:sz w:val="24"/>
          <w:szCs w:val="24"/>
        </w:rPr>
        <w:t xml:space="preserve">Le cabinet TNP Consultants a pour but de mener les entreprises vers une transformation où l’intelligence artificielle et l’intelligence émotionnelle feront la différence, notamment pour quatre grands secteurs : </w:t>
      </w:r>
    </w:p>
    <w:p w:rsidR="006B0748" w:rsidRPr="00FE57EB" w:rsidRDefault="006B0748" w:rsidP="006B0748">
      <w:pPr>
        <w:pStyle w:val="Paragraphedeliste"/>
        <w:numPr>
          <w:ilvl w:val="0"/>
          <w:numId w:val="4"/>
        </w:numPr>
        <w:jc w:val="both"/>
        <w:rPr>
          <w:rFonts w:ascii="Arial" w:hAnsi="Arial" w:cs="Arial"/>
          <w:sz w:val="24"/>
          <w:szCs w:val="24"/>
        </w:rPr>
      </w:pPr>
      <w:r w:rsidRPr="00FE57EB">
        <w:rPr>
          <w:rFonts w:ascii="Arial" w:hAnsi="Arial" w:cs="Arial"/>
          <w:sz w:val="24"/>
          <w:szCs w:val="24"/>
        </w:rPr>
        <w:t>Banque : Société Générale, BNP Paribas ou encore le Crédit Agricole</w:t>
      </w:r>
    </w:p>
    <w:p w:rsidR="006B0748" w:rsidRPr="00FE57EB" w:rsidRDefault="006B0748" w:rsidP="006B0748">
      <w:pPr>
        <w:pStyle w:val="Paragraphedeliste"/>
        <w:numPr>
          <w:ilvl w:val="0"/>
          <w:numId w:val="4"/>
        </w:numPr>
        <w:jc w:val="both"/>
        <w:rPr>
          <w:rFonts w:ascii="Arial" w:hAnsi="Arial" w:cs="Arial"/>
          <w:sz w:val="24"/>
          <w:szCs w:val="24"/>
        </w:rPr>
      </w:pPr>
      <w:r w:rsidRPr="00FE57EB">
        <w:rPr>
          <w:rFonts w:ascii="Arial" w:hAnsi="Arial" w:cs="Arial"/>
          <w:sz w:val="24"/>
          <w:szCs w:val="24"/>
        </w:rPr>
        <w:t xml:space="preserve"> Assurance et Protection sociale : AXA, AG2R La Mondiale ou encore Groupama </w:t>
      </w:r>
    </w:p>
    <w:p w:rsidR="006B0748" w:rsidRPr="00FE57EB" w:rsidRDefault="006B0748" w:rsidP="006B0748">
      <w:pPr>
        <w:pStyle w:val="Paragraphedeliste"/>
        <w:numPr>
          <w:ilvl w:val="0"/>
          <w:numId w:val="4"/>
        </w:numPr>
        <w:jc w:val="both"/>
        <w:rPr>
          <w:rFonts w:ascii="Arial" w:hAnsi="Arial" w:cs="Arial"/>
          <w:sz w:val="24"/>
          <w:szCs w:val="24"/>
        </w:rPr>
      </w:pPr>
      <w:r w:rsidRPr="00FE57EB">
        <w:rPr>
          <w:rFonts w:ascii="Arial" w:hAnsi="Arial" w:cs="Arial"/>
          <w:sz w:val="24"/>
          <w:szCs w:val="24"/>
        </w:rPr>
        <w:t xml:space="preserve">Santé et Secteur public : AGIRC-ARRCO, la Marine nationale ou encore la ville de Neuilly-sur-Seine. </w:t>
      </w:r>
    </w:p>
    <w:p w:rsidR="006B0748" w:rsidRPr="00FE57EB" w:rsidRDefault="006B0748" w:rsidP="006B0748">
      <w:pPr>
        <w:pStyle w:val="Paragraphedeliste"/>
        <w:numPr>
          <w:ilvl w:val="0"/>
          <w:numId w:val="4"/>
        </w:numPr>
        <w:jc w:val="both"/>
        <w:rPr>
          <w:rFonts w:ascii="Arial" w:hAnsi="Arial" w:cs="Arial"/>
          <w:sz w:val="24"/>
          <w:szCs w:val="24"/>
        </w:rPr>
      </w:pPr>
      <w:r w:rsidRPr="00FE57EB">
        <w:rPr>
          <w:rFonts w:ascii="Arial" w:hAnsi="Arial" w:cs="Arial"/>
          <w:sz w:val="24"/>
          <w:szCs w:val="24"/>
        </w:rPr>
        <w:lastRenderedPageBreak/>
        <w:t xml:space="preserve">Industrie et Service, un secteur regroupant différents sous-secteurs : </w:t>
      </w:r>
    </w:p>
    <w:p w:rsidR="006B0748" w:rsidRPr="00FE57EB" w:rsidRDefault="006B0748" w:rsidP="006B0748">
      <w:pPr>
        <w:pStyle w:val="Paragraphedeliste"/>
        <w:numPr>
          <w:ilvl w:val="1"/>
          <w:numId w:val="4"/>
        </w:numPr>
        <w:jc w:val="both"/>
        <w:rPr>
          <w:rFonts w:ascii="Arial" w:hAnsi="Arial" w:cs="Arial"/>
          <w:sz w:val="24"/>
          <w:szCs w:val="24"/>
        </w:rPr>
      </w:pPr>
      <w:r w:rsidRPr="00FE57EB">
        <w:rPr>
          <w:rFonts w:ascii="Arial" w:hAnsi="Arial" w:cs="Arial"/>
          <w:sz w:val="24"/>
          <w:szCs w:val="24"/>
        </w:rPr>
        <w:t xml:space="preserve"> Énergie et Utilities : EDF, Total ou encore VEOLIA</w:t>
      </w:r>
    </w:p>
    <w:p w:rsidR="006B0748" w:rsidRPr="00FE57EB" w:rsidRDefault="006B0748" w:rsidP="006B0748">
      <w:pPr>
        <w:pStyle w:val="Paragraphedeliste"/>
        <w:numPr>
          <w:ilvl w:val="1"/>
          <w:numId w:val="4"/>
        </w:numPr>
        <w:jc w:val="both"/>
        <w:rPr>
          <w:rFonts w:ascii="Arial" w:hAnsi="Arial" w:cs="Arial"/>
          <w:sz w:val="24"/>
          <w:szCs w:val="24"/>
        </w:rPr>
      </w:pPr>
      <w:r w:rsidRPr="00FE57EB">
        <w:rPr>
          <w:rFonts w:ascii="Arial" w:hAnsi="Arial" w:cs="Arial"/>
          <w:sz w:val="24"/>
          <w:szCs w:val="24"/>
        </w:rPr>
        <w:t xml:space="preserve"> Mobilité : SNCF, RATP ou encore Airbus </w:t>
      </w:r>
    </w:p>
    <w:p w:rsidR="006B0748" w:rsidRPr="00FE57EB" w:rsidRDefault="006B0748" w:rsidP="006B0748">
      <w:pPr>
        <w:pStyle w:val="Paragraphedeliste"/>
        <w:numPr>
          <w:ilvl w:val="1"/>
          <w:numId w:val="4"/>
        </w:numPr>
        <w:jc w:val="both"/>
        <w:rPr>
          <w:rFonts w:ascii="Arial" w:hAnsi="Arial" w:cs="Arial"/>
          <w:sz w:val="24"/>
          <w:szCs w:val="24"/>
        </w:rPr>
      </w:pPr>
      <w:r w:rsidRPr="00FE57EB">
        <w:rPr>
          <w:rFonts w:ascii="Arial" w:hAnsi="Arial" w:cs="Arial"/>
          <w:sz w:val="24"/>
          <w:szCs w:val="24"/>
        </w:rPr>
        <w:t xml:space="preserve"> </w:t>
      </w:r>
      <w:proofErr w:type="spellStart"/>
      <w:r w:rsidRPr="00FE57EB">
        <w:rPr>
          <w:rFonts w:ascii="Arial" w:hAnsi="Arial" w:cs="Arial"/>
          <w:sz w:val="24"/>
          <w:szCs w:val="24"/>
        </w:rPr>
        <w:t>Retail</w:t>
      </w:r>
      <w:proofErr w:type="spellEnd"/>
      <w:r w:rsidRPr="00FE57EB">
        <w:rPr>
          <w:rFonts w:ascii="Arial" w:hAnsi="Arial" w:cs="Arial"/>
          <w:sz w:val="24"/>
          <w:szCs w:val="24"/>
        </w:rPr>
        <w:t xml:space="preserve">/Luxe : LVMH, Carrefour ou encore Vivarte. </w:t>
      </w:r>
    </w:p>
    <w:p w:rsidR="006B0748" w:rsidRPr="00FE57EB" w:rsidRDefault="006B0748" w:rsidP="006B0748">
      <w:pPr>
        <w:ind w:firstLine="360"/>
        <w:jc w:val="both"/>
        <w:rPr>
          <w:rFonts w:ascii="Arial" w:hAnsi="Arial" w:cs="Arial"/>
          <w:sz w:val="24"/>
          <w:szCs w:val="24"/>
        </w:rPr>
      </w:pPr>
      <w:r w:rsidRPr="00FE57EB">
        <w:rPr>
          <w:rFonts w:ascii="Arial" w:hAnsi="Arial" w:cs="Arial"/>
          <w:sz w:val="24"/>
          <w:szCs w:val="24"/>
        </w:rPr>
        <w:t xml:space="preserve">Chacun de ces quatre secteurs contribuent à la croissance du cabinet. Le secteur bancaire comptabilise 43% du chiffre d’affaires, 32% pour Industrie et Services et 25% pour Assurance. Le secteur public et de la santé font leur entrée en 2019 au sein des secteurs et ne participent donc pas pour le moment à la croissance du cabinet. </w:t>
      </w:r>
    </w:p>
    <w:p w:rsidR="006B0748" w:rsidRPr="00FE57EB" w:rsidRDefault="006B0748" w:rsidP="006B0748">
      <w:pPr>
        <w:ind w:firstLine="360"/>
        <w:jc w:val="both"/>
        <w:rPr>
          <w:rFonts w:ascii="Arial" w:hAnsi="Arial" w:cs="Arial"/>
          <w:sz w:val="24"/>
          <w:szCs w:val="24"/>
        </w:rPr>
      </w:pPr>
      <w:r w:rsidRPr="00FE57EB">
        <w:rPr>
          <w:rFonts w:ascii="Arial" w:hAnsi="Arial" w:cs="Arial"/>
          <w:sz w:val="24"/>
          <w:szCs w:val="24"/>
        </w:rPr>
        <w:t>De plus, TNP Consultants complète son approche sectorielle par une approche transverse séquencée en 9 offres (ou communautés) :</w:t>
      </w:r>
    </w:p>
    <w:p w:rsidR="006B0748" w:rsidRPr="00FE57EB" w:rsidRDefault="006B0748" w:rsidP="006B0748">
      <w:pPr>
        <w:pStyle w:val="Paragraphedeliste"/>
        <w:numPr>
          <w:ilvl w:val="0"/>
          <w:numId w:val="1"/>
        </w:numPr>
        <w:jc w:val="both"/>
        <w:rPr>
          <w:rFonts w:ascii="Arial" w:hAnsi="Arial" w:cs="Arial"/>
          <w:sz w:val="24"/>
          <w:szCs w:val="24"/>
        </w:rPr>
      </w:pPr>
      <w:r w:rsidRPr="00FE57EB">
        <w:rPr>
          <w:rFonts w:ascii="Arial" w:hAnsi="Arial" w:cs="Arial"/>
          <w:sz w:val="24"/>
          <w:szCs w:val="24"/>
        </w:rPr>
        <w:t xml:space="preserve">Comptabilité, risque et finance </w:t>
      </w:r>
    </w:p>
    <w:p w:rsidR="006B0748" w:rsidRPr="00FE57EB" w:rsidRDefault="006B0748" w:rsidP="006B0748">
      <w:pPr>
        <w:pStyle w:val="Paragraphedeliste"/>
        <w:numPr>
          <w:ilvl w:val="0"/>
          <w:numId w:val="1"/>
        </w:numPr>
        <w:jc w:val="both"/>
        <w:rPr>
          <w:rFonts w:ascii="Arial" w:hAnsi="Arial" w:cs="Arial"/>
          <w:sz w:val="24"/>
          <w:szCs w:val="24"/>
        </w:rPr>
      </w:pPr>
      <w:r w:rsidRPr="00FE57EB">
        <w:rPr>
          <w:rFonts w:ascii="Arial" w:hAnsi="Arial" w:cs="Arial"/>
          <w:sz w:val="24"/>
          <w:szCs w:val="24"/>
        </w:rPr>
        <w:t xml:space="preserve">Conformité réglementaire et Audit </w:t>
      </w:r>
    </w:p>
    <w:p w:rsidR="006B0748" w:rsidRPr="00FE57EB" w:rsidRDefault="006B0748" w:rsidP="006B0748">
      <w:pPr>
        <w:pStyle w:val="Paragraphedeliste"/>
        <w:numPr>
          <w:ilvl w:val="0"/>
          <w:numId w:val="1"/>
        </w:numPr>
        <w:jc w:val="both"/>
        <w:rPr>
          <w:rFonts w:ascii="Arial" w:hAnsi="Arial" w:cs="Arial"/>
          <w:sz w:val="24"/>
          <w:szCs w:val="24"/>
        </w:rPr>
      </w:pPr>
      <w:r w:rsidRPr="00FE57EB">
        <w:rPr>
          <w:rFonts w:ascii="Arial" w:hAnsi="Arial" w:cs="Arial"/>
          <w:sz w:val="24"/>
          <w:szCs w:val="24"/>
        </w:rPr>
        <w:t xml:space="preserve">Parcours client et Performance des ventes </w:t>
      </w:r>
    </w:p>
    <w:p w:rsidR="006B0748" w:rsidRPr="00FE57EB" w:rsidRDefault="006B0748" w:rsidP="006B0748">
      <w:pPr>
        <w:pStyle w:val="Paragraphedeliste"/>
        <w:numPr>
          <w:ilvl w:val="0"/>
          <w:numId w:val="1"/>
        </w:numPr>
        <w:jc w:val="both"/>
        <w:rPr>
          <w:rFonts w:ascii="Arial" w:hAnsi="Arial" w:cs="Arial"/>
          <w:sz w:val="24"/>
          <w:szCs w:val="24"/>
        </w:rPr>
      </w:pPr>
      <w:r w:rsidRPr="00FE57EB">
        <w:rPr>
          <w:rFonts w:ascii="Arial" w:hAnsi="Arial" w:cs="Arial"/>
          <w:sz w:val="24"/>
          <w:szCs w:val="24"/>
        </w:rPr>
        <w:t xml:space="preserve">Excellence opérationnelle et Robotisation </w:t>
      </w:r>
    </w:p>
    <w:p w:rsidR="006B0748" w:rsidRPr="00FE57EB" w:rsidRDefault="006B0748" w:rsidP="006B0748">
      <w:pPr>
        <w:pStyle w:val="Paragraphedeliste"/>
        <w:numPr>
          <w:ilvl w:val="0"/>
          <w:numId w:val="1"/>
        </w:numPr>
        <w:jc w:val="both"/>
        <w:rPr>
          <w:rFonts w:ascii="Arial" w:hAnsi="Arial" w:cs="Arial"/>
          <w:sz w:val="24"/>
          <w:szCs w:val="24"/>
          <w:lang w:val="en-US"/>
        </w:rPr>
      </w:pPr>
      <w:r w:rsidRPr="00FE57EB">
        <w:rPr>
          <w:rFonts w:ascii="Arial" w:hAnsi="Arial" w:cs="Arial"/>
          <w:sz w:val="24"/>
          <w:szCs w:val="24"/>
          <w:lang w:val="en-US"/>
        </w:rPr>
        <w:t xml:space="preserve">Data (Privacy, Management, Security et Analytics) </w:t>
      </w:r>
    </w:p>
    <w:p w:rsidR="006B0748" w:rsidRPr="00FE57EB" w:rsidRDefault="006B0748" w:rsidP="006B0748">
      <w:pPr>
        <w:pStyle w:val="Paragraphedeliste"/>
        <w:numPr>
          <w:ilvl w:val="0"/>
          <w:numId w:val="1"/>
        </w:numPr>
        <w:jc w:val="both"/>
        <w:rPr>
          <w:rFonts w:ascii="Arial" w:hAnsi="Arial" w:cs="Arial"/>
          <w:sz w:val="24"/>
          <w:szCs w:val="24"/>
        </w:rPr>
      </w:pPr>
      <w:r w:rsidRPr="00FE57EB">
        <w:rPr>
          <w:rFonts w:ascii="Arial" w:hAnsi="Arial" w:cs="Arial"/>
          <w:sz w:val="24"/>
          <w:szCs w:val="24"/>
        </w:rPr>
        <w:t xml:space="preserve">Transformation digitale </w:t>
      </w:r>
    </w:p>
    <w:p w:rsidR="006B0748" w:rsidRPr="00FE57EB" w:rsidRDefault="006B0748" w:rsidP="006B0748">
      <w:pPr>
        <w:pStyle w:val="Paragraphedeliste"/>
        <w:numPr>
          <w:ilvl w:val="0"/>
          <w:numId w:val="1"/>
        </w:numPr>
        <w:jc w:val="both"/>
        <w:rPr>
          <w:rFonts w:ascii="Arial" w:hAnsi="Arial" w:cs="Arial"/>
          <w:sz w:val="24"/>
          <w:szCs w:val="24"/>
        </w:rPr>
      </w:pPr>
      <w:r w:rsidRPr="00FE57EB">
        <w:rPr>
          <w:rFonts w:ascii="Arial" w:hAnsi="Arial" w:cs="Arial"/>
          <w:sz w:val="24"/>
          <w:szCs w:val="24"/>
        </w:rPr>
        <w:t xml:space="preserve">Transformation de la DSI </w:t>
      </w:r>
    </w:p>
    <w:p w:rsidR="006B0748" w:rsidRPr="00FE57EB" w:rsidRDefault="006B0748" w:rsidP="006B0748">
      <w:pPr>
        <w:pStyle w:val="Paragraphedeliste"/>
        <w:numPr>
          <w:ilvl w:val="0"/>
          <w:numId w:val="1"/>
        </w:numPr>
        <w:jc w:val="both"/>
        <w:rPr>
          <w:rFonts w:ascii="Arial" w:hAnsi="Arial" w:cs="Arial"/>
          <w:sz w:val="24"/>
          <w:szCs w:val="24"/>
        </w:rPr>
      </w:pPr>
      <w:r w:rsidRPr="00FE57EB">
        <w:rPr>
          <w:rFonts w:ascii="Arial" w:hAnsi="Arial" w:cs="Arial"/>
          <w:sz w:val="24"/>
          <w:szCs w:val="24"/>
        </w:rPr>
        <w:t xml:space="preserve">Business Solutions  </w:t>
      </w:r>
    </w:p>
    <w:p w:rsidR="006B0748" w:rsidRPr="00FE57EB" w:rsidRDefault="006B0748" w:rsidP="006B0748">
      <w:pPr>
        <w:pStyle w:val="Paragraphedeliste"/>
        <w:numPr>
          <w:ilvl w:val="0"/>
          <w:numId w:val="1"/>
        </w:numPr>
        <w:jc w:val="both"/>
        <w:rPr>
          <w:rFonts w:ascii="Arial" w:hAnsi="Arial" w:cs="Arial"/>
          <w:sz w:val="24"/>
          <w:szCs w:val="24"/>
        </w:rPr>
      </w:pPr>
      <w:r w:rsidRPr="00FE57EB">
        <w:rPr>
          <w:rFonts w:ascii="Arial" w:hAnsi="Arial" w:cs="Arial"/>
          <w:sz w:val="24"/>
          <w:szCs w:val="24"/>
        </w:rPr>
        <w:t>Gestion de programme</w:t>
      </w:r>
    </w:p>
    <w:p w:rsidR="006B0748" w:rsidRDefault="006B0748" w:rsidP="006B0748">
      <w:pPr>
        <w:keepNext/>
        <w:jc w:val="center"/>
      </w:pPr>
      <w:r w:rsidRPr="00FE57EB">
        <w:rPr>
          <w:rFonts w:ascii="Arial" w:hAnsi="Arial" w:cs="Arial"/>
          <w:noProof/>
        </w:rPr>
        <w:drawing>
          <wp:inline distT="0" distB="0" distL="0" distR="0" wp14:anchorId="17BB605F" wp14:editId="0A6CE9FE">
            <wp:extent cx="4709160" cy="22523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6575" cy="2260649"/>
                    </a:xfrm>
                    <a:prstGeom prst="rect">
                      <a:avLst/>
                    </a:prstGeom>
                  </pic:spPr>
                </pic:pic>
              </a:graphicData>
            </a:graphic>
          </wp:inline>
        </w:drawing>
      </w:r>
    </w:p>
    <w:p w:rsidR="006B0748" w:rsidRDefault="006B0748" w:rsidP="006B0748">
      <w:pPr>
        <w:pStyle w:val="Lgende"/>
        <w:jc w:val="center"/>
      </w:pPr>
      <w:bookmarkStart w:id="4" w:name="_Toc21962930"/>
      <w:r>
        <w:t xml:space="preserve">Figure </w:t>
      </w:r>
      <w:r>
        <w:fldChar w:fldCharType="begin"/>
      </w:r>
      <w:r>
        <w:instrText xml:space="preserve"> SEQ Figure \* ARABIC </w:instrText>
      </w:r>
      <w:r>
        <w:fldChar w:fldCharType="separate"/>
      </w:r>
      <w:r>
        <w:rPr>
          <w:noProof/>
        </w:rPr>
        <w:t>2</w:t>
      </w:r>
      <w:r>
        <w:fldChar w:fldCharType="end"/>
      </w:r>
      <w:r>
        <w:t xml:space="preserve"> : Secteurs et offres de TNP Consultants</w:t>
      </w:r>
      <w:bookmarkEnd w:id="4"/>
    </w:p>
    <w:p w:rsidR="006B0748" w:rsidRDefault="006B0748" w:rsidP="006B0748">
      <w:r>
        <w:br w:type="page"/>
      </w:r>
    </w:p>
    <w:p w:rsidR="006B0748" w:rsidRDefault="006B0748" w:rsidP="006B0748">
      <w:pPr>
        <w:pStyle w:val="Titre2"/>
        <w:numPr>
          <w:ilvl w:val="0"/>
          <w:numId w:val="3"/>
        </w:numPr>
        <w:rPr>
          <w:rFonts w:ascii="Arial" w:hAnsi="Arial" w:cs="Arial"/>
          <w:b/>
          <w:i/>
          <w:color w:val="2E74B5" w:themeColor="accent5" w:themeShade="BF"/>
        </w:rPr>
      </w:pPr>
      <w:bookmarkStart w:id="5" w:name="_Toc21962966"/>
      <w:r w:rsidRPr="00FE57EB">
        <w:rPr>
          <w:rFonts w:ascii="Arial" w:hAnsi="Arial" w:cs="Arial"/>
          <w:b/>
          <w:i/>
          <w:color w:val="2E74B5" w:themeColor="accent5" w:themeShade="BF"/>
        </w:rPr>
        <w:lastRenderedPageBreak/>
        <w:t xml:space="preserve">La Digital </w:t>
      </w:r>
      <w:proofErr w:type="spellStart"/>
      <w:r w:rsidRPr="00FE57EB">
        <w:rPr>
          <w:rFonts w:ascii="Arial" w:hAnsi="Arial" w:cs="Arial"/>
          <w:b/>
          <w:i/>
          <w:color w:val="2E74B5" w:themeColor="accent5" w:themeShade="BF"/>
        </w:rPr>
        <w:t>Factory</w:t>
      </w:r>
      <w:bookmarkEnd w:id="5"/>
      <w:proofErr w:type="spellEnd"/>
      <w:r w:rsidRPr="00FE57EB">
        <w:rPr>
          <w:rFonts w:ascii="Arial" w:hAnsi="Arial" w:cs="Arial"/>
          <w:b/>
          <w:i/>
          <w:color w:val="2E74B5" w:themeColor="accent5" w:themeShade="BF"/>
        </w:rPr>
        <w:t xml:space="preserve"> </w:t>
      </w:r>
    </w:p>
    <w:p w:rsidR="006B0748" w:rsidRPr="00983F5B" w:rsidRDefault="006B0748" w:rsidP="006B0748"/>
    <w:p w:rsidR="006B0748" w:rsidRPr="00FE57EB" w:rsidRDefault="006B0748" w:rsidP="006B0748">
      <w:pPr>
        <w:spacing w:before="240" w:after="240" w:line="240" w:lineRule="auto"/>
        <w:ind w:firstLine="360"/>
        <w:jc w:val="both"/>
        <w:rPr>
          <w:rFonts w:ascii="Times New Roman" w:eastAsia="Times New Roman" w:hAnsi="Times New Roman" w:cs="Times New Roman"/>
          <w:sz w:val="24"/>
          <w:szCs w:val="24"/>
          <w:lang w:eastAsia="fr-FR"/>
        </w:rPr>
      </w:pPr>
      <w:r w:rsidRPr="00FE57EB">
        <w:rPr>
          <w:rFonts w:ascii="Arial" w:eastAsia="Times New Roman" w:hAnsi="Arial" w:cs="Arial"/>
          <w:color w:val="000000"/>
          <w:sz w:val="24"/>
          <w:szCs w:val="24"/>
          <w:lang w:eastAsia="fr-FR"/>
        </w:rPr>
        <w:t xml:space="preserve">Aujourd’hui, TNP consultants est une entreprise de conseil en management, et souhaite diversifier son offre en produisant des solutions techniques et innovantes. </w:t>
      </w:r>
      <w:r w:rsidRPr="00E6044B">
        <w:rPr>
          <w:rFonts w:ascii="Arial" w:eastAsia="Times New Roman" w:hAnsi="Arial" w:cs="Arial"/>
          <w:color w:val="000000"/>
          <w:sz w:val="24"/>
          <w:szCs w:val="24"/>
          <w:lang w:eastAsia="fr-FR"/>
        </w:rPr>
        <w:t xml:space="preserve">TNP a décidé de créer une Digital </w:t>
      </w:r>
      <w:proofErr w:type="spellStart"/>
      <w:r w:rsidRPr="00E6044B">
        <w:rPr>
          <w:rFonts w:ascii="Arial" w:eastAsia="Times New Roman" w:hAnsi="Arial" w:cs="Arial"/>
          <w:color w:val="000000"/>
          <w:sz w:val="24"/>
          <w:szCs w:val="24"/>
          <w:lang w:eastAsia="fr-FR"/>
        </w:rPr>
        <w:t>Factory</w:t>
      </w:r>
      <w:proofErr w:type="spellEnd"/>
      <w:r w:rsidRPr="00E6044B">
        <w:rPr>
          <w:rFonts w:ascii="Arial" w:eastAsia="Times New Roman" w:hAnsi="Arial" w:cs="Arial"/>
          <w:color w:val="000000"/>
          <w:sz w:val="24"/>
          <w:szCs w:val="24"/>
          <w:lang w:eastAsia="fr-FR"/>
        </w:rPr>
        <w:t>, et c’est dans ce cadre que j’ai eu la chance de réaliser mon stage.</w:t>
      </w:r>
    </w:p>
    <w:p w:rsidR="006B0748" w:rsidRPr="00FE57EB" w:rsidRDefault="006B0748" w:rsidP="006B0748">
      <w:pPr>
        <w:spacing w:before="240" w:after="240" w:line="240" w:lineRule="auto"/>
        <w:ind w:firstLine="708"/>
        <w:jc w:val="both"/>
        <w:rPr>
          <w:rFonts w:ascii="Times New Roman" w:eastAsia="Times New Roman" w:hAnsi="Times New Roman" w:cs="Times New Roman"/>
          <w:sz w:val="24"/>
          <w:szCs w:val="24"/>
          <w:lang w:eastAsia="fr-FR"/>
        </w:rPr>
      </w:pPr>
      <w:r w:rsidRPr="00FE57EB">
        <w:rPr>
          <w:rFonts w:ascii="Arial" w:eastAsia="Times New Roman" w:hAnsi="Arial" w:cs="Arial"/>
          <w:color w:val="000000"/>
          <w:sz w:val="24"/>
          <w:szCs w:val="24"/>
          <w:lang w:eastAsia="fr-FR"/>
        </w:rPr>
        <w:t xml:space="preserve">Une Digital </w:t>
      </w:r>
      <w:proofErr w:type="spellStart"/>
      <w:r w:rsidRPr="00FE57EB">
        <w:rPr>
          <w:rFonts w:ascii="Arial" w:eastAsia="Times New Roman" w:hAnsi="Arial" w:cs="Arial"/>
          <w:color w:val="000000"/>
          <w:sz w:val="24"/>
          <w:szCs w:val="24"/>
          <w:lang w:eastAsia="fr-FR"/>
        </w:rPr>
        <w:t>Factory</w:t>
      </w:r>
      <w:proofErr w:type="spellEnd"/>
      <w:r w:rsidRPr="00FE57EB">
        <w:rPr>
          <w:rFonts w:ascii="Arial" w:eastAsia="Times New Roman" w:hAnsi="Arial" w:cs="Arial"/>
          <w:color w:val="000000"/>
          <w:sz w:val="24"/>
          <w:szCs w:val="24"/>
          <w:lang w:eastAsia="fr-FR"/>
        </w:rPr>
        <w:t xml:space="preserve"> regroupe un ensemble de ressources humaines et technologiques ayant pour objectif de mener à bien des projets digitaux et d’accélérer les analyses d’opportunités à l’intérieur même des entreprises. Elle se positionne dans la phase d’accélération d’un projet et constitue un relais entre l’exploration et le passage à l’échelle d’un produit.</w:t>
      </w:r>
    </w:p>
    <w:p w:rsidR="006B0748" w:rsidRDefault="006B0748" w:rsidP="006B0748">
      <w:pPr>
        <w:keepNext/>
        <w:shd w:val="clear" w:color="auto" w:fill="FFFFFF"/>
        <w:spacing w:after="0" w:line="240" w:lineRule="auto"/>
        <w:jc w:val="center"/>
      </w:pPr>
      <w:r w:rsidRPr="00FE57EB">
        <w:rPr>
          <w:rFonts w:ascii="Arial" w:eastAsia="Times New Roman" w:hAnsi="Arial" w:cs="Arial"/>
          <w:noProof/>
          <w:color w:val="000000"/>
          <w:sz w:val="24"/>
          <w:szCs w:val="24"/>
          <w:bdr w:val="none" w:sz="0" w:space="0" w:color="auto" w:frame="1"/>
          <w:lang w:eastAsia="fr-FR"/>
        </w:rPr>
        <w:drawing>
          <wp:inline distT="0" distB="0" distL="0" distR="0" wp14:anchorId="0F5961B6" wp14:editId="73062B93">
            <wp:extent cx="2400300" cy="2552700"/>
            <wp:effectExtent l="0" t="0" r="0" b="0"/>
            <wp:docPr id="21" name="Image 21" descr="https://lh6.googleusercontent.com/NfIBuzRqa_yj4xcKAUneCMz905VW0CcMSVpBCRtcNDoGMZJAz721dTVO2yTDkGepF1ayTHxSthPsY5R8AfFUQgMG7ZTXoi5-DgHEudxerH6QJZP-VrukFgAJ3X6QteBhg8rQ_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NfIBuzRqa_yj4xcKAUneCMz905VW0CcMSVpBCRtcNDoGMZJAz721dTVO2yTDkGepF1ayTHxSthPsY5R8AfFUQgMG7ZTXoi5-DgHEudxerH6QJZP-VrukFgAJ3X6QteBhg8rQ_PH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2552700"/>
                    </a:xfrm>
                    <a:prstGeom prst="rect">
                      <a:avLst/>
                    </a:prstGeom>
                    <a:noFill/>
                    <a:ln>
                      <a:noFill/>
                    </a:ln>
                  </pic:spPr>
                </pic:pic>
              </a:graphicData>
            </a:graphic>
          </wp:inline>
        </w:drawing>
      </w:r>
    </w:p>
    <w:p w:rsidR="006B0748" w:rsidRPr="00FE57EB" w:rsidRDefault="006B0748" w:rsidP="006B0748">
      <w:pPr>
        <w:pStyle w:val="Lgende"/>
        <w:jc w:val="center"/>
        <w:rPr>
          <w:rFonts w:ascii="Times New Roman" w:eastAsia="Times New Roman" w:hAnsi="Times New Roman" w:cs="Times New Roman"/>
          <w:sz w:val="24"/>
          <w:szCs w:val="24"/>
          <w:lang w:eastAsia="fr-FR"/>
        </w:rPr>
      </w:pPr>
      <w:bookmarkStart w:id="6" w:name="_Toc21962931"/>
      <w:r>
        <w:t xml:space="preserve">Figure </w:t>
      </w:r>
      <w:r>
        <w:fldChar w:fldCharType="begin"/>
      </w:r>
      <w:r>
        <w:instrText xml:space="preserve"> SEQ Figure \* ARABIC </w:instrText>
      </w:r>
      <w:r>
        <w:fldChar w:fldCharType="separate"/>
      </w:r>
      <w:r>
        <w:rPr>
          <w:noProof/>
        </w:rPr>
        <w:t>3</w:t>
      </w:r>
      <w:r>
        <w:fldChar w:fldCharType="end"/>
      </w:r>
      <w:r>
        <w:t xml:space="preserve"> : Méthode de travail de TNP Digital </w:t>
      </w:r>
      <w:proofErr w:type="spellStart"/>
      <w:r>
        <w:t>Factory</w:t>
      </w:r>
      <w:bookmarkEnd w:id="6"/>
      <w:proofErr w:type="spellEnd"/>
    </w:p>
    <w:p w:rsidR="006B0748" w:rsidRPr="00FE57EB" w:rsidRDefault="006B0748" w:rsidP="006B0748">
      <w:pPr>
        <w:spacing w:before="240" w:after="240" w:line="240" w:lineRule="auto"/>
        <w:ind w:firstLine="360"/>
        <w:jc w:val="both"/>
        <w:rPr>
          <w:rFonts w:ascii="Times New Roman" w:eastAsia="Times New Roman" w:hAnsi="Times New Roman" w:cs="Times New Roman"/>
          <w:sz w:val="24"/>
          <w:szCs w:val="24"/>
          <w:lang w:eastAsia="fr-FR"/>
        </w:rPr>
      </w:pPr>
      <w:r w:rsidRPr="00FE57EB">
        <w:rPr>
          <w:rFonts w:ascii="Arial" w:eastAsia="Times New Roman" w:hAnsi="Arial" w:cs="Arial"/>
          <w:color w:val="000000"/>
          <w:sz w:val="24"/>
          <w:szCs w:val="24"/>
          <w:lang w:eastAsia="fr-FR"/>
        </w:rPr>
        <w:t>Cette</w:t>
      </w:r>
      <w:r>
        <w:rPr>
          <w:rFonts w:ascii="Arial" w:eastAsia="Times New Roman" w:hAnsi="Arial" w:cs="Arial"/>
          <w:color w:val="000000"/>
          <w:sz w:val="24"/>
          <w:szCs w:val="24"/>
          <w:lang w:eastAsia="fr-FR"/>
        </w:rPr>
        <w:t xml:space="preserve"> Digital</w:t>
      </w:r>
      <w:r w:rsidRPr="00FE57EB">
        <w:rPr>
          <w:rFonts w:ascii="Arial" w:eastAsia="Times New Roman" w:hAnsi="Arial" w:cs="Arial"/>
          <w:color w:val="000000"/>
          <w:sz w:val="24"/>
          <w:szCs w:val="24"/>
          <w:lang w:eastAsia="fr-FR"/>
        </w:rPr>
        <w:t xml:space="preserve"> </w:t>
      </w:r>
      <w:proofErr w:type="spellStart"/>
      <w:r w:rsidRPr="00FE57EB">
        <w:rPr>
          <w:rFonts w:ascii="Arial" w:eastAsia="Times New Roman" w:hAnsi="Arial" w:cs="Arial"/>
          <w:color w:val="000000"/>
          <w:sz w:val="24"/>
          <w:szCs w:val="24"/>
          <w:lang w:eastAsia="fr-FR"/>
        </w:rPr>
        <w:t>factory</w:t>
      </w:r>
      <w:proofErr w:type="spellEnd"/>
      <w:r w:rsidRPr="00FE57EB">
        <w:rPr>
          <w:rFonts w:ascii="Arial" w:eastAsia="Times New Roman" w:hAnsi="Arial" w:cs="Arial"/>
          <w:color w:val="000000"/>
          <w:sz w:val="24"/>
          <w:szCs w:val="24"/>
          <w:lang w:eastAsia="fr-FR"/>
        </w:rPr>
        <w:t xml:space="preserve"> permet à TNP d’offrir des prestations allant du conseil jusqu’à la fabrication de solutions technologique</w:t>
      </w:r>
      <w:r w:rsidRPr="00EB34A3">
        <w:rPr>
          <w:rFonts w:ascii="Arial" w:eastAsia="Times New Roman" w:hAnsi="Arial" w:cs="Arial"/>
          <w:color w:val="000000"/>
          <w:sz w:val="24"/>
          <w:szCs w:val="24"/>
          <w:lang w:eastAsia="fr-FR"/>
        </w:rPr>
        <w:t>s</w:t>
      </w:r>
      <w:r w:rsidRPr="00FE57EB">
        <w:rPr>
          <w:rFonts w:ascii="Arial" w:eastAsia="Times New Roman" w:hAnsi="Arial" w:cs="Arial"/>
          <w:color w:val="000000"/>
          <w:sz w:val="24"/>
          <w:szCs w:val="24"/>
          <w:lang w:eastAsia="fr-FR"/>
        </w:rPr>
        <w:t xml:space="preserve"> complètes. TNP Digital </w:t>
      </w:r>
      <w:proofErr w:type="spellStart"/>
      <w:r w:rsidRPr="00FE57EB">
        <w:rPr>
          <w:rFonts w:ascii="Arial" w:eastAsia="Times New Roman" w:hAnsi="Arial" w:cs="Arial"/>
          <w:color w:val="000000"/>
          <w:sz w:val="24"/>
          <w:szCs w:val="24"/>
          <w:lang w:eastAsia="fr-FR"/>
        </w:rPr>
        <w:t>Factory</w:t>
      </w:r>
      <w:proofErr w:type="spellEnd"/>
      <w:r w:rsidRPr="00FE57EB">
        <w:rPr>
          <w:rFonts w:ascii="Arial" w:eastAsia="Times New Roman" w:hAnsi="Arial" w:cs="Arial"/>
          <w:color w:val="000000"/>
          <w:sz w:val="24"/>
          <w:szCs w:val="24"/>
          <w:lang w:eastAsia="fr-FR"/>
        </w:rPr>
        <w:t xml:space="preserve"> devient alors un atelier de conception, de création et de fabrication grâce à des équipes pluridisciplinaires et compétentes sur toute la chaîne de fabrication. La Digital </w:t>
      </w:r>
      <w:proofErr w:type="spellStart"/>
      <w:r w:rsidRPr="00FE57EB">
        <w:rPr>
          <w:rFonts w:ascii="Arial" w:eastAsia="Times New Roman" w:hAnsi="Arial" w:cs="Arial"/>
          <w:color w:val="000000"/>
          <w:sz w:val="24"/>
          <w:szCs w:val="24"/>
          <w:lang w:eastAsia="fr-FR"/>
        </w:rPr>
        <w:t>Factory</w:t>
      </w:r>
      <w:proofErr w:type="spellEnd"/>
      <w:r w:rsidRPr="00FE57EB">
        <w:rPr>
          <w:rFonts w:ascii="Arial" w:eastAsia="Times New Roman" w:hAnsi="Arial" w:cs="Arial"/>
          <w:color w:val="000000"/>
          <w:sz w:val="24"/>
          <w:szCs w:val="24"/>
          <w:lang w:eastAsia="fr-FR"/>
        </w:rPr>
        <w:t xml:space="preserve"> a vocation d’accompagner les différentes communautés de TNP dans leurs projets via l’élaboration de solutions digitales mais peut également répondre directement aux besoins d’un client grâce à ses expertises</w:t>
      </w:r>
      <w:r>
        <w:rPr>
          <w:rFonts w:ascii="Arial" w:eastAsia="Times New Roman" w:hAnsi="Arial" w:cs="Arial"/>
          <w:color w:val="000000"/>
          <w:sz w:val="24"/>
          <w:szCs w:val="24"/>
          <w:lang w:eastAsia="fr-FR"/>
        </w:rPr>
        <w:t xml:space="preserve"> (annexes n°2)</w:t>
      </w:r>
      <w:r w:rsidRPr="00FE57EB">
        <w:rPr>
          <w:rFonts w:ascii="Arial" w:eastAsia="Times New Roman" w:hAnsi="Arial" w:cs="Arial"/>
          <w:color w:val="000000"/>
          <w:sz w:val="24"/>
          <w:szCs w:val="24"/>
          <w:lang w:eastAsia="fr-FR"/>
        </w:rPr>
        <w:t>.</w:t>
      </w:r>
    </w:p>
    <w:p w:rsidR="006B0748" w:rsidRPr="00FE57EB" w:rsidRDefault="006B0748" w:rsidP="006B0748">
      <w:pPr>
        <w:spacing w:before="240" w:after="240" w:line="240" w:lineRule="auto"/>
        <w:ind w:firstLine="360"/>
        <w:jc w:val="both"/>
        <w:rPr>
          <w:rFonts w:ascii="Times New Roman" w:eastAsia="Times New Roman" w:hAnsi="Times New Roman" w:cs="Times New Roman"/>
          <w:sz w:val="24"/>
          <w:szCs w:val="24"/>
          <w:lang w:eastAsia="fr-FR"/>
        </w:rPr>
      </w:pPr>
      <w:r w:rsidRPr="00FE57EB">
        <w:rPr>
          <w:rFonts w:ascii="Arial" w:eastAsia="Times New Roman" w:hAnsi="Arial" w:cs="Arial"/>
          <w:color w:val="000000"/>
          <w:sz w:val="24"/>
          <w:szCs w:val="24"/>
          <w:lang w:eastAsia="fr-FR"/>
        </w:rPr>
        <w:t xml:space="preserve">La Digital </w:t>
      </w:r>
      <w:proofErr w:type="spellStart"/>
      <w:r w:rsidRPr="00FE57EB">
        <w:rPr>
          <w:rFonts w:ascii="Arial" w:eastAsia="Times New Roman" w:hAnsi="Arial" w:cs="Arial"/>
          <w:color w:val="000000"/>
          <w:sz w:val="24"/>
          <w:szCs w:val="24"/>
          <w:lang w:eastAsia="fr-FR"/>
        </w:rPr>
        <w:t>Factory</w:t>
      </w:r>
      <w:proofErr w:type="spellEnd"/>
      <w:r w:rsidRPr="00FE57EB">
        <w:rPr>
          <w:rFonts w:ascii="Arial" w:eastAsia="Times New Roman" w:hAnsi="Arial" w:cs="Arial"/>
          <w:color w:val="000000"/>
          <w:sz w:val="24"/>
          <w:szCs w:val="24"/>
          <w:lang w:eastAsia="fr-FR"/>
        </w:rPr>
        <w:t xml:space="preserve"> a donc pour ambition d’apporter à TNP une capacité à fabriquer des solutions élaborées et techniques au travers des missions métiers. Mais aussi de permettre à TNP Consultants de promouvoir auprès des clients la capacité d’intervention sur la chaîne complète. Autrement dit, la Digital </w:t>
      </w:r>
      <w:proofErr w:type="spellStart"/>
      <w:r w:rsidRPr="00FE57EB">
        <w:rPr>
          <w:rFonts w:ascii="Arial" w:eastAsia="Times New Roman" w:hAnsi="Arial" w:cs="Arial"/>
          <w:color w:val="000000"/>
          <w:sz w:val="24"/>
          <w:szCs w:val="24"/>
          <w:lang w:eastAsia="fr-FR"/>
        </w:rPr>
        <w:t>Factory</w:t>
      </w:r>
      <w:proofErr w:type="spellEnd"/>
      <w:r w:rsidRPr="00FE57EB">
        <w:rPr>
          <w:rFonts w:ascii="Arial" w:eastAsia="Times New Roman" w:hAnsi="Arial" w:cs="Arial"/>
          <w:color w:val="000000"/>
          <w:sz w:val="24"/>
          <w:szCs w:val="24"/>
          <w:lang w:eastAsia="fr-FR"/>
        </w:rPr>
        <w:t xml:space="preserve"> permet à TNP Consultants de gérer des solution</w:t>
      </w:r>
      <w:r>
        <w:rPr>
          <w:rFonts w:ascii="Arial" w:eastAsia="Times New Roman" w:hAnsi="Arial" w:cs="Arial"/>
          <w:color w:val="000000"/>
          <w:sz w:val="24"/>
          <w:szCs w:val="24"/>
          <w:lang w:eastAsia="fr-FR"/>
        </w:rPr>
        <w:t>s</w:t>
      </w:r>
      <w:r w:rsidRPr="00FE57EB">
        <w:rPr>
          <w:rFonts w:ascii="Arial" w:eastAsia="Times New Roman" w:hAnsi="Arial" w:cs="Arial"/>
          <w:color w:val="000000"/>
          <w:sz w:val="24"/>
          <w:szCs w:val="24"/>
          <w:lang w:eastAsia="fr-FR"/>
        </w:rPr>
        <w:t xml:space="preserve"> digitales complètes. </w:t>
      </w:r>
    </w:p>
    <w:p w:rsidR="006B0748" w:rsidRPr="00FE57EB" w:rsidRDefault="006B0748" w:rsidP="006B0748">
      <w:pPr>
        <w:spacing w:before="240" w:after="240" w:line="240" w:lineRule="auto"/>
        <w:ind w:firstLine="360"/>
        <w:jc w:val="both"/>
        <w:rPr>
          <w:rFonts w:ascii="Times New Roman" w:eastAsia="Times New Roman" w:hAnsi="Times New Roman" w:cs="Times New Roman"/>
          <w:sz w:val="24"/>
          <w:szCs w:val="24"/>
          <w:lang w:eastAsia="fr-FR"/>
        </w:rPr>
      </w:pPr>
      <w:r w:rsidRPr="00FE57EB">
        <w:rPr>
          <w:rFonts w:ascii="Arial" w:eastAsia="Times New Roman" w:hAnsi="Arial" w:cs="Arial"/>
          <w:color w:val="000000"/>
          <w:sz w:val="24"/>
          <w:szCs w:val="24"/>
          <w:lang w:eastAsia="fr-FR"/>
        </w:rPr>
        <w:t>Cette ambition est accompagnée d’objectifs : </w:t>
      </w:r>
    </w:p>
    <w:p w:rsidR="006B0748" w:rsidRDefault="006B0748" w:rsidP="006B0748">
      <w:pPr>
        <w:numPr>
          <w:ilvl w:val="0"/>
          <w:numId w:val="5"/>
        </w:numPr>
        <w:spacing w:before="240" w:after="0" w:line="240" w:lineRule="auto"/>
        <w:jc w:val="both"/>
        <w:textAlignment w:val="baseline"/>
        <w:rPr>
          <w:rFonts w:ascii="Arial" w:eastAsia="Times New Roman" w:hAnsi="Arial" w:cs="Arial"/>
          <w:color w:val="000000"/>
          <w:sz w:val="24"/>
          <w:szCs w:val="24"/>
          <w:lang w:eastAsia="fr-FR"/>
        </w:rPr>
      </w:pPr>
      <w:r w:rsidRPr="00FE57EB">
        <w:rPr>
          <w:rFonts w:ascii="Arial" w:eastAsia="Times New Roman" w:hAnsi="Arial" w:cs="Arial"/>
          <w:color w:val="000000"/>
          <w:sz w:val="24"/>
          <w:szCs w:val="24"/>
          <w:lang w:eastAsia="fr-FR"/>
        </w:rPr>
        <w:t>Être le partenaire pour la création d’interfaces utilisateur</w:t>
      </w:r>
      <w:r w:rsidRPr="00965544">
        <w:rPr>
          <w:rFonts w:ascii="Arial" w:eastAsia="Times New Roman" w:hAnsi="Arial" w:cs="Arial"/>
          <w:color w:val="000000"/>
          <w:sz w:val="24"/>
          <w:szCs w:val="24"/>
          <w:lang w:eastAsia="fr-FR"/>
        </w:rPr>
        <w:t>s</w:t>
      </w:r>
      <w:r w:rsidRPr="00FE57EB">
        <w:rPr>
          <w:rFonts w:ascii="Arial" w:eastAsia="Times New Roman" w:hAnsi="Arial" w:cs="Arial"/>
          <w:color w:val="000000"/>
          <w:sz w:val="24"/>
          <w:szCs w:val="24"/>
          <w:lang w:eastAsia="fr-FR"/>
        </w:rPr>
        <w:t xml:space="preserve"> délivrant des expériences innovantes et différenciantes.</w:t>
      </w:r>
    </w:p>
    <w:p w:rsidR="006B0748" w:rsidRPr="004F3483" w:rsidRDefault="006B0748" w:rsidP="006B0748">
      <w:pPr>
        <w:spacing w:before="240" w:after="0" w:line="240" w:lineRule="auto"/>
        <w:ind w:left="720"/>
        <w:jc w:val="both"/>
        <w:textAlignment w:val="baseline"/>
        <w:rPr>
          <w:rFonts w:ascii="Arial" w:eastAsia="Times New Roman" w:hAnsi="Arial" w:cs="Arial"/>
          <w:color w:val="000000"/>
          <w:sz w:val="24"/>
          <w:szCs w:val="24"/>
          <w:lang w:eastAsia="fr-FR"/>
        </w:rPr>
      </w:pPr>
    </w:p>
    <w:p w:rsidR="006B0748" w:rsidRPr="00FE57EB" w:rsidRDefault="006B0748" w:rsidP="006B0748">
      <w:pPr>
        <w:numPr>
          <w:ilvl w:val="0"/>
          <w:numId w:val="5"/>
        </w:numPr>
        <w:spacing w:after="240" w:line="240" w:lineRule="auto"/>
        <w:jc w:val="both"/>
        <w:textAlignment w:val="baseline"/>
        <w:rPr>
          <w:rFonts w:ascii="Arial" w:eastAsia="Times New Roman" w:hAnsi="Arial" w:cs="Arial"/>
          <w:color w:val="000000"/>
          <w:sz w:val="24"/>
          <w:szCs w:val="24"/>
          <w:lang w:eastAsia="fr-FR"/>
        </w:rPr>
      </w:pPr>
      <w:r w:rsidRPr="00FE57EB">
        <w:rPr>
          <w:rFonts w:ascii="Arial" w:eastAsia="Times New Roman" w:hAnsi="Arial" w:cs="Arial"/>
          <w:color w:val="000000"/>
          <w:sz w:val="24"/>
          <w:szCs w:val="24"/>
          <w:lang w:eastAsia="fr-FR"/>
        </w:rPr>
        <w:t xml:space="preserve">Maximiser les assets de TNP : data sciences, </w:t>
      </w:r>
      <w:proofErr w:type="spellStart"/>
      <w:r w:rsidRPr="00FE57EB">
        <w:rPr>
          <w:rFonts w:ascii="Arial" w:eastAsia="Times New Roman" w:hAnsi="Arial" w:cs="Arial"/>
          <w:color w:val="000000"/>
          <w:sz w:val="24"/>
          <w:szCs w:val="24"/>
          <w:lang w:eastAsia="fr-FR"/>
        </w:rPr>
        <w:t>analytics</w:t>
      </w:r>
      <w:proofErr w:type="spellEnd"/>
      <w:r w:rsidRPr="00FE57EB">
        <w:rPr>
          <w:rFonts w:ascii="Arial" w:eastAsia="Times New Roman" w:hAnsi="Arial" w:cs="Arial"/>
          <w:color w:val="000000"/>
          <w:sz w:val="24"/>
          <w:szCs w:val="24"/>
          <w:lang w:eastAsia="fr-FR"/>
        </w:rPr>
        <w:t>, blockchain, … </w:t>
      </w:r>
    </w:p>
    <w:p w:rsidR="006B0748" w:rsidRDefault="006B0748" w:rsidP="006B0748">
      <w:pPr>
        <w:keepNext/>
        <w:spacing w:before="240" w:after="240" w:line="240" w:lineRule="auto"/>
        <w:ind w:firstLine="360"/>
        <w:jc w:val="both"/>
      </w:pPr>
      <w:r w:rsidRPr="00FE57EB">
        <w:rPr>
          <w:rFonts w:ascii="Arial" w:eastAsia="Times New Roman" w:hAnsi="Arial" w:cs="Arial"/>
          <w:noProof/>
          <w:color w:val="000000"/>
          <w:sz w:val="24"/>
          <w:szCs w:val="24"/>
          <w:bdr w:val="none" w:sz="0" w:space="0" w:color="auto" w:frame="1"/>
          <w:lang w:eastAsia="fr-FR"/>
        </w:rPr>
        <w:lastRenderedPageBreak/>
        <w:drawing>
          <wp:inline distT="0" distB="0" distL="0" distR="0" wp14:anchorId="4EC2A9E7" wp14:editId="1CFCD45E">
            <wp:extent cx="5730240" cy="1790700"/>
            <wp:effectExtent l="0" t="0" r="3810" b="0"/>
            <wp:docPr id="12" name="Image 12" descr="https://lh4.googleusercontent.com/KDQd_uzckUoPQdOY9U5cVaPp7fCgSaUHgmbzFdi20yz7or9j8fU0JhJVVG--B7LaPGbYozvVDaxeskKMfoRVeHCHTRAashtgCH-YZsUTbBPwS7JP0TCMh5HO73cbLDxKIIFCw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KDQd_uzckUoPQdOY9U5cVaPp7fCgSaUHgmbzFdi20yz7or9j8fU0JhJVVG--B7LaPGbYozvVDaxeskKMfoRVeHCHTRAashtgCH-YZsUTbBPwS7JP0TCMh5HO73cbLDxKIIFCw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790700"/>
                    </a:xfrm>
                    <a:prstGeom prst="rect">
                      <a:avLst/>
                    </a:prstGeom>
                    <a:noFill/>
                    <a:ln>
                      <a:noFill/>
                    </a:ln>
                  </pic:spPr>
                </pic:pic>
              </a:graphicData>
            </a:graphic>
          </wp:inline>
        </w:drawing>
      </w:r>
    </w:p>
    <w:p w:rsidR="006B0748" w:rsidRPr="00FE57EB" w:rsidRDefault="006B0748" w:rsidP="006B0748">
      <w:pPr>
        <w:pStyle w:val="Lgende"/>
        <w:jc w:val="center"/>
        <w:rPr>
          <w:rFonts w:ascii="Times New Roman" w:eastAsia="Times New Roman" w:hAnsi="Times New Roman" w:cs="Times New Roman"/>
          <w:sz w:val="24"/>
          <w:szCs w:val="24"/>
          <w:lang w:eastAsia="fr-FR"/>
        </w:rPr>
      </w:pPr>
      <w:bookmarkStart w:id="7" w:name="_Toc21962932"/>
      <w:r>
        <w:t xml:space="preserve">Figure </w:t>
      </w:r>
      <w:r>
        <w:fldChar w:fldCharType="begin"/>
      </w:r>
      <w:r>
        <w:instrText xml:space="preserve"> SEQ Figure \* ARABIC </w:instrText>
      </w:r>
      <w:r>
        <w:fldChar w:fldCharType="separate"/>
      </w:r>
      <w:r>
        <w:rPr>
          <w:noProof/>
        </w:rPr>
        <w:t>4</w:t>
      </w:r>
      <w:r>
        <w:fldChar w:fldCharType="end"/>
      </w:r>
      <w:r>
        <w:t xml:space="preserve"> : Formule de la Digital </w:t>
      </w:r>
      <w:proofErr w:type="spellStart"/>
      <w:r>
        <w:t>Factory</w:t>
      </w:r>
      <w:bookmarkEnd w:id="7"/>
      <w:proofErr w:type="spellEnd"/>
    </w:p>
    <w:p w:rsidR="006B0748" w:rsidRDefault="006B0748" w:rsidP="006B0748">
      <w:pPr>
        <w:spacing w:before="240" w:after="240" w:line="240" w:lineRule="auto"/>
        <w:ind w:firstLine="360"/>
        <w:jc w:val="both"/>
        <w:rPr>
          <w:rFonts w:ascii="Arial" w:eastAsia="Times New Roman" w:hAnsi="Arial" w:cs="Arial"/>
          <w:color w:val="000000"/>
          <w:sz w:val="24"/>
          <w:szCs w:val="24"/>
          <w:lang w:eastAsia="fr-FR"/>
        </w:rPr>
      </w:pPr>
      <w:r w:rsidRPr="00FE57EB">
        <w:rPr>
          <w:rFonts w:ascii="Arial" w:eastAsia="Times New Roman" w:hAnsi="Arial" w:cs="Arial"/>
          <w:color w:val="000000"/>
          <w:sz w:val="24"/>
          <w:szCs w:val="24"/>
          <w:lang w:eastAsia="fr-FR"/>
        </w:rPr>
        <w:t xml:space="preserve">Afin de de rassurer ses clients sur ses capacités techniques et les convaincre de réaliser des projets ensemble la Digital </w:t>
      </w:r>
      <w:proofErr w:type="spellStart"/>
      <w:r w:rsidRPr="00FE57EB">
        <w:rPr>
          <w:rFonts w:ascii="Arial" w:eastAsia="Times New Roman" w:hAnsi="Arial" w:cs="Arial"/>
          <w:color w:val="000000"/>
          <w:sz w:val="24"/>
          <w:szCs w:val="24"/>
          <w:lang w:eastAsia="fr-FR"/>
        </w:rPr>
        <w:t>Factory</w:t>
      </w:r>
      <w:proofErr w:type="spellEnd"/>
      <w:r w:rsidRPr="00FE57EB">
        <w:rPr>
          <w:rFonts w:ascii="Arial" w:eastAsia="Times New Roman" w:hAnsi="Arial" w:cs="Arial"/>
          <w:color w:val="000000"/>
          <w:sz w:val="24"/>
          <w:szCs w:val="24"/>
          <w:lang w:eastAsia="fr-FR"/>
        </w:rPr>
        <w:t xml:space="preserve"> se doit d’étoffer son cahier de références</w:t>
      </w:r>
      <w:r w:rsidRPr="00E6044B">
        <w:rPr>
          <w:rFonts w:ascii="Arial" w:eastAsia="Times New Roman" w:hAnsi="Arial" w:cs="Arial"/>
          <w:color w:val="000000"/>
          <w:sz w:val="24"/>
          <w:szCs w:val="24"/>
          <w:lang w:eastAsia="fr-FR"/>
        </w:rPr>
        <w:t>, de solutions packagées et prêtes à l’emploi.</w:t>
      </w:r>
      <w:r w:rsidRPr="00FE57EB">
        <w:rPr>
          <w:rFonts w:ascii="Arial" w:eastAsia="Times New Roman" w:hAnsi="Arial" w:cs="Arial"/>
          <w:color w:val="000000"/>
          <w:sz w:val="24"/>
          <w:szCs w:val="24"/>
          <w:lang w:eastAsia="fr-FR"/>
        </w:rPr>
        <w:t xml:space="preserve"> C’est dans cette optique que la Digital </w:t>
      </w:r>
      <w:proofErr w:type="spellStart"/>
      <w:r w:rsidRPr="00FE57EB">
        <w:rPr>
          <w:rFonts w:ascii="Arial" w:eastAsia="Times New Roman" w:hAnsi="Arial" w:cs="Arial"/>
          <w:color w:val="000000"/>
          <w:sz w:val="24"/>
          <w:szCs w:val="24"/>
          <w:lang w:eastAsia="fr-FR"/>
        </w:rPr>
        <w:t>Factory</w:t>
      </w:r>
      <w:proofErr w:type="spellEnd"/>
      <w:r w:rsidRPr="00FE57EB">
        <w:rPr>
          <w:rFonts w:ascii="Arial" w:eastAsia="Times New Roman" w:hAnsi="Arial" w:cs="Arial"/>
          <w:color w:val="000000"/>
          <w:sz w:val="24"/>
          <w:szCs w:val="24"/>
          <w:lang w:eastAsia="fr-FR"/>
        </w:rPr>
        <w:t xml:space="preserve"> réalise un premier projet : « </w:t>
      </w:r>
      <w:proofErr w:type="spellStart"/>
      <w:r w:rsidRPr="00FE57EB">
        <w:rPr>
          <w:rFonts w:ascii="Arial" w:eastAsia="Times New Roman" w:hAnsi="Arial" w:cs="Arial"/>
          <w:color w:val="000000"/>
          <w:sz w:val="24"/>
          <w:szCs w:val="24"/>
          <w:lang w:eastAsia="fr-FR"/>
        </w:rPr>
        <w:t>Remote</w:t>
      </w:r>
      <w:proofErr w:type="spellEnd"/>
      <w:r w:rsidRPr="00FE57EB">
        <w:rPr>
          <w:rFonts w:ascii="Arial" w:eastAsia="Times New Roman" w:hAnsi="Arial" w:cs="Arial"/>
          <w:color w:val="000000"/>
          <w:sz w:val="24"/>
          <w:szCs w:val="24"/>
          <w:lang w:eastAsia="fr-FR"/>
        </w:rPr>
        <w:t xml:space="preserve"> Business ».</w:t>
      </w:r>
    </w:p>
    <w:p w:rsidR="00DA637B" w:rsidRDefault="006B0748" w:rsidP="006B0748"/>
    <w:p w:rsidR="006B0748" w:rsidRDefault="006B0748" w:rsidP="006B0748"/>
    <w:p w:rsidR="006B0748" w:rsidRDefault="006B0748" w:rsidP="006B0748"/>
    <w:p w:rsidR="006B0748" w:rsidRDefault="006B0748" w:rsidP="006B0748"/>
    <w:p w:rsidR="006B0748" w:rsidRPr="006B0748" w:rsidRDefault="006B0748" w:rsidP="006B0748">
      <w:pPr>
        <w:rPr>
          <w:b/>
          <w:i/>
          <w:color w:val="FF0000"/>
          <w:sz w:val="28"/>
        </w:rPr>
      </w:pPr>
      <w:r w:rsidRPr="006B0748">
        <w:rPr>
          <w:b/>
          <w:i/>
          <w:color w:val="FF0000"/>
          <w:sz w:val="28"/>
        </w:rPr>
        <w:t xml:space="preserve">WORKFLOW EQUIPE : </w:t>
      </w:r>
    </w:p>
    <w:p w:rsidR="006B0748" w:rsidRPr="006B0748" w:rsidRDefault="006B0748" w:rsidP="006B0748">
      <w:pPr>
        <w:rPr>
          <w:b/>
          <w:i/>
          <w:color w:val="FF0000"/>
          <w:sz w:val="28"/>
        </w:rPr>
      </w:pPr>
      <w:r w:rsidRPr="00FE57EB">
        <w:rPr>
          <w:rFonts w:ascii="Arial" w:hAnsi="Arial" w:cs="Arial"/>
          <w:noProof/>
        </w:rPr>
        <w:drawing>
          <wp:inline distT="0" distB="0" distL="0" distR="0" wp14:anchorId="07D286B0" wp14:editId="3285C71C">
            <wp:extent cx="5760720" cy="307403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74035"/>
                    </a:xfrm>
                    <a:prstGeom prst="rect">
                      <a:avLst/>
                    </a:prstGeom>
                  </pic:spPr>
                </pic:pic>
              </a:graphicData>
            </a:graphic>
          </wp:inline>
        </w:drawing>
      </w:r>
      <w:bookmarkStart w:id="8" w:name="_GoBack"/>
      <w:bookmarkEnd w:id="8"/>
    </w:p>
    <w:sectPr w:rsidR="006B0748" w:rsidRPr="006B07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F0D8B"/>
    <w:multiLevelType w:val="hybridMultilevel"/>
    <w:tmpl w:val="923C73F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AD27ACA"/>
    <w:multiLevelType w:val="multilevel"/>
    <w:tmpl w:val="EB0A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C323C0"/>
    <w:multiLevelType w:val="hybridMultilevel"/>
    <w:tmpl w:val="85126332"/>
    <w:lvl w:ilvl="0" w:tplc="040C0003">
      <w:start w:val="1"/>
      <w:numFmt w:val="bullet"/>
      <w:lvlText w:val="o"/>
      <w:lvlJc w:val="left"/>
      <w:pPr>
        <w:ind w:left="1152" w:hanging="360"/>
      </w:pPr>
      <w:rPr>
        <w:rFonts w:ascii="Courier New" w:hAnsi="Courier New" w:cs="Courier New"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3" w15:restartNumberingAfterBreak="0">
    <w:nsid w:val="6C9C65D3"/>
    <w:multiLevelType w:val="hybridMultilevel"/>
    <w:tmpl w:val="5F2A5D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EC34F4B"/>
    <w:multiLevelType w:val="hybridMultilevel"/>
    <w:tmpl w:val="6240BA2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748"/>
    <w:rsid w:val="006B0748"/>
    <w:rsid w:val="00A673F6"/>
    <w:rsid w:val="00F841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04AF"/>
  <w15:chartTrackingRefBased/>
  <w15:docId w15:val="{D46A384D-83C2-448A-B512-A5534B78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0748"/>
  </w:style>
  <w:style w:type="paragraph" w:styleId="Titre1">
    <w:name w:val="heading 1"/>
    <w:basedOn w:val="Normal"/>
    <w:next w:val="Normal"/>
    <w:link w:val="Titre1Car"/>
    <w:uiPriority w:val="9"/>
    <w:qFormat/>
    <w:rsid w:val="006B07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B07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074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B074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B074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6B0748"/>
    <w:pPr>
      <w:ind w:left="720"/>
      <w:contextualSpacing/>
    </w:pPr>
  </w:style>
  <w:style w:type="paragraph" w:styleId="Lgende">
    <w:name w:val="caption"/>
    <w:basedOn w:val="Normal"/>
    <w:next w:val="Normal"/>
    <w:uiPriority w:val="35"/>
    <w:unhideWhenUsed/>
    <w:qFormat/>
    <w:rsid w:val="006B0748"/>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6B074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B0748"/>
    <w:rPr>
      <w:rFonts w:ascii="Segoe UI" w:hAnsi="Segoe UI" w:cs="Segoe UI"/>
      <w:sz w:val="18"/>
      <w:szCs w:val="18"/>
    </w:rPr>
  </w:style>
  <w:style w:type="paragraph" w:customStyle="1" w:styleId="Default">
    <w:name w:val="Default"/>
    <w:rsid w:val="006B0748"/>
    <w:pPr>
      <w:autoSpaceDE w:val="0"/>
      <w:autoSpaceDN w:val="0"/>
      <w:adjustRightInd w:val="0"/>
      <w:spacing w:after="0" w:line="240" w:lineRule="auto"/>
    </w:pPr>
    <w:rPr>
      <w:rFonts w:ascii="Segoe UI" w:hAnsi="Segoe UI" w:cs="Segoe UI"/>
      <w:color w:val="000000"/>
      <w:sz w:val="24"/>
      <w:szCs w:val="24"/>
    </w:rPr>
  </w:style>
  <w:style w:type="table" w:styleId="Tableausimple1">
    <w:name w:val="Plain Table 1"/>
    <w:basedOn w:val="TableauNormal"/>
    <w:uiPriority w:val="41"/>
    <w:rsid w:val="006B074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1010</Words>
  <Characters>5560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DELARBRE</dc:creator>
  <cp:keywords/>
  <dc:description/>
  <cp:lastModifiedBy>Lou DELARBRE</cp:lastModifiedBy>
  <cp:revision>1</cp:revision>
  <dcterms:created xsi:type="dcterms:W3CDTF">2019-10-21T13:39:00Z</dcterms:created>
  <dcterms:modified xsi:type="dcterms:W3CDTF">2019-10-21T13:45:00Z</dcterms:modified>
</cp:coreProperties>
</file>