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336A2A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336A2A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336A2A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336A2A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336A2A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336A2A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336A2A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336A2A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336A2A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336A2A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336A2A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336A2A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336A2A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336A2A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336A2A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336A2A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336A2A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336A2A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336A2A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336A2A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336A2A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336A2A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336A2A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336A2A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336A2A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8" w:name="h.2s8eyo1" w:colFirst="0" w:colLast="0"/>
      <w:bookmarkEnd w:id="8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Pr="0058640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586407" w:rsidRPr="00586407" w:rsidRDefault="00586407" w:rsidP="00586407">
      <w:pPr>
        <w:tabs>
          <w:tab w:val="left" w:pos="567"/>
        </w:tabs>
      </w:pPr>
    </w:p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9" w:name="h.17dp8vu" w:colFirst="0" w:colLast="0"/>
      <w:bookmarkEnd w:id="9"/>
    </w:p>
    <w:p w:rsidR="00886041" w:rsidRPr="0085207A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lastRenderedPageBreak/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hosting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10" w:name="h.3rdcrjn" w:colFirst="0" w:colLast="0"/>
      <w:bookmarkEnd w:id="10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1" w:name="h.26in1rg" w:colFirst="0" w:colLast="0"/>
      <w:bookmarkEnd w:id="1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2" w:name="h.lnxbz9" w:colFirst="0" w:colLast="0"/>
      <w:bookmarkEnd w:id="12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Default="00AF63E2" w:rsidP="009A1684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3" w:name="h.35nkun2" w:colFirst="0" w:colLast="0"/>
      <w:bookmarkEnd w:id="13"/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1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5011E3" w:rsidRDefault="00AF63E2" w:rsidP="009A1684">
      <w:pPr>
        <w:numPr>
          <w:ilvl w:val="2"/>
          <w:numId w:val="1"/>
        </w:numPr>
        <w:tabs>
          <w:tab w:val="left" w:pos="-850"/>
        </w:tabs>
        <w:ind w:left="-719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Pr="0018259E" w:rsidRDefault="0018259E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4" w:name="h.1ksv4uv" w:colFirst="0" w:colLast="0"/>
      <w:bookmarkEnd w:id="14"/>
      <w:r>
        <w:rPr>
          <w:rFonts w:ascii="Verdana" w:eastAsia="Verdana" w:hAnsi="Verdana" w:cs="Verdana"/>
          <w:b/>
        </w:rPr>
        <w:t>Denominación</w:t>
      </w:r>
      <w:r w:rsidR="009A1684">
        <w:rPr>
          <w:rFonts w:ascii="Verdana" w:eastAsia="Verdana" w:hAnsi="Verdana" w:cs="Verdana"/>
          <w:b/>
        </w:rPr>
        <w:t xml:space="preserve"> de los ítems de configuración</w:t>
      </w:r>
      <w:r>
        <w:rPr>
          <w:rFonts w:ascii="Verdana" w:eastAsia="Verdana" w:hAnsi="Verdana" w:cs="Verdana"/>
          <w:b/>
        </w:rPr>
        <w:t xml:space="preserve"> (Nomenclatura)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</w:t>
      </w:r>
      <w:r w:rsidRPr="0018259E">
        <w:rPr>
          <w:rFonts w:ascii="Verdana" w:eastAsia="Verdana" w:hAnsi="Verdana" w:cs="Verdana"/>
          <w:b/>
          <w:sz w:val="18"/>
        </w:rPr>
        <w:t>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18259E" w:rsidRDefault="0018259E" w:rsidP="0018259E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 xml:space="preserve">Lista de </w:t>
      </w:r>
      <w:r w:rsidR="00E15D92">
        <w:rPr>
          <w:rFonts w:ascii="Verdana" w:eastAsia="Verdana" w:hAnsi="Verdana" w:cs="Verdana"/>
          <w:b/>
        </w:rPr>
        <w:t>ítems</w:t>
      </w:r>
      <w:bookmarkStart w:id="15" w:name="_GoBack"/>
      <w:bookmarkEnd w:id="15"/>
      <w:r>
        <w:rPr>
          <w:rFonts w:ascii="Verdana" w:eastAsia="Verdana" w:hAnsi="Verdana" w:cs="Verdana"/>
          <w:b/>
        </w:rPr>
        <w:t xml:space="preserve"> con nomenclatura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Caso de Prueba de Caso de Uso Registrar en el </w:t>
            </w:r>
            <w:r w:rsidRPr="00F81B51">
              <w:rPr>
                <w:rFonts w:ascii="Verdana" w:hAnsi="Verdana"/>
              </w:rPr>
              <w:lastRenderedPageBreak/>
              <w:t>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lastRenderedPageBreak/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2A" w:rsidRDefault="00336A2A">
      <w:r>
        <w:separator/>
      </w:r>
    </w:p>
  </w:endnote>
  <w:endnote w:type="continuationSeparator" w:id="0">
    <w:p w:rsidR="00336A2A" w:rsidRDefault="0033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E15D92">
      <w:rPr>
        <w:noProof/>
      </w:rPr>
      <w:t>3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E15D9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2A" w:rsidRDefault="00336A2A">
      <w:r>
        <w:separator/>
      </w:r>
    </w:p>
  </w:footnote>
  <w:footnote w:type="continuationSeparator" w:id="0">
    <w:p w:rsidR="00336A2A" w:rsidRDefault="00336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0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8259E"/>
    <w:rsid w:val="001A3147"/>
    <w:rsid w:val="00207A04"/>
    <w:rsid w:val="00336A2A"/>
    <w:rsid w:val="0035582E"/>
    <w:rsid w:val="00386D53"/>
    <w:rsid w:val="003F6455"/>
    <w:rsid w:val="004A15E6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3C6"/>
    <w:rsid w:val="00824232"/>
    <w:rsid w:val="0085207A"/>
    <w:rsid w:val="00886041"/>
    <w:rsid w:val="008D154C"/>
    <w:rsid w:val="008D2A10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DB2443"/>
    <w:rsid w:val="00E15D92"/>
    <w:rsid w:val="00E746A8"/>
    <w:rsid w:val="00F22A7E"/>
    <w:rsid w:val="00F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DEAC-FF36-4FB3-8474-FF7236A5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1931</Words>
  <Characters>10626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Wilfredo</cp:lastModifiedBy>
  <cp:revision>14</cp:revision>
  <dcterms:created xsi:type="dcterms:W3CDTF">2014-04-12T17:51:00Z</dcterms:created>
  <dcterms:modified xsi:type="dcterms:W3CDTF">2014-04-29T16:37:00Z</dcterms:modified>
</cp:coreProperties>
</file>