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A22E0E">
      <w:pPr>
        <w:tabs>
          <w:tab w:val="right" w:pos="9628"/>
        </w:tabs>
        <w:spacing w:before="60" w:after="60"/>
      </w:pPr>
      <w:hyperlink w:anchor="h.gjdgxs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A22E0E">
      <w:pPr>
        <w:tabs>
          <w:tab w:val="left" w:pos="600"/>
          <w:tab w:val="right" w:pos="9628"/>
        </w:tabs>
        <w:spacing w:before="60" w:after="60"/>
      </w:pPr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A22E0E">
      <w:pPr>
        <w:tabs>
          <w:tab w:val="left" w:pos="1000"/>
          <w:tab w:val="right" w:pos="9628"/>
        </w:tabs>
      </w:pPr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 w:rsidR="00AF63E2"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A22E0E">
      <w:pPr>
        <w:tabs>
          <w:tab w:val="left" w:pos="1000"/>
          <w:tab w:val="right" w:pos="9628"/>
        </w:tabs>
      </w:pPr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 w:rsidR="00AF63E2"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A22E0E">
      <w:pPr>
        <w:tabs>
          <w:tab w:val="left" w:pos="1000"/>
          <w:tab w:val="right" w:pos="9628"/>
        </w:tabs>
      </w:pPr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 w:rsidR="00AF63E2"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A22E0E">
      <w:pPr>
        <w:tabs>
          <w:tab w:val="left" w:pos="1000"/>
          <w:tab w:val="right" w:pos="9628"/>
        </w:tabs>
      </w:pPr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 w:rsidR="00AF63E2"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A22E0E">
      <w:pPr>
        <w:tabs>
          <w:tab w:val="left" w:pos="600"/>
          <w:tab w:val="right" w:pos="9628"/>
        </w:tabs>
        <w:spacing w:before="60" w:after="60"/>
      </w:pPr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A22E0E">
      <w:pPr>
        <w:tabs>
          <w:tab w:val="left" w:pos="1000"/>
          <w:tab w:val="right" w:pos="9628"/>
        </w:tabs>
      </w:pPr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 w:rsidR="00AF63E2"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A22E0E">
      <w:pPr>
        <w:tabs>
          <w:tab w:val="left" w:pos="1000"/>
          <w:tab w:val="right" w:pos="9628"/>
        </w:tabs>
      </w:pPr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 w:rsidR="00AF63E2"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A22E0E">
      <w:pPr>
        <w:tabs>
          <w:tab w:val="left" w:pos="1000"/>
          <w:tab w:val="right" w:pos="9628"/>
        </w:tabs>
      </w:pPr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 w:rsidR="00AF63E2"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A22E0E">
      <w:pPr>
        <w:tabs>
          <w:tab w:val="left" w:pos="1000"/>
          <w:tab w:val="right" w:pos="9628"/>
        </w:tabs>
      </w:pPr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 w:rsidR="00AF63E2"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A22E0E">
      <w:pPr>
        <w:tabs>
          <w:tab w:val="left" w:pos="1000"/>
          <w:tab w:val="right" w:pos="9628"/>
        </w:tabs>
      </w:pPr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 w:rsidR="00AF63E2"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A22E0E">
      <w:pPr>
        <w:tabs>
          <w:tab w:val="left" w:pos="600"/>
          <w:tab w:val="right" w:pos="9628"/>
        </w:tabs>
        <w:spacing w:before="60" w:after="60"/>
      </w:pPr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A22E0E">
      <w:pPr>
        <w:tabs>
          <w:tab w:val="left" w:pos="1000"/>
          <w:tab w:val="right" w:pos="9628"/>
        </w:tabs>
      </w:pPr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 w:rsidR="00AF63E2"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A22E0E">
      <w:pPr>
        <w:tabs>
          <w:tab w:val="left" w:pos="1200"/>
          <w:tab w:val="right" w:pos="9628"/>
        </w:tabs>
      </w:pPr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 w:rsidR="00AF63E2"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A22E0E">
      <w:pPr>
        <w:tabs>
          <w:tab w:val="left" w:pos="1200"/>
          <w:tab w:val="right" w:pos="9628"/>
        </w:tabs>
      </w:pPr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Nomenclatura de los items de configuración</w:t>
        </w:r>
      </w:hyperlink>
      <w:hyperlink w:anchor="h.1ksv4uv">
        <w:r w:rsidR="00AF63E2"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A22E0E">
      <w:pPr>
        <w:tabs>
          <w:tab w:val="left" w:pos="1000"/>
          <w:tab w:val="right" w:pos="9628"/>
        </w:tabs>
      </w:pPr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 w:rsidR="00AF63E2"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A22E0E">
      <w:pPr>
        <w:tabs>
          <w:tab w:val="left" w:pos="1200"/>
          <w:tab w:val="right" w:pos="9628"/>
        </w:tabs>
      </w:pPr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 w:rsidR="00AF63E2"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A22E0E">
      <w:pPr>
        <w:tabs>
          <w:tab w:val="left" w:pos="1200"/>
          <w:tab w:val="right" w:pos="9628"/>
        </w:tabs>
      </w:pPr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 w:rsidR="00AF63E2"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A22E0E">
      <w:pPr>
        <w:tabs>
          <w:tab w:val="left" w:pos="1200"/>
          <w:tab w:val="right" w:pos="9628"/>
        </w:tabs>
      </w:pPr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 w:rsidR="00AF63E2"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A22E0E">
      <w:pPr>
        <w:tabs>
          <w:tab w:val="left" w:pos="1200"/>
          <w:tab w:val="right" w:pos="9628"/>
        </w:tabs>
      </w:pPr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Implementación de los cambios</w:t>
        </w:r>
      </w:hyperlink>
      <w:hyperlink w:anchor="h.1y810tw">
        <w:r w:rsidR="00AF63E2"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A22E0E">
      <w:pPr>
        <w:tabs>
          <w:tab w:val="left" w:pos="1000"/>
          <w:tab w:val="right" w:pos="9628"/>
        </w:tabs>
      </w:pPr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 w:rsidR="00AF63E2"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A22E0E">
      <w:pPr>
        <w:tabs>
          <w:tab w:val="left" w:pos="1000"/>
          <w:tab w:val="right" w:pos="9628"/>
        </w:tabs>
      </w:pPr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 w:rsidR="00AF63E2"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A22E0E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Gestión y entrega de Release de Software</w:t>
        </w:r>
      </w:hyperlink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A22E0E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1" w:name="h.30j0zll" w:colFirst="0" w:colLast="0"/>
      <w:bookmarkEnd w:id="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2" w:name="h.1fob9te" w:colFirst="0" w:colLast="0"/>
      <w:bookmarkEnd w:id="2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3" w:name="h.3znysh7" w:colFirst="0" w:colLast="0"/>
      <w:bookmarkEnd w:id="3"/>
    </w:p>
    <w:p w:rsidR="00886041" w:rsidRPr="004A15E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Construcción de releases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1A314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4" w:name="h.tyjcwt" w:colFirst="0" w:colLast="0"/>
      <w:bookmarkEnd w:id="4"/>
    </w:p>
    <w:p w:rsidR="00886041" w:rsidRPr="008D154C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No aplica.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5" w:name="h.3dy6vkm" w:colFirst="0" w:colLast="0"/>
      <w:bookmarkEnd w:id="5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6" w:name="h.1t3h5sf" w:colFirst="0" w:colLast="0"/>
      <w:bookmarkEnd w:id="6"/>
    </w:p>
    <w:p w:rsidR="00886041" w:rsidRPr="007D4F47" w:rsidRDefault="00AF63E2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</w:rPr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7" w:name="h.4d34og8" w:colFirst="0" w:colLast="0"/>
      <w:bookmarkEnd w:id="7"/>
    </w:p>
    <w:p w:rsidR="009B6737" w:rsidRDefault="009B6737">
      <w:pPr>
        <w:tabs>
          <w:tab w:val="center" w:pos="4252"/>
          <w:tab w:val="right" w:pos="8504"/>
        </w:tabs>
      </w:pPr>
    </w:p>
    <w:p w:rsidR="009B6737" w:rsidRDefault="009B6737">
      <w:pPr>
        <w:tabs>
          <w:tab w:val="center" w:pos="4252"/>
          <w:tab w:val="right" w:pos="8504"/>
        </w:tabs>
      </w:pPr>
      <w:bookmarkStart w:id="8" w:name="_GoBack"/>
      <w:bookmarkEnd w:id="8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lastRenderedPageBreak/>
        <w:t>Responsabilidades de SCM</w:t>
      </w:r>
    </w:p>
    <w:p w:rsidR="00886041" w:rsidRDefault="00886041">
      <w:pPr>
        <w:tabs>
          <w:tab w:val="left" w:pos="567"/>
        </w:tabs>
      </w:pPr>
      <w:bookmarkStart w:id="9" w:name="h.2s8eyo1" w:colFirst="0" w:colLast="0"/>
      <w:bookmarkEnd w:id="9"/>
    </w:p>
    <w:tbl>
      <w:tblPr>
        <w:tblW w:w="8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3"/>
        <w:gridCol w:w="4798"/>
        <w:gridCol w:w="2299"/>
      </w:tblGrid>
      <w:tr w:rsidR="009B6737" w:rsidRPr="00602D77" w:rsidTr="003F0CE4">
        <w:trPr>
          <w:jc w:val="center"/>
        </w:trPr>
        <w:tc>
          <w:tcPr>
            <w:tcW w:w="1713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Miembros/Rol</w:t>
            </w:r>
          </w:p>
        </w:tc>
        <w:tc>
          <w:tcPr>
            <w:tcW w:w="4798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Responsabilidades</w:t>
            </w:r>
          </w:p>
        </w:tc>
        <w:tc>
          <w:tcPr>
            <w:tcW w:w="2299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Apellido y nombre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Gestor de Configuración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Desarrollar el plan de gestión de configuración.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Liderar las actividades de evaluación.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Se encarga de implementar, mantener y mejorar la gestión de configuración y responsable de la utilización de herramientas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Paul Contreras 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Bibliotecario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asegurar</w:t>
            </w:r>
            <w:r w:rsidRPr="008D3FA9">
              <w:rPr>
                <w:rFonts w:ascii="Verdana" w:hAnsi="Verdana" w:cs="Arial"/>
              </w:rPr>
              <w:t xml:space="preserve"> que los aspectos prácticos de la gestión de configuración trabajen entre sí adecuadamente.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Define y da mantenimiento a las bibliotecas que son usadas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Comité de Gestión de cambios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Evalúa el impacto y los riesgos del cambio.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Asegurar que los responsables de los elementos de configuración actualicen los históricos de estos elementos con los cambios implementados.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</w:t>
            </w:r>
            <w:r w:rsidRPr="008D3FA9">
              <w:rPr>
                <w:rFonts w:ascii="Verdana" w:hAnsi="Verdana" w:cs="Arial"/>
              </w:rPr>
              <w:t>oordinar con otros comités de control de cambios y coordinar con la gestión de proyecto u otra gestión relevante.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Leonidas Muñoz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Wilfredo Villanueva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Fiorela Ruiz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Jorge Delgado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Paul Contreras</w:t>
            </w:r>
          </w:p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9B6737" w:rsidRDefault="009B6737">
      <w:pPr>
        <w:tabs>
          <w:tab w:val="left" w:pos="567"/>
        </w:tabs>
      </w:pPr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Políticas, Directrices y procedimientos</w:t>
      </w:r>
    </w:p>
    <w:p w:rsidR="00886041" w:rsidRDefault="00886041">
      <w:bookmarkStart w:id="10" w:name="h.17dp8vu" w:colFirst="0" w:colLast="0"/>
      <w:bookmarkEnd w:id="10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</w:p>
    <w:p w:rsidR="00886041" w:rsidRDefault="00886041">
      <w:bookmarkStart w:id="11" w:name="h.3rdcrjn" w:colFirst="0" w:colLast="0"/>
      <w:bookmarkEnd w:id="11"/>
    </w:p>
    <w:p w:rsidR="00886041" w:rsidRPr="00A57AD9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A57AD9" w:rsidRDefault="00A57AD9" w:rsidP="00A57AD9">
      <w:pPr>
        <w:pStyle w:val="Prrafodelista"/>
      </w:pPr>
    </w:p>
    <w:p w:rsidR="00A57AD9" w:rsidRDefault="00A57AD9" w:rsidP="00A57AD9">
      <w:pPr>
        <w:tabs>
          <w:tab w:val="left" w:pos="567"/>
        </w:tabs>
      </w:pPr>
      <w:r>
        <w:rPr>
          <w:noProof/>
        </w:rPr>
        <w:drawing>
          <wp:inline distT="0" distB="0" distL="0" distR="0">
            <wp:extent cx="6120130" cy="1182882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12" w:name="h.26in1rg" w:colFirst="0" w:colLast="0"/>
      <w:bookmarkEnd w:id="12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3" w:name="h.lnxbz9" w:colFirst="0" w:colLast="0"/>
      <w:bookmarkEnd w:id="13"/>
    </w:p>
    <w:p w:rsidR="00886041" w:rsidRDefault="00AF63E2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4" w:name="h.35nkun2" w:colFirst="0" w:colLast="0"/>
      <w:bookmarkEnd w:id="14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Identificación de los ítems de configuración</w:t>
      </w: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5" w:name="h.1ksv4uv" w:colFirst="0" w:colLast="0"/>
      <w:bookmarkEnd w:id="15"/>
      <w:r>
        <w:rPr>
          <w:rFonts w:ascii="Verdana" w:eastAsia="Verdana" w:hAnsi="Verdana" w:cs="Verdana"/>
          <w:b/>
        </w:rPr>
        <w:t>Nomenclatura de los items de configuración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6" w:name="h.44sinio" w:colFirst="0" w:colLast="0"/>
      <w:bookmarkEnd w:id="16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Control de configuración</w:t>
      </w:r>
    </w:p>
    <w:p w:rsidR="005C1FF6" w:rsidRDefault="005C1FF6" w:rsidP="005C1FF6">
      <w:pPr>
        <w:tabs>
          <w:tab w:val="left" w:pos="567"/>
        </w:tabs>
      </w:pP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7" w:name="h.2jxsxqh" w:colFirst="0" w:colLast="0"/>
      <w:bookmarkEnd w:id="17"/>
      <w:r>
        <w:rPr>
          <w:rFonts w:ascii="Verdana" w:eastAsia="Verdana" w:hAnsi="Verdana" w:cs="Verdana"/>
          <w:b/>
        </w:rPr>
        <w:t>Solicitud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8" w:name="h.z337ya" w:colFirst="0" w:colLast="0"/>
      <w:bookmarkEnd w:id="18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lastRenderedPageBreak/>
        <w:t>Evaluación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9" w:name="h.3j2qqm3" w:colFirst="0" w:colLast="0"/>
      <w:bookmarkEnd w:id="19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Aprobación o desaprobación de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0" w:name="h.1y810tw" w:colFirst="0" w:colLast="0"/>
      <w:bookmarkEnd w:id="20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Implementación de los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1" w:name="h.4i7ojhp" w:colFirst="0" w:colLast="0"/>
      <w:bookmarkEnd w:id="2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Estado de la configuración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2" w:name="h.2xcytpi" w:colFirst="0" w:colLast="0"/>
      <w:bookmarkEnd w:id="22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Auditorías de configuración</w:t>
      </w:r>
    </w:p>
    <w:p w:rsidR="00886041" w:rsidRDefault="00886041">
      <w:bookmarkStart w:id="23" w:name="h.1ci93xb" w:colFirst="0" w:colLast="0"/>
      <w:bookmarkEnd w:id="23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Gestión y entrega de Release de Software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E0E" w:rsidRDefault="00A22E0E">
      <w:r>
        <w:separator/>
      </w:r>
    </w:p>
  </w:endnote>
  <w:endnote w:type="continuationSeparator" w:id="0">
    <w:p w:rsidR="00A22E0E" w:rsidRDefault="00A2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C4" w:rsidRDefault="007146C4">
    <w:pPr>
      <w:tabs>
        <w:tab w:val="center" w:pos="4252"/>
        <w:tab w:val="right" w:pos="8504"/>
      </w:tabs>
    </w:pPr>
    <w:r>
      <w:rPr>
        <w:noProof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9B6737">
      <w:rPr>
        <w:noProof/>
      </w:rPr>
      <w:t>3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9B673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E0E" w:rsidRDefault="00A22E0E">
      <w:r>
        <w:separator/>
      </w:r>
    </w:p>
  </w:footnote>
  <w:footnote w:type="continuationSeparator" w:id="0">
    <w:p w:rsidR="00A22E0E" w:rsidRDefault="00A22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63C0040"/>
    <w:multiLevelType w:val="hybridMultilevel"/>
    <w:tmpl w:val="88721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55B1E"/>
    <w:multiLevelType w:val="hybridMultilevel"/>
    <w:tmpl w:val="97B4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75551BF8"/>
    <w:multiLevelType w:val="hybridMultilevel"/>
    <w:tmpl w:val="73DC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B431C"/>
    <w:rsid w:val="001A3147"/>
    <w:rsid w:val="00207A04"/>
    <w:rsid w:val="0035582E"/>
    <w:rsid w:val="004A15E6"/>
    <w:rsid w:val="005C1FF6"/>
    <w:rsid w:val="006F703D"/>
    <w:rsid w:val="007146C4"/>
    <w:rsid w:val="007D4F47"/>
    <w:rsid w:val="008003C6"/>
    <w:rsid w:val="00886041"/>
    <w:rsid w:val="008D154C"/>
    <w:rsid w:val="009B6737"/>
    <w:rsid w:val="00A22E0E"/>
    <w:rsid w:val="00A57AD9"/>
    <w:rsid w:val="00AF63E2"/>
    <w:rsid w:val="00C9539B"/>
    <w:rsid w:val="00DB2443"/>
    <w:rsid w:val="00E7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0BD3C6F-273D-4391-9E86-8A5302C1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1224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jorgeee</cp:lastModifiedBy>
  <cp:revision>8</cp:revision>
  <dcterms:created xsi:type="dcterms:W3CDTF">2014-04-12T17:51:00Z</dcterms:created>
  <dcterms:modified xsi:type="dcterms:W3CDTF">2014-04-13T20:32:00Z</dcterms:modified>
</cp:coreProperties>
</file>