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vMerge w:val="restart"/>
            <w:tcBorders>
              <w:top w:val="single" w:color="1A3A6B" w:sz="8"/>
              <w:left w:val="single" w:color="1A3A6B" w:sz="8"/>
              <w:bottom w:val="single" w:color="1A3A6B" w:sz="8"/>
              <w:right w:val="single" w:color="1A3A6B" w:sz="8"/>
            </w:tcBorders>
            <w:vAlign w:val="center"/>
          </w:tcPr>
          <w:p>
            <w:pPr>
              <w:spacing w:after="60" w:before="60"/>
              <w:jc w:val="center"/>
            </w:pPr>
            <w:r>
              <w:drawing>
                <wp:inline distT="0" distB="0" distL="0" distR="0">
                  <wp:extent cx="1143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457200"/>
                          </a:xfrm>
                          <a:prstGeom prst="rect">
                            <a:avLst/>
                          </a:prstGeom>
                        </pic:spPr>
                      </pic:pic>
                    </a:graphicData>
                  </a:graphic>
                </wp:inline>
              </w:drawing>
            </w:r>
          </w:p>
        </w:tc>
        <w:tc>
          <w:tcPr>
            <w:tcW w:type="dxa" w:w="5200"/>
            <w:tcBorders>
              <w:top w:val="single" w:color="1A3A6B" w:sz="8"/>
              <w:left w:val="single" w:color="1A3A6B" w:sz="8"/>
              <w:bottom w:val="single" w:color="1A3A6B" w:sz="8"/>
              <w:right w:val="single" w:color="1A3A6B" w:sz="8"/>
            </w:tcBorders>
            <w:shd w:fill="1A3A6B" w:val="clear"/>
            <w:vAlign w:val="center"/>
          </w:tcPr>
          <w:p>
            <w:pPr>
              <w:spacing w:after="80" w:before="80"/>
              <w:jc w:val="center"/>
            </w:pPr>
            <w:r>
              <w:rPr>
                <w:rFonts w:ascii="Arial" w:cs="Arial" w:eastAsia="Arial" w:hAnsi="Arial"/>
                <w:b/>
                <w:bCs/>
                <w:color w:val="FFFFFF"/>
                <w:sz w:val="22"/>
                <w:szCs w:val="22"/>
              </w:rPr>
              <w:t xml:space="preserve">INSTRUCTIVO DE REQUISITOS DE INGRESO DE CONTRATISTAS</w:t>
            </w:r>
          </w:p>
        </w:tc>
        <w:tc>
          <w:tcPr>
            <w:tcW w:type="dxa" w:w="2160"/>
            <w:tcBorders>
              <w:top w:val="single" w:color="1A3A6B" w:sz="8"/>
              <w:left w:val="single" w:color="1A3A6B" w:sz="8"/>
              <w:bottom w:val="single" w:color="1A3A6B" w:sz="8"/>
              <w:right w:val="single" w:color="1A3A6B" w:sz="8"/>
            </w:tcBorders>
            <w:shd w:fill="F2F2F2" w:val="clear"/>
            <w:vAlign w:val="center"/>
          </w:tcPr>
          <w:p>
            <w:pPr>
              <w:spacing w:after="0" w:before="40"/>
              <w:jc w:val="center"/>
            </w:pPr>
            <w:r>
              <w:rPr>
                <w:rFonts w:ascii="Arial" w:cs="Arial" w:eastAsia="Arial" w:hAnsi="Arial"/>
                <w:b/>
                <w:bCs/>
                <w:color w:val="1A3A6B"/>
                <w:sz w:val="18"/>
                <w:szCs w:val="18"/>
              </w:rPr>
              <w:t xml:space="preserve">Código:</w:t>
            </w:r>
          </w:p>
          <w:p>
            <w:pPr>
              <w:spacing w:after="40" w:before="0"/>
              <w:jc w:val="center"/>
            </w:pPr>
            <w:r>
              <w:rPr>
                <w:rFonts w:ascii="Arial" w:cs="Arial" w:eastAsia="Arial" w:hAnsi="Arial"/>
                <w:b/>
                <w:bCs/>
                <w:color w:val="1A3A6B"/>
                <w:sz w:val="20"/>
                <w:szCs w:val="20"/>
              </w:rPr>
              <w:t xml:space="preserve">GE-SO-IXXX</w:t>
            </w:r>
          </w:p>
        </w:tc>
      </w:tr>
      <w:tr>
        <w:tc>
          <w:tcPr>
            <w:vMerge w:val="continue"/>
            <w:tcBorders>
              <w:top w:val="single" w:color="1A3A6B" w:sz="8"/>
              <w:left w:val="single" w:color="1A3A6B" w:sz="8"/>
              <w:bottom w:val="single" w:color="1A3A6B" w:sz="8"/>
              <w:right w:val="single" w:color="1A3A6B" w:sz="8"/>
            </w:tcBorders>
          </w:tcPr>
          <w:p/>
        </w:tc>
        <w:tc>
          <w:tcPr>
            <w:tcW w:type="dxa" w:w="5200"/>
            <w:tcBorders>
              <w:top w:val="single" w:color="1A3A6B" w:sz="8"/>
              <w:left w:val="single" w:color="1A3A6B" w:sz="8"/>
              <w:bottom w:val="single" w:color="1A3A6B" w:sz="8"/>
              <w:right w:val="single" w:color="1A3A6B" w:sz="8"/>
            </w:tcBorders>
            <w:shd w:fill="EBF5FB" w:val="clear"/>
          </w:tcPr>
          <w:p>
            <w:pPr>
              <w:spacing w:after="60" w:before="60"/>
              <w:jc w:val="center"/>
            </w:pPr>
            <w:r>
              <w:rPr>
                <w:rFonts w:ascii="Arial" w:cs="Arial" w:eastAsia="Arial" w:hAnsi="Arial"/>
                <w:color w:val="595959"/>
                <w:sz w:val="18"/>
                <w:szCs w:val="18"/>
              </w:rPr>
              <w:t xml:space="preserve">Plantabal S.A. / 3A Core Materials  |  Planta: Quevedo y Santo Domingo</w:t>
            </w:r>
          </w:p>
        </w:tc>
        <w:tc>
          <w:tcPr>
            <w:tcW w:type="dxa" w:w="2160"/>
            <w:tcBorders>
              <w:top w:val="single" w:color="1A3A6B" w:sz="8"/>
              <w:left w:val="single" w:color="1A3A6B" w:sz="8"/>
              <w:bottom w:val="single" w:color="1A3A6B" w:sz="8"/>
              <w:right w:val="single" w:color="1A3A6B" w:sz="8"/>
            </w:tcBorders>
            <w:shd w:fill="F2F2F2" w:val="clear"/>
          </w:tcPr>
          <w:p>
            <w:pPr>
              <w:spacing w:after="0" w:before="40"/>
              <w:jc w:val="center"/>
            </w:pPr>
            <w:r>
              <w:rPr>
                <w:rFonts w:ascii="Arial" w:cs="Arial" w:eastAsia="Arial" w:hAnsi="Arial"/>
                <w:color w:val="000000"/>
                <w:sz w:val="18"/>
                <w:szCs w:val="18"/>
              </w:rPr>
              <w:t xml:space="preserve">Versión: 01</w:t>
            </w:r>
          </w:p>
          <w:p>
            <w:pPr>
              <w:spacing w:after="40" w:before="0"/>
              <w:jc w:val="center"/>
            </w:pPr>
            <w:r>
              <w:rPr>
                <w:rFonts w:ascii="Arial" w:cs="Arial" w:eastAsia="Arial" w:hAnsi="Arial"/>
                <w:color w:val="000000"/>
                <w:sz w:val="18"/>
                <w:szCs w:val="18"/>
              </w:rPr>
              <w:t xml:space="preserve">Fecha: 31/10/2026</w:t>
            </w:r>
          </w:p>
        </w:tc>
      </w:tr>
    </w:tbl>
    <w:p>
      <w:pPr>
        <w:spacing w:after="40" w:before="0"/>
      </w:pPr>
      <w:r>
        <w:rPr>
          <w:sz w:val="20"/>
          <w:szCs w:val="20"/>
        </w:rPr>
        <w:t xml:space="preserve"/>
      </w:r>
    </w:p>
    <w:p>
      <w:pPr>
        <w:shd w:fill="2E6DB4" w:val="clear"/>
        <w:spacing w:after="0" w:before="0"/>
        <w:ind w:left="144"/>
        <w:jc w:val="left"/>
      </w:pPr>
      <w:r>
        <w:rPr>
          <w:rFonts w:ascii="Arial" w:cs="Arial" w:eastAsia="Arial" w:hAnsi="Arial"/>
          <w:b/>
          <w:bCs/>
          <w:color w:val="FFFFFF"/>
          <w:sz w:val="24"/>
          <w:szCs w:val="24"/>
        </w:rPr>
        <w:t xml:space="preserve">1.  OBJETIVO</w:t>
      </w:r>
    </w:p>
    <w:p>
      <w:pPr>
        <w:spacing w:after="24" w:before="0"/>
      </w:pPr>
      <w:r>
        <w:rPr>
          <w:sz w:val="20"/>
          <w:szCs w:val="20"/>
        </w:rPr>
        <w:t xml:space="preserve"/>
      </w:r>
    </w:p>
    <w:p>
      <w:pPr>
        <w:spacing w:after="80" w:before="80"/>
        <w:ind w:left="0"/>
      </w:pPr>
      <w:r>
        <w:rPr>
          <w:rFonts w:ascii="Arial" w:cs="Arial" w:eastAsia="Arial" w:hAnsi="Arial"/>
          <w:b w:val="false"/>
          <w:bCs w:val="false"/>
          <w:sz w:val="20"/>
          <w:szCs w:val="20"/>
        </w:rPr>
        <w:t xml:space="preserve">Establecer los requisitos documentales mínimos que debe cumplir toda empresa contratista y su personal para obtener autorización de ingreso y permanencia en las instalaciones de Plantabal S.A., asegurando condiciones de seguridad, salud ocupacional y cumplimiento legal durante la ejecución de sus actividades.</w:t>
      </w:r>
    </w:p>
    <w:p>
      <w:pPr>
        <w:spacing w:after="40" w:before="0"/>
      </w:pPr>
      <w:r>
        <w:rPr>
          <w:sz w:val="20"/>
          <w:szCs w:val="20"/>
        </w:rPr>
        <w:t xml:space="preserve"/>
      </w:r>
    </w:p>
    <w:p>
      <w:pPr>
        <w:shd w:fill="2E6DB4" w:val="clear"/>
        <w:spacing w:after="0" w:before="0"/>
        <w:ind w:left="144"/>
        <w:jc w:val="left"/>
      </w:pPr>
      <w:r>
        <w:rPr>
          <w:rFonts w:ascii="Arial" w:cs="Arial" w:eastAsia="Arial" w:hAnsi="Arial"/>
          <w:b/>
          <w:bCs/>
          <w:color w:val="FFFFFF"/>
          <w:sz w:val="24"/>
          <w:szCs w:val="24"/>
        </w:rPr>
        <w:t xml:space="preserve">2.  ALCANCE</w:t>
      </w:r>
    </w:p>
    <w:p>
      <w:pPr>
        <w:spacing w:after="24" w:before="0"/>
      </w:pPr>
      <w:r>
        <w:rPr>
          <w:sz w:val="20"/>
          <w:szCs w:val="20"/>
        </w:rPr>
        <w:t xml:space="preserve"/>
      </w:r>
    </w:p>
    <w:p>
      <w:pPr>
        <w:spacing w:after="60" w:before="80"/>
        <w:ind w:left="0"/>
      </w:pPr>
      <w:r>
        <w:rPr>
          <w:rFonts w:ascii="Arial" w:cs="Arial" w:eastAsia="Arial" w:hAnsi="Arial"/>
          <w:b w:val="false"/>
          <w:bCs w:val="false"/>
          <w:sz w:val="20"/>
          <w:szCs w:val="20"/>
        </w:rPr>
        <w:t xml:space="preserve">Sitio: Plantabal S.A. — Planta Quevedo y Planta Santo Domingo</w:t>
      </w:r>
    </w:p>
    <w:p>
      <w:pPr>
        <w:spacing w:after="60" w:before="60"/>
        <w:ind w:left="0"/>
      </w:pPr>
      <w:r>
        <w:rPr>
          <w:rFonts w:ascii="Arial" w:cs="Arial" w:eastAsia="Arial" w:hAnsi="Arial"/>
          <w:b w:val="false"/>
          <w:bCs w:val="false"/>
          <w:sz w:val="20"/>
          <w:szCs w:val="20"/>
        </w:rPr>
        <w:t xml:space="preserve">Actividad inicial: Solicitud de ingreso de personal contratista al área de Seguridad.</w:t>
      </w:r>
    </w:p>
    <w:p>
      <w:pPr>
        <w:spacing w:after="60" w:before="60"/>
        <w:ind w:left="0"/>
      </w:pPr>
      <w:r>
        <w:rPr>
          <w:rFonts w:ascii="Arial" w:cs="Arial" w:eastAsia="Arial" w:hAnsi="Arial"/>
          <w:b w:val="false"/>
          <w:bCs w:val="false"/>
          <w:sz w:val="20"/>
          <w:szCs w:val="20"/>
        </w:rPr>
        <w:t xml:space="preserve">Actividad final: Registro en el Consolidado de Contratistas y emisión de la autorización GE-SO-R34.</w:t>
      </w:r>
    </w:p>
    <w:p>
      <w:pPr>
        <w:spacing w:after="80" w:before="60"/>
        <w:ind w:left="0"/>
      </w:pPr>
      <w:r>
        <w:rPr>
          <w:rFonts w:ascii="Arial" w:cs="Arial" w:eastAsia="Arial" w:hAnsi="Arial"/>
          <w:b w:val="false"/>
          <w:bCs w:val="false"/>
          <w:sz w:val="20"/>
          <w:szCs w:val="20"/>
        </w:rPr>
        <w:t xml:space="preserve">Aplica a: Toda empresa contratista o persona natural que preste servicios dentro de las instalaciones de Plantabal S.A., independientemente de la duración o tipo de trabajo.</w:t>
      </w:r>
    </w:p>
    <w:p>
      <w:pPr>
        <w:spacing w:after="40" w:before="0"/>
      </w:pPr>
      <w:r>
        <w:rPr>
          <w:sz w:val="20"/>
          <w:szCs w:val="20"/>
        </w:rPr>
        <w:t xml:space="preserve"/>
      </w:r>
    </w:p>
    <w:p>
      <w:pPr>
        <w:shd w:fill="2E6DB4" w:val="clear"/>
        <w:spacing w:after="0" w:before="0"/>
        <w:ind w:left="144"/>
        <w:jc w:val="left"/>
      </w:pPr>
      <w:r>
        <w:rPr>
          <w:rFonts w:ascii="Arial" w:cs="Arial" w:eastAsia="Arial" w:hAnsi="Arial"/>
          <w:b/>
          <w:bCs/>
          <w:color w:val="FFFFFF"/>
          <w:sz w:val="24"/>
          <w:szCs w:val="24"/>
        </w:rPr>
        <w:t xml:space="preserve">3.  DEFINICIONES</w:t>
      </w:r>
    </w:p>
    <w:p>
      <w:pPr>
        <w:spacing w:after="24"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TÉRMINO</w:t>
            </w:r>
          </w:p>
        </w:tc>
        <w:tc>
          <w:tcPr>
            <w:tcW w:type="dxa" w:w="676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DEFINICIÓN</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Contratista</w:t>
            </w:r>
          </w:p>
        </w:tc>
        <w:tc>
          <w:tcPr>
            <w:tcW w:type="dxa" w:w="67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Empresa o persona natural que presta servicios a Plantabal S.A. bajo contrato, con personal que opera dentro de sus instalaciones.</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Inducción de Seguridad</w:t>
            </w:r>
          </w:p>
        </w:tc>
        <w:tc>
          <w:tcPr>
            <w:tcW w:type="dxa" w:w="67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Capacitación obligatoria que recibe todo contratista antes de iniciar actividades en planta, que cubre riesgos generales, EPP, emergencias y reglamento interno. Vigencia: 1 año desde la fecha de recepción.</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Certificado Médico Laboral</w:t>
            </w:r>
          </w:p>
        </w:tc>
        <w:tc>
          <w:tcPr>
            <w:tcW w:type="dxa" w:w="67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Documento emitido por un médico ocupacional que certifica la aptitud física del trabajador para las actividades que realizará. La vigencia es determinada por el médico de planta de Plantabal al momento de su validación.</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Afiliación al IESS</w:t>
            </w:r>
          </w:p>
        </w:tc>
        <w:tc>
          <w:tcPr>
            <w:tcW w:type="dxa" w:w="67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Registro del trabajador en el Instituto Ecuatoriano de Seguridad Social. Se acredita mediante la planilla de pago del mes inmediatamente anterior. Para trabajadores de nuevo ingreso, se acepta el aviso de entrada, registrando la fecha del mes siguiente.</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Aviso de entrada</w:t>
            </w:r>
          </w:p>
        </w:tc>
        <w:tc>
          <w:tcPr>
            <w:tcW w:type="dxa" w:w="67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Notificación enviada al IESS al momento de contratar a un trabajador nuevo. La planilla correspondiente se genera el mes siguiente, por lo que se acepta el aviso como habilitante de acceso transitorio.</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Trabajo de alto riesgo</w:t>
            </w:r>
          </w:p>
        </w:tc>
        <w:tc>
          <w:tcPr>
            <w:tcW w:type="dxa" w:w="67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Actividad con potencial de lesión grave o fatal que requiere certificación específica: trabajos en caliente, trabajos en altura (≥ 1,80 m), espacios confinados, trabajos eléctricos (media y alta tensión) y trabajos de izaje.</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Certificado de prevención de riesgos laborales</w:t>
            </w:r>
          </w:p>
        </w:tc>
        <w:tc>
          <w:tcPr>
            <w:tcW w:type="dxa" w:w="67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Documento emitido por entidad certificadora reconocida (MDT o SENESCYT) que acredita la competencia del trabajador para ejecutar un tipo específico de trabajo de alto riesgo.</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MDT</w:t>
            </w:r>
          </w:p>
        </w:tc>
        <w:tc>
          <w:tcPr>
            <w:tcW w:type="dxa" w:w="67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Ministerio de Trabajo del Ecuador.</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SENESCYT</w:t>
            </w:r>
          </w:p>
        </w:tc>
        <w:tc>
          <w:tcPr>
            <w:tcW w:type="dxa" w:w="67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Secretaría de Educación Superior, Ciencia, Tecnología e Innovación del Ecuador.</w:t>
            </w:r>
          </w:p>
        </w:tc>
      </w:tr>
    </w:tbl>
    <w:p>
      <w:pPr>
        <w:spacing w:after="40" w:before="0"/>
      </w:pPr>
      <w:r>
        <w:rPr>
          <w:sz w:val="20"/>
          <w:szCs w:val="20"/>
        </w:rPr>
        <w:t xml:space="preserve"/>
      </w:r>
    </w:p>
    <w:p>
      <w:pPr>
        <w:shd w:fill="2E6DB4" w:val="clear"/>
        <w:spacing w:after="0" w:before="0"/>
        <w:ind w:left="144"/>
        <w:jc w:val="left"/>
      </w:pPr>
      <w:r>
        <w:rPr>
          <w:rFonts w:ascii="Arial" w:cs="Arial" w:eastAsia="Arial" w:hAnsi="Arial"/>
          <w:b/>
          <w:bCs/>
          <w:color w:val="FFFFFF"/>
          <w:sz w:val="24"/>
          <w:szCs w:val="24"/>
        </w:rPr>
        <w:t xml:space="preserve">4.  RESPONSABILIDADES</w:t>
      </w:r>
    </w:p>
    <w:p>
      <w:pPr>
        <w:spacing w:after="24"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ACTOR</w:t>
            </w:r>
          </w:p>
        </w:tc>
        <w:tc>
          <w:tcPr>
            <w:tcW w:type="dxa" w:w="676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RESPONSABILIDAD PRINCIPAL</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Técnico(a) E&amp;S / Seguridad</w:t>
            </w:r>
          </w:p>
        </w:tc>
        <w:tc>
          <w:tcPr>
            <w:tcW w:type="dxa" w:w="676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Verificar y validar el cumplimiento de todos los requisitos de ingreso antes de autorizar el acceso a planta. Mantener actualizados los registros del consolidado de contratistas.</w:t>
            </w:r>
          </w:p>
        </w:tc>
      </w:tr>
      <w:tr>
        <w:tc>
          <w:tcPr>
            <w:tcW w:type="dxa" w:w="26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b/>
                <w:bCs/>
                <w:color w:val="1A3A6B"/>
                <w:sz w:val="19"/>
                <w:szCs w:val="19"/>
              </w:rPr>
              <w:t xml:space="preserve">Médico de Planta</w:t>
            </w:r>
          </w:p>
        </w:tc>
        <w:tc>
          <w:tcPr>
            <w:tcW w:type="dxa" w:w="676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Revisar y validar el certificado médico laboral presentado por el contratista, definir su vigencia y emitir criterio de aptitud.</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Guardia de Seguridad / Portería</w:t>
            </w:r>
          </w:p>
        </w:tc>
        <w:tc>
          <w:tcPr>
            <w:tcW w:type="dxa" w:w="676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Verificar en el momento del ingreso que el personal cuente con autorización vigente (GE-SO-R34) emitida por el área de Seguridad.</w:t>
            </w:r>
          </w:p>
        </w:tc>
      </w:tr>
      <w:tr>
        <w:tc>
          <w:tcPr>
            <w:tcW w:type="dxa" w:w="26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b/>
                <w:bCs/>
                <w:color w:val="1A3A6B"/>
                <w:sz w:val="19"/>
                <w:szCs w:val="19"/>
              </w:rPr>
              <w:t xml:space="preserve">Empresa Contratista</w:t>
            </w:r>
          </w:p>
        </w:tc>
        <w:tc>
          <w:tcPr>
            <w:tcW w:type="dxa" w:w="676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Presentar oportunamente toda la documentación requerida antes de iniciar actividades en planta. Mantener vigentes los documentos durante toda la duración del contrato.</w:t>
            </w:r>
          </w:p>
        </w:tc>
      </w:tr>
      <w:tr>
        <w:tc>
          <w:tcPr>
            <w:tcW w:type="dxa" w:w="26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Área Solicitante</w:t>
            </w:r>
          </w:p>
        </w:tc>
        <w:tc>
          <w:tcPr>
            <w:tcW w:type="dxa" w:w="676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Solicitar el ingreso del contratista con la debida anticipación, coordinando con Seguridad la verificación documental previa al inicio del trabajo.</w:t>
            </w:r>
          </w:p>
        </w:tc>
      </w:tr>
    </w:tbl>
    <w:p>
      <w:pPr>
        <w:spacing w:after="40" w:before="0"/>
      </w:pPr>
      <w:r>
        <w:rPr>
          <w:sz w:val="20"/>
          <w:szCs w:val="20"/>
        </w:rPr>
        <w:t xml:space="preserve"/>
      </w:r>
    </w:p>
    <w:p>
      <w:pPr>
        <w:shd w:fill="2E6DB4" w:val="clear"/>
        <w:spacing w:after="0" w:before="0"/>
        <w:ind w:left="144"/>
        <w:jc w:val="left"/>
      </w:pPr>
      <w:r>
        <w:rPr>
          <w:rFonts w:ascii="Arial" w:cs="Arial" w:eastAsia="Arial" w:hAnsi="Arial"/>
          <w:b/>
          <w:bCs/>
          <w:color w:val="FFFFFF"/>
          <w:sz w:val="24"/>
          <w:szCs w:val="24"/>
        </w:rPr>
        <w:t xml:space="preserve">5.  DESARROLLO DEL INSTRUCTIVO</w:t>
      </w:r>
    </w:p>
    <w:p>
      <w:pPr>
        <w:spacing w:after="24" w:before="0"/>
      </w:pPr>
      <w:r>
        <w:rPr>
          <w:sz w:val="20"/>
          <w:szCs w:val="20"/>
        </w:rPr>
        <w:t xml:space="preserve"/>
      </w:r>
    </w:p>
    <w:p>
      <w:pPr>
        <w:pBdr>
          <w:bottom w:val="single" w:color="2E6DB4" w:sz="6"/>
        </w:pBdr>
        <w:spacing w:after="60" w:before="160"/>
      </w:pPr>
      <w:r>
        <w:rPr>
          <w:rFonts w:ascii="Arial" w:cs="Arial" w:eastAsia="Arial" w:hAnsi="Arial"/>
          <w:b/>
          <w:bCs/>
          <w:color w:val="1A3A6B"/>
          <w:sz w:val="21"/>
          <w:szCs w:val="21"/>
        </w:rPr>
        <w:t xml:space="preserve">5.1  Proceso de habilitación de ingreso</w:t>
      </w:r>
    </w:p>
    <w:p>
      <w:pPr>
        <w:spacing w:after="16"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2160"/>
        <w:gridCol w:w="1400"/>
      </w:tblGrid>
      <w:tr>
        <w:tc>
          <w:tcPr>
            <w:tcW w:type="dxa" w:w="50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w:t>
            </w:r>
          </w:p>
        </w:tc>
        <w:tc>
          <w:tcPr>
            <w:tcW w:type="dxa" w:w="5300"/>
            <w:tcBorders>
              <w:top w:val="single" w:color="2E6DB4" w:sz="8"/>
              <w:left w:val="single" w:color="2E6DB4" w:sz="8"/>
              <w:bottom w:val="single" w:color="2E6DB4" w:sz="8"/>
              <w:right w:val="single" w:color="2E6DB4" w:sz="8"/>
            </w:tcBorders>
            <w:shd w:fill="2E6DB4" w:val="clear"/>
          </w:tcPr>
          <w:p>
            <w:pPr>
              <w:spacing w:after="80" w:before="80"/>
              <w:ind w:left="115"/>
            </w:pPr>
            <w:r>
              <w:rPr>
                <w:rFonts w:ascii="Arial" w:cs="Arial" w:eastAsia="Arial" w:hAnsi="Arial"/>
                <w:b/>
                <w:bCs/>
                <w:color w:val="FFFFFF"/>
                <w:sz w:val="19"/>
                <w:szCs w:val="19"/>
              </w:rPr>
              <w:t xml:space="preserve">ACTIVIDAD</w:t>
            </w:r>
          </w:p>
        </w:tc>
        <w:tc>
          <w:tcPr>
            <w:tcW w:type="dxa" w:w="216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RESPONSABLE</w:t>
            </w:r>
          </w:p>
        </w:tc>
        <w:tc>
          <w:tcPr>
            <w:tcW w:type="dxa" w:w="140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NOTIFICAR</w:t>
            </w:r>
          </w:p>
        </w:tc>
      </w:tr>
      <w:tr>
        <w:tc>
          <w:tcPr>
            <w:tcW w:type="dxa" w:w="9360"/>
            <w:gridSpan w:val="4"/>
            <w:tcBorders>
              <w:top w:val="single" w:color="1A3A6B" w:sz="8"/>
              <w:left w:val="single" w:color="1A3A6B" w:sz="8"/>
              <w:bottom w:val="single" w:color="1A3A6B" w:sz="8"/>
              <w:right w:val="single" w:color="1A3A6B" w:sz="8"/>
            </w:tcBorders>
            <w:shd w:fill="1A3A6B" w:val="clear"/>
          </w:tcPr>
          <w:p>
            <w:pPr>
              <w:spacing w:after="80" w:before="80"/>
              <w:ind w:left="144"/>
              <w:jc w:val="left"/>
            </w:pPr>
            <w:r>
              <w:rPr>
                <w:rFonts w:ascii="Arial" w:cs="Arial" w:eastAsia="Arial" w:hAnsi="Arial"/>
                <w:b/>
                <w:bCs/>
                <w:color w:val="FFFFFF"/>
                <w:sz w:val="20"/>
                <w:szCs w:val="20"/>
              </w:rPr>
              <w:t xml:space="preserve">FASE 1: SOLICITUD DE INGRESO DEL CONTRATISTA</w:t>
            </w:r>
          </w:p>
        </w:tc>
      </w:tr>
      <w:tr>
        <w:tc>
          <w:tcPr>
            <w:tcW w:type="dxa" w:w="5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b/>
                <w:bCs/>
                <w:color w:val="1A3A6B"/>
                <w:sz w:val="19"/>
                <w:szCs w:val="19"/>
              </w:rPr>
              <w:t xml:space="preserve">1.1</w:t>
            </w:r>
          </w:p>
        </w:tc>
        <w:tc>
          <w:tcPr>
            <w:tcW w:type="dxa" w:w="53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El Área Solicitante notifica al área de Seguridad con al menos 48 horas de anticipación al inicio de actividades, indicando: nombre de la empresa, servicio a ejecutar, fechas de inicio y fin, y tipo de actividades de riesgo involucradas.</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Área Solicitante</w:t>
            </w:r>
          </w:p>
        </w:tc>
        <w:tc>
          <w:tcPr>
            <w:tcW w:type="dxa" w:w="14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Técnico(a) E&amp;S</w:t>
            </w:r>
          </w:p>
        </w:tc>
      </w:tr>
      <w:tr>
        <w:tc>
          <w:tcPr>
            <w:tcW w:type="dxa" w:w="5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b/>
                <w:bCs/>
                <w:color w:val="1A3A6B"/>
                <w:sz w:val="19"/>
                <w:szCs w:val="19"/>
              </w:rPr>
              <w:t xml:space="preserve">1.2</w:t>
            </w:r>
          </w:p>
        </w:tc>
        <w:tc>
          <w:tcPr>
            <w:tcW w:type="dxa" w:w="53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El área de Seguridad comunica a la empresa contratista la lista de documentos requeridos para el ingreso, según lo establecido en la Sección 5.2 de este instructivo.</w:t>
            </w:r>
          </w:p>
        </w:tc>
        <w:tc>
          <w:tcPr>
            <w:tcW w:type="dxa" w:w="216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Técnico(a) E&amp;S</w:t>
            </w:r>
          </w:p>
        </w:tc>
        <w:tc>
          <w:tcPr>
            <w:tcW w:type="dxa" w:w="14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Empresa Contratista</w:t>
            </w:r>
          </w:p>
        </w:tc>
      </w:tr>
      <w:tr>
        <w:tc>
          <w:tcPr>
            <w:tcW w:type="dxa" w:w="9360"/>
            <w:gridSpan w:val="4"/>
            <w:tcBorders>
              <w:top w:val="single" w:color="1A3A6B" w:sz="8"/>
              <w:left w:val="single" w:color="1A3A6B" w:sz="8"/>
              <w:bottom w:val="single" w:color="1A3A6B" w:sz="8"/>
              <w:right w:val="single" w:color="1A3A6B" w:sz="8"/>
            </w:tcBorders>
            <w:shd w:fill="1A3A6B" w:val="clear"/>
          </w:tcPr>
          <w:p>
            <w:pPr>
              <w:spacing w:after="80" w:before="80"/>
              <w:ind w:left="144"/>
              <w:jc w:val="left"/>
            </w:pPr>
            <w:r>
              <w:rPr>
                <w:rFonts w:ascii="Arial" w:cs="Arial" w:eastAsia="Arial" w:hAnsi="Arial"/>
                <w:b/>
                <w:bCs/>
                <w:color w:val="FFFFFF"/>
                <w:sz w:val="20"/>
                <w:szCs w:val="20"/>
              </w:rPr>
              <w:t xml:space="preserve">FASE 2: RECEPCIÓN Y VERIFICACIÓN DOCUMENTAL</w:t>
            </w:r>
          </w:p>
        </w:tc>
      </w:tr>
      <w:tr>
        <w:tc>
          <w:tcPr>
            <w:tcW w:type="dxa" w:w="5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b/>
                <w:bCs/>
                <w:color w:val="1A3A6B"/>
                <w:sz w:val="19"/>
                <w:szCs w:val="19"/>
              </w:rPr>
              <w:t xml:space="preserve">2.1</w:t>
            </w:r>
          </w:p>
        </w:tc>
        <w:tc>
          <w:tcPr>
            <w:tcW w:type="dxa" w:w="53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La empresa contratista presenta la documentación de cada trabajador antes del inicio de actividades. El área de Seguridad recibe y revisa cada documento verificando su validez y vigencia.</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Técnico(a) E&amp;S
Empresa Contratista</w:t>
            </w:r>
          </w:p>
        </w:tc>
        <w:tc>
          <w:tcPr>
            <w:tcW w:type="dxa" w:w="14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w:t>
            </w:r>
          </w:p>
        </w:tc>
      </w:tr>
      <w:tr>
        <w:tc>
          <w:tcPr>
            <w:tcW w:type="dxa" w:w="5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b/>
                <w:bCs/>
                <w:color w:val="1A3A6B"/>
                <w:sz w:val="19"/>
                <w:szCs w:val="19"/>
              </w:rPr>
              <w:t xml:space="preserve">2.2</w:t>
            </w:r>
          </w:p>
        </w:tc>
        <w:tc>
          <w:tcPr>
            <w:tcW w:type="dxa" w:w="53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INDUCCIÓN DE SEGURIDAD: Verificar que el trabajador haya recibido la Inducción de Seguridad de Plantabal. La inducción tiene una vigencia de 1 año desde la fecha de recepción. Si está vencida o no existe, el trabajador debe recibirla antes de ingresar a planta.</w:t>
            </w:r>
          </w:p>
        </w:tc>
        <w:tc>
          <w:tcPr>
            <w:tcW w:type="dxa" w:w="216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Técnico(a) E&amp;S</w:t>
            </w:r>
          </w:p>
        </w:tc>
        <w:tc>
          <w:tcPr>
            <w:tcW w:type="dxa" w:w="14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w:t>
            </w:r>
          </w:p>
        </w:tc>
      </w:tr>
      <w:tr>
        <w:tc>
          <w:tcPr>
            <w:tcW w:type="dxa" w:w="5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b/>
                <w:bCs/>
                <w:color w:val="1A3A6B"/>
                <w:sz w:val="19"/>
                <w:szCs w:val="19"/>
              </w:rPr>
              <w:t xml:space="preserve">2.3</w:t>
            </w:r>
          </w:p>
        </w:tc>
        <w:tc>
          <w:tcPr>
            <w:tcW w:type="dxa" w:w="53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AFILIACIÓN AL IESS: Verificar la planilla de pago del IESS del mes inmediatamente anterior. La planilla es válida si su fecha es igual o posterior al primer día del mes anterior a la fecha actual. Para trabajadores nuevos con aviso de entrada, se acepta dicho aviso como habilitante de ingreso transitorio; el área de Seguridad registra en el consolidado la fecha del aviso y en Observaciones indica 'Aviso de entrada'.</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Técnico(a) E&amp;S</w:t>
            </w:r>
          </w:p>
        </w:tc>
        <w:tc>
          <w:tcPr>
            <w:tcW w:type="dxa" w:w="14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w:t>
            </w:r>
          </w:p>
        </w:tc>
      </w:tr>
      <w:tr>
        <w:tc>
          <w:tcPr>
            <w:tcW w:type="dxa" w:w="5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b/>
                <w:bCs/>
                <w:color w:val="1A3A6B"/>
                <w:sz w:val="19"/>
                <w:szCs w:val="19"/>
              </w:rPr>
              <w:t xml:space="preserve">2.4</w:t>
            </w:r>
          </w:p>
        </w:tc>
        <w:tc>
          <w:tcPr>
            <w:tcW w:type="dxa" w:w="53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CERTIFICADO MÉDICO LABORAL: El Médico de Planta revisa el certificado médico ocupacional presentado por el contratista, emite criterio de aptitud (APTO / NO APTO / APTO CON RESTRICCIONES) y define la vigencia del documento. Sin la validación del médico de planta, el trabajador no está habilitado para ingresar.</w:t>
            </w:r>
          </w:p>
        </w:tc>
        <w:tc>
          <w:tcPr>
            <w:tcW w:type="dxa" w:w="216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Médico de Planta
Técnico(a) E&amp;S</w:t>
            </w:r>
          </w:p>
        </w:tc>
        <w:tc>
          <w:tcPr>
            <w:tcW w:type="dxa" w:w="14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Técnico(a) E&amp;S</w:t>
            </w:r>
          </w:p>
        </w:tc>
      </w:tr>
      <w:tr>
        <w:tc>
          <w:tcPr>
            <w:tcW w:type="dxa" w:w="5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b/>
                <w:bCs/>
                <w:color w:val="1A3A6B"/>
                <w:sz w:val="19"/>
                <w:szCs w:val="19"/>
              </w:rPr>
              <w:t xml:space="preserve">2.5</w:t>
            </w:r>
          </w:p>
        </w:tc>
        <w:tc>
          <w:tcPr>
            <w:tcW w:type="dxa" w:w="53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CERTIFICADOS DE TRABAJOS DE ALTO RIESGO: Si el trabajo a ejecutar incluye actividades de alto riesgo, verificar que el trabajador cuente con el certificado específico emitido por entidad reconocida (MDT o SENESCYT). Ver tabla de la Sección 5.3.</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Técnico(a) E&amp;S</w:t>
            </w:r>
          </w:p>
        </w:tc>
        <w:tc>
          <w:tcPr>
            <w:tcW w:type="dxa" w:w="14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w:t>
            </w:r>
          </w:p>
        </w:tc>
      </w:tr>
      <w:tr>
        <w:tc>
          <w:tcPr>
            <w:tcW w:type="dxa" w:w="9360"/>
            <w:gridSpan w:val="4"/>
            <w:tcBorders>
              <w:top w:val="single" w:color="1A3A6B" w:sz="8"/>
              <w:left w:val="single" w:color="1A3A6B" w:sz="8"/>
              <w:bottom w:val="single" w:color="1A3A6B" w:sz="8"/>
              <w:right w:val="single" w:color="1A3A6B" w:sz="8"/>
            </w:tcBorders>
            <w:shd w:fill="1A3A6B" w:val="clear"/>
          </w:tcPr>
          <w:p>
            <w:pPr>
              <w:spacing w:after="80" w:before="80"/>
              <w:ind w:left="144"/>
              <w:jc w:val="left"/>
            </w:pPr>
            <w:r>
              <w:rPr>
                <w:rFonts w:ascii="Arial" w:cs="Arial" w:eastAsia="Arial" w:hAnsi="Arial"/>
                <w:b/>
                <w:bCs/>
                <w:color w:val="FFFFFF"/>
                <w:sz w:val="20"/>
                <w:szCs w:val="20"/>
              </w:rPr>
              <w:t xml:space="preserve">FASE 3: EMISIÓN DE AUTORIZACIÓN DE INGRESO</w:t>
            </w:r>
          </w:p>
        </w:tc>
      </w:tr>
      <w:tr>
        <w:tc>
          <w:tcPr>
            <w:tcW w:type="dxa" w:w="5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b/>
                <w:bCs/>
                <w:color w:val="1A3A6B"/>
                <w:sz w:val="19"/>
                <w:szCs w:val="19"/>
              </w:rPr>
              <w:t xml:space="preserve">3.1</w:t>
            </w:r>
          </w:p>
        </w:tc>
        <w:tc>
          <w:tcPr>
            <w:tcW w:type="dxa" w:w="53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Si toda la documentación está completa y vigente, el área de Seguridad completa el formulario GE-SO-R34 (Autorización de Ingreso Proveedores / Contratistas) y lo entrega al contratista. Este documento es el habilitante de ingreso a planta.</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Técnico(a) E&amp;S</w:t>
            </w:r>
          </w:p>
        </w:tc>
        <w:tc>
          <w:tcPr>
            <w:tcW w:type="dxa" w:w="14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Área Solicitante
Guardia</w:t>
            </w:r>
          </w:p>
        </w:tc>
      </w:tr>
      <w:tr>
        <w:tc>
          <w:tcPr>
            <w:tcW w:type="dxa" w:w="5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b/>
                <w:bCs/>
                <w:color w:val="1A3A6B"/>
                <w:sz w:val="19"/>
                <w:szCs w:val="19"/>
              </w:rPr>
              <w:t xml:space="preserve">3.2</w:t>
            </w:r>
          </w:p>
        </w:tc>
        <w:tc>
          <w:tcPr>
            <w:tcW w:type="dxa" w:w="53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El guardia de seguridad / portería verifica la autorización GE-SO-R34 al momento del ingreso. Sin este documento no se permite el acceso.</w:t>
            </w:r>
          </w:p>
        </w:tc>
        <w:tc>
          <w:tcPr>
            <w:tcW w:type="dxa" w:w="216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Guardia / Portería</w:t>
            </w:r>
          </w:p>
        </w:tc>
        <w:tc>
          <w:tcPr>
            <w:tcW w:type="dxa" w:w="14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w:t>
            </w:r>
          </w:p>
        </w:tc>
      </w:tr>
      <w:tr>
        <w:tc>
          <w:tcPr>
            <w:tcW w:type="dxa" w:w="5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b/>
                <w:bCs/>
                <w:color w:val="1A3A6B"/>
                <w:sz w:val="19"/>
                <w:szCs w:val="19"/>
              </w:rPr>
              <w:t xml:space="preserve">3.3</w:t>
            </w:r>
          </w:p>
        </w:tc>
        <w:tc>
          <w:tcPr>
            <w:tcW w:type="dxa" w:w="53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El área de Seguridad registra al personal en el Consolidado de Contratistas (GE-SO-R__) actualizando toda la información documental.</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Técnico(a) E&amp;S</w:t>
            </w:r>
          </w:p>
        </w:tc>
        <w:tc>
          <w:tcPr>
            <w:tcW w:type="dxa" w:w="14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w:t>
            </w:r>
          </w:p>
        </w:tc>
      </w:tr>
      <w:tr>
        <w:tc>
          <w:tcPr>
            <w:tcW w:type="dxa" w:w="9360"/>
            <w:gridSpan w:val="4"/>
            <w:tcBorders>
              <w:top w:val="single" w:color="1A3A6B" w:sz="8"/>
              <w:left w:val="single" w:color="1A3A6B" w:sz="8"/>
              <w:bottom w:val="single" w:color="1A3A6B" w:sz="8"/>
              <w:right w:val="single" w:color="1A3A6B" w:sz="8"/>
            </w:tcBorders>
            <w:shd w:fill="1A3A6B" w:val="clear"/>
          </w:tcPr>
          <w:p>
            <w:pPr>
              <w:spacing w:after="80" w:before="80"/>
              <w:ind w:left="144"/>
              <w:jc w:val="left"/>
            </w:pPr>
            <w:r>
              <w:rPr>
                <w:rFonts w:ascii="Arial" w:cs="Arial" w:eastAsia="Arial" w:hAnsi="Arial"/>
                <w:b/>
                <w:bCs/>
                <w:color w:val="FFFFFF"/>
                <w:sz w:val="20"/>
                <w:szCs w:val="20"/>
              </w:rPr>
              <w:t xml:space="preserve">FASE 4: SEGUIMIENTO Y CONTROL DE VIGENCIAS</w:t>
            </w:r>
          </w:p>
        </w:tc>
      </w:tr>
      <w:tr>
        <w:tc>
          <w:tcPr>
            <w:tcW w:type="dxa" w:w="5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b/>
                <w:bCs/>
                <w:color w:val="1A3A6B"/>
                <w:sz w:val="19"/>
                <w:szCs w:val="19"/>
              </w:rPr>
              <w:t xml:space="preserve">4.1</w:t>
            </w:r>
          </w:p>
        </w:tc>
        <w:tc>
          <w:tcPr>
            <w:tcW w:type="dxa" w:w="53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El área de Seguridad revisa mensualmente el Consolidado de Contratistas para identificar documentos próximos a vencer (alerta a partir de 30 días antes). Notifica a la empresa contratista para su renovación.</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Técnico(a) E&amp;S</w:t>
            </w:r>
          </w:p>
        </w:tc>
        <w:tc>
          <w:tcPr>
            <w:tcW w:type="dxa" w:w="14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Empresa Contratista</w:t>
            </w:r>
          </w:p>
        </w:tc>
      </w:tr>
      <w:tr>
        <w:tc>
          <w:tcPr>
            <w:tcW w:type="dxa" w:w="5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b/>
                <w:bCs/>
                <w:color w:val="1A3A6B"/>
                <w:sz w:val="19"/>
                <w:szCs w:val="19"/>
              </w:rPr>
              <w:t xml:space="preserve">4.2</w:t>
            </w:r>
          </w:p>
        </w:tc>
        <w:tc>
          <w:tcPr>
            <w:tcW w:type="dxa" w:w="53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Si durante la ejecución del trabajo algún documento vence y no es renovado a tiempo, el área de Seguridad suspende el acceso del trabajador hasta regularizar la documentación.</w:t>
            </w:r>
          </w:p>
        </w:tc>
        <w:tc>
          <w:tcPr>
            <w:tcW w:type="dxa" w:w="216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Técnico(a) E&amp;S</w:t>
            </w:r>
          </w:p>
        </w:tc>
        <w:tc>
          <w:tcPr>
            <w:tcW w:type="dxa" w:w="14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Empresa Contratista</w:t>
            </w:r>
          </w:p>
        </w:tc>
      </w:tr>
    </w:tbl>
    <w:p>
      <w:pPr>
        <w:spacing w:after="40" w:before="0"/>
      </w:pPr>
      <w:r>
        <w:rPr>
          <w:sz w:val="20"/>
          <w:szCs w:val="20"/>
        </w:rPr>
        <w:t xml:space="preserve"/>
      </w:r>
    </w:p>
    <w:p>
      <w:pPr>
        <w:pBdr>
          <w:bottom w:val="single" w:color="2E6DB4" w:sz="6"/>
        </w:pBdr>
        <w:spacing w:after="60" w:before="160"/>
      </w:pPr>
      <w:r>
        <w:rPr>
          <w:rFonts w:ascii="Arial" w:cs="Arial" w:eastAsia="Arial" w:hAnsi="Arial"/>
          <w:b/>
          <w:bCs/>
          <w:color w:val="1A3A6B"/>
          <w:sz w:val="21"/>
          <w:szCs w:val="21"/>
        </w:rPr>
        <w:t xml:space="preserve">5.2  Requisitos documentales de acceso general a planta</w:t>
      </w:r>
    </w:p>
    <w:p>
      <w:pPr>
        <w:spacing w:after="80" w:before="80"/>
        <w:ind w:left="0"/>
      </w:pPr>
      <w:r>
        <w:rPr>
          <w:rFonts w:ascii="Arial" w:cs="Arial" w:eastAsia="Arial" w:hAnsi="Arial"/>
          <w:b w:val="false"/>
          <w:bCs w:val="false"/>
          <w:sz w:val="20"/>
          <w:szCs w:val="20"/>
        </w:rPr>
        <w:t xml:space="preserve">Todo trabajador contratista debe presentar los siguientes documentos vigentes como condición previa e irrenunciable para obtener autorización de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200"/>
        <w:gridCol w:w="3560"/>
      </w:tblGrid>
      <w:tr>
        <w:tc>
          <w:tcPr>
            <w:tcW w:type="dxa" w:w="40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w:t>
            </w:r>
          </w:p>
        </w:tc>
        <w:tc>
          <w:tcPr>
            <w:tcW w:type="dxa" w:w="3200"/>
            <w:tcBorders>
              <w:top w:val="single" w:color="2E6DB4" w:sz="8"/>
              <w:left w:val="single" w:color="2E6DB4" w:sz="8"/>
              <w:bottom w:val="single" w:color="2E6DB4" w:sz="8"/>
              <w:right w:val="single" w:color="2E6DB4" w:sz="8"/>
            </w:tcBorders>
            <w:shd w:fill="2E6DB4" w:val="clear"/>
          </w:tcPr>
          <w:p>
            <w:pPr>
              <w:spacing w:after="80" w:before="80"/>
              <w:ind w:left="115"/>
            </w:pPr>
            <w:r>
              <w:rPr>
                <w:rFonts w:ascii="Arial" w:cs="Arial" w:eastAsia="Arial" w:hAnsi="Arial"/>
                <w:b/>
                <w:bCs/>
                <w:color w:val="FFFFFF"/>
                <w:sz w:val="19"/>
                <w:szCs w:val="19"/>
              </w:rPr>
              <w:t xml:space="preserve">DOCUMENTO REQUERIDO</w:t>
            </w:r>
          </w:p>
        </w:tc>
        <w:tc>
          <w:tcPr>
            <w:tcW w:type="dxa" w:w="220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VIGENCIA</w:t>
            </w:r>
          </w:p>
        </w:tc>
        <w:tc>
          <w:tcPr>
            <w:tcW w:type="dxa" w:w="3560"/>
            <w:tcBorders>
              <w:top w:val="single" w:color="2E6DB4" w:sz="8"/>
              <w:left w:val="single" w:color="2E6DB4" w:sz="8"/>
              <w:bottom w:val="single" w:color="2E6DB4" w:sz="8"/>
              <w:right w:val="single" w:color="2E6DB4" w:sz="8"/>
            </w:tcBorders>
            <w:shd w:fill="2E6DB4" w:val="clear"/>
          </w:tcPr>
          <w:p>
            <w:pPr>
              <w:spacing w:after="80" w:before="80"/>
              <w:ind w:left="115"/>
            </w:pPr>
            <w:r>
              <w:rPr>
                <w:rFonts w:ascii="Arial" w:cs="Arial" w:eastAsia="Arial" w:hAnsi="Arial"/>
                <w:b/>
                <w:bCs/>
                <w:color w:val="FFFFFF"/>
                <w:sz w:val="19"/>
                <w:szCs w:val="19"/>
              </w:rPr>
              <w:t xml:space="preserve">OBSERVACIÓN</w:t>
            </w:r>
          </w:p>
        </w:tc>
      </w:tr>
      <w:tr>
        <w:tc>
          <w:tcPr>
            <w:tcW w:type="dxa" w:w="4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b/>
                <w:bCs/>
                <w:color w:val="000000"/>
                <w:sz w:val="19"/>
                <w:szCs w:val="19"/>
              </w:rPr>
              <w:t xml:space="preserve">1</w:t>
            </w:r>
          </w:p>
        </w:tc>
        <w:tc>
          <w:tcPr>
            <w:tcW w:type="dxa" w:w="32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Inducción de Seguridad Plantabal</w:t>
            </w:r>
          </w:p>
        </w:tc>
        <w:tc>
          <w:tcPr>
            <w:tcW w:type="dxa" w:w="2200"/>
            <w:tcBorders>
              <w:top w:val="single" w:color="BFBFBF" w:sz="4"/>
              <w:left w:val="single" w:color="BFBFBF" w:sz="4"/>
              <w:bottom w:val="single" w:color="BFBFBF" w:sz="4"/>
              <w:right w:val="single" w:color="BFBFBF" w:sz="4"/>
            </w:tcBorders>
            <w:shd w:fill="EBF5FB" w:val="clear"/>
          </w:tcPr>
          <w:p>
            <w:pPr>
              <w:spacing w:after="60" w:before="60"/>
              <w:jc w:val="center"/>
            </w:pPr>
            <w:r>
              <w:rPr>
                <w:rFonts w:ascii="Arial" w:cs="Arial" w:eastAsia="Arial" w:hAnsi="Arial"/>
                <w:color w:val="000000"/>
                <w:sz w:val="19"/>
                <w:szCs w:val="19"/>
              </w:rPr>
              <w:t xml:space="preserve">1 año desde la recepción</w:t>
            </w:r>
          </w:p>
        </w:tc>
        <w:tc>
          <w:tcPr>
            <w:tcW w:type="dxa" w:w="356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i/>
                <w:iCs/>
                <w:color w:val="595959"/>
                <w:sz w:val="18"/>
                <w:szCs w:val="18"/>
              </w:rPr>
              <w:t xml:space="preserve">Obligatoria antes del primer ingreso. Si vence, debe renovarse antes de reingresar.</w:t>
            </w:r>
          </w:p>
        </w:tc>
      </w:tr>
      <w:tr>
        <w:tc>
          <w:tcPr>
            <w:tcW w:type="dxa" w:w="40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b/>
                <w:bCs/>
                <w:color w:val="000000"/>
                <w:sz w:val="19"/>
                <w:szCs w:val="19"/>
              </w:rPr>
              <w:t xml:space="preserve">2</w:t>
            </w:r>
          </w:p>
        </w:tc>
        <w:tc>
          <w:tcPr>
            <w:tcW w:type="dxa" w:w="32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Planilla de afiliación al IESS (mes anterior)</w:t>
            </w:r>
          </w:p>
        </w:tc>
        <w:tc>
          <w:tcPr>
            <w:tcW w:type="dxa" w:w="2200"/>
            <w:tcBorders>
              <w:top w:val="single" w:color="BFBFBF" w:sz="4"/>
              <w:left w:val="single" w:color="BFBFBF" w:sz="4"/>
              <w:bottom w:val="single" w:color="BFBFBF" w:sz="4"/>
              <w:right w:val="single" w:color="BFBFBF" w:sz="4"/>
            </w:tcBorders>
            <w:shd w:fill="FFFFFF" w:val="clear"/>
          </w:tcPr>
          <w:p>
            <w:pPr>
              <w:spacing w:after="60" w:before="60"/>
              <w:jc w:val="center"/>
            </w:pPr>
            <w:r>
              <w:rPr>
                <w:rFonts w:ascii="Arial" w:cs="Arial" w:eastAsia="Arial" w:hAnsi="Arial"/>
                <w:color w:val="000000"/>
                <w:sz w:val="19"/>
                <w:szCs w:val="19"/>
              </w:rPr>
              <w:t xml:space="preserve">Mensual</w:t>
            </w:r>
          </w:p>
        </w:tc>
        <w:tc>
          <w:tcPr>
            <w:tcW w:type="dxa" w:w="356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i/>
                <w:iCs/>
                <w:color w:val="595959"/>
                <w:sz w:val="18"/>
                <w:szCs w:val="18"/>
              </w:rPr>
              <w:t xml:space="preserve">Se acepta aviso de entrada para trabajadores nuevos. El área de Seguridad registra en Observaciones: 'Aviso de entrada'.</w:t>
            </w:r>
          </w:p>
        </w:tc>
      </w:tr>
      <w:tr>
        <w:tc>
          <w:tcPr>
            <w:tcW w:type="dxa" w:w="40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b/>
                <w:bCs/>
                <w:color w:val="000000"/>
                <w:sz w:val="19"/>
                <w:szCs w:val="19"/>
              </w:rPr>
              <w:t xml:space="preserve">3</w:t>
            </w:r>
          </w:p>
        </w:tc>
        <w:tc>
          <w:tcPr>
            <w:tcW w:type="dxa" w:w="32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Certificado Médico Laboral (aptitud ocupacional)</w:t>
            </w:r>
          </w:p>
        </w:tc>
        <w:tc>
          <w:tcPr>
            <w:tcW w:type="dxa" w:w="2200"/>
            <w:tcBorders>
              <w:top w:val="single" w:color="BFBFBF" w:sz="4"/>
              <w:left w:val="single" w:color="BFBFBF" w:sz="4"/>
              <w:bottom w:val="single" w:color="BFBFBF" w:sz="4"/>
              <w:right w:val="single" w:color="BFBFBF" w:sz="4"/>
            </w:tcBorders>
            <w:shd w:fill="EBF5FB" w:val="clear"/>
          </w:tcPr>
          <w:p>
            <w:pPr>
              <w:spacing w:after="60" w:before="60"/>
              <w:jc w:val="center"/>
            </w:pPr>
            <w:r>
              <w:rPr>
                <w:rFonts w:ascii="Arial" w:cs="Arial" w:eastAsia="Arial" w:hAnsi="Arial"/>
                <w:color w:val="000000"/>
                <w:sz w:val="19"/>
                <w:szCs w:val="19"/>
              </w:rPr>
              <w:t xml:space="preserve">Según criterio del Médico de Planta</w:t>
            </w:r>
          </w:p>
        </w:tc>
        <w:tc>
          <w:tcPr>
            <w:tcW w:type="dxa" w:w="356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i/>
                <w:iCs/>
                <w:color w:val="595959"/>
                <w:sz w:val="18"/>
                <w:szCs w:val="18"/>
              </w:rPr>
              <w:t xml:space="preserve">El médico de planta de Plantabal revisa y valida el certificado, emite criterio de aptitud y define vigencia.</w:t>
            </w:r>
          </w:p>
        </w:tc>
      </w:tr>
    </w:tbl>
    <w:p>
      <w:pPr>
        <w:spacing w:after="24" w:before="0"/>
      </w:pPr>
      <w:r>
        <w:rPr>
          <w:sz w:val="20"/>
          <w:szCs w:val="20"/>
        </w:rPr>
        <w:t xml:space="preserve"/>
      </w:r>
    </w:p>
    <w:p>
      <w:pPr>
        <w:spacing w:after="80" w:before="60"/>
        <w:ind w:left="144"/>
      </w:pPr>
      <w:r>
        <w:rPr>
          <w:rFonts w:ascii="Arial" w:cs="Arial" w:eastAsia="Arial" w:hAnsi="Arial"/>
          <w:b w:val="false"/>
          <w:bCs w:val="false"/>
          <w:sz w:val="20"/>
          <w:szCs w:val="20"/>
        </w:rPr>
        <w:t xml:space="preserve">Nota: Los tres requisitos anteriores son acumulativos. El incumplimiento de cualquiera de ellos impide el acceso a planta sin excepción.</w:t>
      </w:r>
    </w:p>
    <w:p>
      <w:pPr>
        <w:spacing w:after="40" w:before="0"/>
      </w:pPr>
      <w:r>
        <w:rPr>
          <w:sz w:val="20"/>
          <w:szCs w:val="20"/>
        </w:rPr>
        <w:t xml:space="preserve"/>
      </w:r>
    </w:p>
    <w:p>
      <w:pPr>
        <w:pBdr>
          <w:bottom w:val="single" w:color="2E6DB4" w:sz="6"/>
        </w:pBdr>
        <w:spacing w:after="60" w:before="160"/>
      </w:pPr>
      <w:r>
        <w:rPr>
          <w:rFonts w:ascii="Arial" w:cs="Arial" w:eastAsia="Arial" w:hAnsi="Arial"/>
          <w:b/>
          <w:bCs/>
          <w:color w:val="1A3A6B"/>
          <w:sz w:val="21"/>
          <w:szCs w:val="21"/>
        </w:rPr>
        <w:t xml:space="preserve">5.3  Certificados adicionales para trabajos de alto riesgo</w:t>
      </w:r>
    </w:p>
    <w:p>
      <w:pPr>
        <w:spacing w:after="80" w:before="80"/>
        <w:ind w:left="0"/>
      </w:pPr>
      <w:r>
        <w:rPr>
          <w:rFonts w:ascii="Arial" w:cs="Arial" w:eastAsia="Arial" w:hAnsi="Arial"/>
          <w:b w:val="false"/>
          <w:bCs w:val="false"/>
          <w:sz w:val="20"/>
          <w:szCs w:val="20"/>
        </w:rPr>
        <w:t xml:space="preserve">Adicionalmente a los requisitos de la Sección 5.2, cuando el trabajo a ejecutar incluya alguna de las actividades de alto riesgo listadas a continuación, el trabajador debe presentar el certificado específico de prevención de riesgos laborales, emitido por entidad reconocida por el MDT o SENESCYT: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2E6DB4" w:sz="8"/>
              <w:left w:val="single" w:color="2E6DB4" w:sz="8"/>
              <w:bottom w:val="single" w:color="2E6DB4" w:sz="8"/>
              <w:right w:val="single" w:color="2E6DB4" w:sz="8"/>
            </w:tcBorders>
            <w:shd w:fill="2E6DB4" w:val="clear"/>
          </w:tcPr>
          <w:p>
            <w:pPr>
              <w:spacing w:after="80" w:before="80"/>
              <w:ind w:left="115"/>
            </w:pPr>
            <w:r>
              <w:rPr>
                <w:rFonts w:ascii="Arial" w:cs="Arial" w:eastAsia="Arial" w:hAnsi="Arial"/>
                <w:b/>
                <w:bCs/>
                <w:color w:val="FFFFFF"/>
                <w:sz w:val="19"/>
                <w:szCs w:val="19"/>
              </w:rPr>
              <w:t xml:space="preserve">TIPO DE TRABAJO</w:t>
            </w:r>
          </w:p>
        </w:tc>
        <w:tc>
          <w:tcPr>
            <w:tcW w:type="dxa" w:w="4400"/>
            <w:tcBorders>
              <w:top w:val="single" w:color="2E6DB4" w:sz="8"/>
              <w:left w:val="single" w:color="2E6DB4" w:sz="8"/>
              <w:bottom w:val="single" w:color="2E6DB4" w:sz="8"/>
              <w:right w:val="single" w:color="2E6DB4" w:sz="8"/>
            </w:tcBorders>
            <w:shd w:fill="2E6DB4" w:val="clear"/>
          </w:tcPr>
          <w:p>
            <w:pPr>
              <w:spacing w:after="80" w:before="80"/>
              <w:ind w:left="115"/>
            </w:pPr>
            <w:r>
              <w:rPr>
                <w:rFonts w:ascii="Arial" w:cs="Arial" w:eastAsia="Arial" w:hAnsi="Arial"/>
                <w:b/>
                <w:bCs/>
                <w:color w:val="FFFFFF"/>
                <w:sz w:val="19"/>
                <w:szCs w:val="19"/>
              </w:rPr>
              <w:t xml:space="preserve">EJEMPLOS / DESCRIPCIÓN</w:t>
            </w:r>
          </w:p>
        </w:tc>
        <w:tc>
          <w:tcPr>
            <w:tcW w:type="dxa" w:w="216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ENTIDAD VÁLIDA</w:t>
            </w:r>
          </w:p>
        </w:tc>
      </w:tr>
      <w:tr>
        <w:tc>
          <w:tcPr>
            <w:tcW w:type="dxa" w:w="28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Trabajo en Caliente</w:t>
            </w:r>
          </w:p>
        </w:tc>
        <w:tc>
          <w:tcPr>
            <w:tcW w:type="dxa" w:w="44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Soldadura, oxicorte, esmerilado, uso de llama abierta.</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MDT / SENESCYT</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b/>
                <w:bCs/>
                <w:color w:val="1A3A6B"/>
                <w:sz w:val="19"/>
                <w:szCs w:val="19"/>
              </w:rPr>
              <w:t xml:space="preserve">Trabajo en Altura</w:t>
            </w:r>
          </w:p>
        </w:tc>
        <w:tc>
          <w:tcPr>
            <w:tcW w:type="dxa" w:w="44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Actividades a partir de 1,80 m sobre el nivel del suelo.</w:t>
            </w:r>
          </w:p>
        </w:tc>
        <w:tc>
          <w:tcPr>
            <w:tcW w:type="dxa" w:w="216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MDT / SENESCYT</w:t>
            </w:r>
          </w:p>
        </w:tc>
      </w:tr>
      <w:tr>
        <w:tc>
          <w:tcPr>
            <w:tcW w:type="dxa" w:w="28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Espacios Confinados</w:t>
            </w:r>
          </w:p>
        </w:tc>
        <w:tc>
          <w:tcPr>
            <w:tcW w:type="dxa" w:w="44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Ingreso a cisternas, tolvas, tanques, fosas u otros recintos de acceso restringido.</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MDT / SENESCYT</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b/>
                <w:bCs/>
                <w:color w:val="1A3A6B"/>
                <w:sz w:val="19"/>
                <w:szCs w:val="19"/>
              </w:rPr>
              <w:t xml:space="preserve">Trabajos Eléctricos</w:t>
            </w:r>
          </w:p>
        </w:tc>
        <w:tc>
          <w:tcPr>
            <w:tcW w:type="dxa" w:w="44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Media y alta tensión; instalaciones, mantenimiento y reparaciones eléctricas.</w:t>
            </w:r>
          </w:p>
        </w:tc>
        <w:tc>
          <w:tcPr>
            <w:tcW w:type="dxa" w:w="216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MDT / SENESCYT</w:t>
            </w:r>
          </w:p>
        </w:tc>
      </w:tr>
      <w:tr>
        <w:tc>
          <w:tcPr>
            <w:tcW w:type="dxa" w:w="28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Trabajos de Izaje</w:t>
            </w:r>
          </w:p>
        </w:tc>
        <w:tc>
          <w:tcPr>
            <w:tcW w:type="dxa" w:w="44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Operación de grúas, montacargas, eslingas y equipos de elevación de carga.</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MDT / SENESCYT</w:t>
            </w:r>
          </w:p>
        </w:tc>
      </w:tr>
      <w:tr>
        <w:tc>
          <w:tcPr>
            <w:tcW w:type="dxa" w:w="28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b/>
                <w:bCs/>
                <w:color w:val="1A3A6B"/>
                <w:sz w:val="19"/>
                <w:szCs w:val="19"/>
              </w:rPr>
              <w:t xml:space="preserve">Excavaciones</w:t>
            </w:r>
          </w:p>
        </w:tc>
        <w:tc>
          <w:tcPr>
            <w:tcW w:type="dxa" w:w="4400"/>
            <w:tcBorders>
              <w:top w:val="single" w:color="BFBFBF" w:sz="4"/>
              <w:left w:val="single" w:color="BFBFBF" w:sz="4"/>
              <w:bottom w:val="single" w:color="BFBFBF" w:sz="4"/>
              <w:right w:val="single" w:color="BFBFBF" w:sz="4"/>
            </w:tcBorders>
            <w:shd w:fill="FFFFFF" w:val="clear"/>
          </w:tcPr>
          <w:p>
            <w:pPr>
              <w:spacing w:after="60" w:before="60"/>
              <w:ind w:left="115"/>
            </w:pPr>
            <w:r>
              <w:rPr>
                <w:rFonts w:ascii="Arial" w:cs="Arial" w:eastAsia="Arial" w:hAnsi="Arial"/>
                <w:color w:val="000000"/>
                <w:sz w:val="19"/>
                <w:szCs w:val="19"/>
              </w:rPr>
              <w:t xml:space="preserve">Apertura de zanjas o excavaciones con riesgo de derrumbe.</w:t>
            </w:r>
          </w:p>
        </w:tc>
        <w:tc>
          <w:tcPr>
            <w:tcW w:type="dxa" w:w="2160"/>
            <w:tcBorders>
              <w:top w:val="single" w:color="BFBFBF" w:sz="4"/>
              <w:left w:val="single" w:color="BFBFBF" w:sz="4"/>
              <w:bottom w:val="single" w:color="BFBFBF" w:sz="4"/>
              <w:right w:val="single" w:color="BFBFBF" w:sz="4"/>
            </w:tcBorders>
            <w:shd w:fill="FFFFFF" w:val="clear"/>
            <w:vAlign w:val="center"/>
          </w:tcPr>
          <w:p>
            <w:pPr>
              <w:spacing w:after="60" w:before="60"/>
              <w:jc w:val="center"/>
            </w:pPr>
            <w:r>
              <w:rPr>
                <w:rFonts w:ascii="Arial" w:cs="Arial" w:eastAsia="Arial" w:hAnsi="Arial"/>
                <w:color w:val="000000"/>
                <w:sz w:val="19"/>
                <w:szCs w:val="19"/>
              </w:rPr>
              <w:t xml:space="preserve">MDT / SENESCYT</w:t>
            </w:r>
          </w:p>
        </w:tc>
      </w:tr>
      <w:tr>
        <w:tc>
          <w:tcPr>
            <w:tcW w:type="dxa" w:w="28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b/>
                <w:bCs/>
                <w:color w:val="1A3A6B"/>
                <w:sz w:val="19"/>
                <w:szCs w:val="19"/>
              </w:rPr>
              <w:t xml:space="preserve">Obra Civil</w:t>
            </w:r>
          </w:p>
        </w:tc>
        <w:tc>
          <w:tcPr>
            <w:tcW w:type="dxa" w:w="440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Construcción, demolición, montaje de estructuras, andamiaje y trabajos civiles en general.</w:t>
            </w:r>
          </w:p>
        </w:tc>
        <w:tc>
          <w:tcPr>
            <w:tcW w:type="dxa" w:w="2160"/>
            <w:tcBorders>
              <w:top w:val="single" w:color="BFBFBF" w:sz="4"/>
              <w:left w:val="single" w:color="BFBFBF" w:sz="4"/>
              <w:bottom w:val="single" w:color="BFBFBF" w:sz="4"/>
              <w:right w:val="single" w:color="BFBFBF" w:sz="4"/>
            </w:tcBorders>
            <w:shd w:fill="EBF5FB" w:val="clear"/>
            <w:vAlign w:val="center"/>
          </w:tcPr>
          <w:p>
            <w:pPr>
              <w:spacing w:after="60" w:before="60"/>
              <w:jc w:val="center"/>
            </w:pPr>
            <w:r>
              <w:rPr>
                <w:rFonts w:ascii="Arial" w:cs="Arial" w:eastAsia="Arial" w:hAnsi="Arial"/>
                <w:color w:val="000000"/>
                <w:sz w:val="19"/>
                <w:szCs w:val="19"/>
              </w:rPr>
              <w:t xml:space="preserve">MDT / SENESCYT</w:t>
            </w:r>
          </w:p>
        </w:tc>
      </w:tr>
    </w:tbl>
    <w:p>
      <w:pPr>
        <w:spacing w:after="24" w:before="0"/>
      </w:pPr>
      <w:r>
        <w:rPr>
          <w:sz w:val="20"/>
          <w:szCs w:val="20"/>
        </w:rPr>
        <w:t xml:space="preserve"/>
      </w:r>
    </w:p>
    <w:p>
      <w:pPr>
        <w:spacing w:after="80" w:before="60"/>
        <w:ind w:left="144"/>
      </w:pPr>
      <w:r>
        <w:rPr>
          <w:rFonts w:ascii="Arial" w:cs="Arial" w:eastAsia="Arial" w:hAnsi="Arial"/>
          <w:b w:val="false"/>
          <w:bCs w:val="false"/>
          <w:sz w:val="20"/>
          <w:szCs w:val="20"/>
        </w:rPr>
        <w:t xml:space="preserve">Los certificados de trabajos de alto riesgo no son requisito universal de ingreso, sino habilitantes específicos para la tarea. Un contratista sin certificado de espacios confinados puede ingresar a planta si no realizará ese tipo de trabajo, pero no podrá ejecutarlo sin la habilitación correspondiente.</w:t>
      </w:r>
    </w:p>
    <w:p>
      <w:pPr>
        <w:spacing w:after="40" w:before="0"/>
      </w:pPr>
      <w:r>
        <w:rPr>
          <w:sz w:val="20"/>
          <w:szCs w:val="20"/>
        </w:rPr>
        <w:t xml:space="preserve"/>
      </w:r>
    </w:p>
    <w:p>
      <w:pPr>
        <w:pBdr>
          <w:bottom w:val="single" w:color="2E6DB4" w:sz="6"/>
        </w:pBdr>
        <w:spacing w:after="60" w:before="160"/>
      </w:pPr>
      <w:r>
        <w:rPr>
          <w:rFonts w:ascii="Arial" w:cs="Arial" w:eastAsia="Arial" w:hAnsi="Arial"/>
          <w:b/>
          <w:bCs/>
          <w:color w:val="1A3A6B"/>
          <w:sz w:val="21"/>
          <w:szCs w:val="21"/>
        </w:rPr>
        <w:t xml:space="preserve">5.4  Suspensión de acceso</w:t>
      </w:r>
    </w:p>
    <w:p>
      <w:pPr>
        <w:spacing w:after="60" w:before="60"/>
        <w:ind w:left="0"/>
      </w:pPr>
      <w:r>
        <w:rPr>
          <w:rFonts w:ascii="Arial" w:cs="Arial" w:eastAsia="Arial" w:hAnsi="Arial"/>
          <w:b w:val="false"/>
          <w:bCs w:val="false"/>
          <w:sz w:val="20"/>
          <w:szCs w:val="20"/>
        </w:rPr>
        <w:t xml:space="preserve">El acceso de un contratista a las instalaciones de Plantabal S.A. será suspendido en los siguientes casos:</w:t>
      </w:r>
    </w:p>
    <w:p>
      <w:pPr>
        <w:pStyle w:val="ListParagraph"/>
        <w:numPr>
          <w:ilvl w:val="0"/>
          <w:numId w:val="1"/>
        </w:numPr>
        <w:spacing w:after="40" w:before="40"/>
        <w:ind w:left="360" w:hanging="259"/>
      </w:pPr>
      <w:r>
        <w:rPr>
          <w:rFonts w:ascii="Arial" w:cs="Arial" w:eastAsia="Arial" w:hAnsi="Arial"/>
          <w:sz w:val="20"/>
          <w:szCs w:val="20"/>
        </w:rPr>
        <w:t xml:space="preserve">Vencimiento de la Inducción de Seguridad sin renovación.</w:t>
      </w:r>
    </w:p>
    <w:p>
      <w:pPr>
        <w:pStyle w:val="ListParagraph"/>
        <w:numPr>
          <w:ilvl w:val="0"/>
          <w:numId w:val="1"/>
        </w:numPr>
        <w:spacing w:after="40" w:before="40"/>
        <w:ind w:left="360" w:hanging="259"/>
      </w:pPr>
      <w:r>
        <w:rPr>
          <w:rFonts w:ascii="Arial" w:cs="Arial" w:eastAsia="Arial" w:hAnsi="Arial"/>
          <w:sz w:val="20"/>
          <w:szCs w:val="20"/>
        </w:rPr>
        <w:t xml:space="preserve">Falta de planilla del IESS del mes anterior (sin aviso de entrada válido).</w:t>
      </w:r>
    </w:p>
    <w:p>
      <w:pPr>
        <w:pStyle w:val="ListParagraph"/>
        <w:numPr>
          <w:ilvl w:val="0"/>
          <w:numId w:val="1"/>
        </w:numPr>
        <w:spacing w:after="40" w:before="40"/>
        <w:ind w:left="360" w:hanging="259"/>
      </w:pPr>
      <w:r>
        <w:rPr>
          <w:rFonts w:ascii="Arial" w:cs="Arial" w:eastAsia="Arial" w:hAnsi="Arial"/>
          <w:sz w:val="20"/>
          <w:szCs w:val="20"/>
        </w:rPr>
        <w:t xml:space="preserve">Vencimiento o invalidación del Certificado Médico Laboral.</w:t>
      </w:r>
    </w:p>
    <w:p>
      <w:pPr>
        <w:spacing w:after="24" w:before="0"/>
      </w:pPr>
      <w:r>
        <w:rPr>
          <w:sz w:val="20"/>
          <w:szCs w:val="20"/>
        </w:rPr>
        <w:t xml:space="preserve"/>
      </w:r>
    </w:p>
    <w:p>
      <w:pPr>
        <w:pBdr>
          <w:bottom w:val="single" w:color="2E6DB4" w:sz="6"/>
        </w:pBdr>
        <w:spacing w:after="60" w:before="160"/>
      </w:pPr>
      <w:r>
        <w:rPr>
          <w:rFonts w:ascii="Arial" w:cs="Arial" w:eastAsia="Arial" w:hAnsi="Arial"/>
          <w:b/>
          <w:bCs/>
          <w:color w:val="1A3A6B"/>
          <w:sz w:val="21"/>
          <w:szCs w:val="21"/>
        </w:rPr>
        <w:t xml:space="preserve">5.5  Suspensión de actividades de alto riesgo</w:t>
      </w:r>
    </w:p>
    <w:p>
      <w:pPr>
        <w:spacing w:after="60" w:before="60"/>
        <w:ind w:left="0"/>
      </w:pPr>
      <w:r>
        <w:rPr>
          <w:rFonts w:ascii="Arial" w:cs="Arial" w:eastAsia="Arial" w:hAnsi="Arial"/>
          <w:b w:val="false"/>
          <w:bCs w:val="false"/>
          <w:sz w:val="20"/>
          <w:szCs w:val="20"/>
        </w:rPr>
        <w:t xml:space="preserve">La ejecución de actividades de alto riesgo será suspendida cuando:</w:t>
      </w:r>
    </w:p>
    <w:p>
      <w:pPr>
        <w:pStyle w:val="ListParagraph"/>
        <w:numPr>
          <w:ilvl w:val="0"/>
          <w:numId w:val="1"/>
        </w:numPr>
        <w:spacing w:after="40" w:before="40"/>
        <w:ind w:left="360" w:hanging="259"/>
      </w:pPr>
      <w:r>
        <w:rPr>
          <w:rFonts w:ascii="Arial" w:cs="Arial" w:eastAsia="Arial" w:hAnsi="Arial"/>
          <w:sz w:val="20"/>
          <w:szCs w:val="20"/>
        </w:rPr>
        <w:t xml:space="preserve">El trabajador no cuente con el certificado de prevención de riesgos laborales vigente y específico para la actividad que va a ejecutar.</w:t>
      </w:r>
    </w:p>
    <w:p>
      <w:pPr>
        <w:spacing w:after="40" w:before="0"/>
      </w:pPr>
      <w:r>
        <w:rPr>
          <w:sz w:val="20"/>
          <w:szCs w:val="20"/>
        </w:rPr>
        <w:t xml:space="preserve"/>
      </w:r>
    </w:p>
    <w:p>
      <w:pPr>
        <w:shd w:fill="2E6DB4" w:val="clear"/>
        <w:spacing w:after="0" w:before="0"/>
        <w:ind w:left="144"/>
        <w:jc w:val="left"/>
      </w:pPr>
      <w:r>
        <w:rPr>
          <w:rFonts w:ascii="Arial" w:cs="Arial" w:eastAsia="Arial" w:hAnsi="Arial"/>
          <w:b/>
          <w:bCs/>
          <w:color w:val="FFFFFF"/>
          <w:sz w:val="24"/>
          <w:szCs w:val="24"/>
        </w:rPr>
        <w:t xml:space="preserve">6.  DOCUMENTOS RELACIONADOS</w:t>
      </w:r>
    </w:p>
    <w:p>
      <w:pPr>
        <w:spacing w:after="24"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CÓDIGO</w:t>
            </w:r>
          </w:p>
        </w:tc>
        <w:tc>
          <w:tcPr>
            <w:tcW w:type="dxa" w:w="7360"/>
            <w:tcBorders>
              <w:top w:val="single" w:color="2E6DB4" w:sz="8"/>
              <w:left w:val="single" w:color="2E6DB4" w:sz="8"/>
              <w:bottom w:val="single" w:color="2E6DB4" w:sz="8"/>
              <w:right w:val="single" w:color="2E6DB4" w:sz="8"/>
            </w:tcBorders>
            <w:shd w:fill="2E6DB4" w:val="clear"/>
          </w:tcPr>
          <w:p>
            <w:pPr>
              <w:spacing w:after="80" w:before="80"/>
              <w:ind w:left="115"/>
            </w:pPr>
            <w:r>
              <w:rPr>
                <w:rFonts w:ascii="Arial" w:cs="Arial" w:eastAsia="Arial" w:hAnsi="Arial"/>
                <w:b/>
                <w:bCs/>
                <w:color w:val="FFFFFF"/>
                <w:sz w:val="19"/>
                <w:szCs w:val="19"/>
              </w:rPr>
              <w:t xml:space="preserve">DOCUMENTO</w:t>
            </w:r>
          </w:p>
        </w:tc>
      </w:tr>
      <w:tr>
        <w:tc>
          <w:tcPr>
            <w:tcW w:type="dxa" w:w="2000"/>
            <w:tcBorders>
              <w:top w:val="single" w:color="BFBFBF" w:sz="4"/>
              <w:left w:val="single" w:color="BFBFBF" w:sz="4"/>
              <w:bottom w:val="single" w:color="BFBFBF" w:sz="4"/>
              <w:right w:val="single" w:color="BFBFBF" w:sz="4"/>
            </w:tcBorders>
            <w:shd w:fill="EBF5FB" w:val="clear"/>
          </w:tcPr>
          <w:p>
            <w:pPr>
              <w:spacing w:after="60" w:before="60"/>
              <w:jc w:val="center"/>
            </w:pPr>
            <w:r>
              <w:rPr>
                <w:rFonts w:ascii="Arial" w:cs="Arial" w:eastAsia="Arial" w:hAnsi="Arial"/>
                <w:b/>
                <w:bCs/>
                <w:color w:val="1A3A6B"/>
                <w:sz w:val="19"/>
                <w:szCs w:val="19"/>
              </w:rPr>
              <w:t xml:space="preserve">GE-SO-R34</w:t>
            </w:r>
          </w:p>
        </w:tc>
        <w:tc>
          <w:tcPr>
            <w:tcW w:type="dxa" w:w="7360"/>
            <w:tcBorders>
              <w:top w:val="single" w:color="BFBFBF" w:sz="4"/>
              <w:left w:val="single" w:color="BFBFBF" w:sz="4"/>
              <w:bottom w:val="single" w:color="BFBFBF" w:sz="4"/>
              <w:right w:val="single" w:color="BFBFBF" w:sz="4"/>
            </w:tcBorders>
            <w:shd w:fill="EBF5FB" w:val="clear"/>
          </w:tcPr>
          <w:p>
            <w:pPr>
              <w:spacing w:after="60" w:before="60"/>
              <w:ind w:left="115"/>
            </w:pPr>
            <w:r>
              <w:rPr>
                <w:rFonts w:ascii="Arial" w:cs="Arial" w:eastAsia="Arial" w:hAnsi="Arial"/>
                <w:color w:val="000000"/>
                <w:sz w:val="19"/>
                <w:szCs w:val="19"/>
              </w:rPr>
              <w:t xml:space="preserve">Autorización de Ingreso Proveedores / Contratistas (Rev. 5)</w:t>
            </w:r>
          </w:p>
        </w:tc>
      </w:tr>
    </w:tbl>
    <w:p>
      <w:pPr>
        <w:spacing w:after="40" w:before="0"/>
      </w:pPr>
      <w:r>
        <w:rPr>
          <w:sz w:val="20"/>
          <w:szCs w:val="20"/>
        </w:rPr>
        <w:t xml:space="preserve"/>
      </w:r>
    </w:p>
    <w:p>
      <w:pPr>
        <w:shd w:fill="2E6DB4" w:val="clear"/>
        <w:spacing w:after="0" w:before="0"/>
        <w:ind w:left="144"/>
        <w:jc w:val="left"/>
      </w:pPr>
      <w:r>
        <w:rPr>
          <w:rFonts w:ascii="Arial" w:cs="Arial" w:eastAsia="Arial" w:hAnsi="Arial"/>
          <w:b/>
          <w:bCs/>
          <w:color w:val="FFFFFF"/>
          <w:sz w:val="24"/>
          <w:szCs w:val="24"/>
        </w:rPr>
        <w:t xml:space="preserve">7.  CONTROL DE VERSIONES</w:t>
      </w:r>
    </w:p>
    <w:p>
      <w:pPr>
        <w:spacing w:after="24"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400"/>
        <w:gridCol w:w="3160"/>
      </w:tblGrid>
      <w:tr>
        <w:tc>
          <w:tcPr>
            <w:tcW w:type="dxa" w:w="140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VERSIÓN</w:t>
            </w:r>
          </w:p>
        </w:tc>
        <w:tc>
          <w:tcPr>
            <w:tcW w:type="dxa" w:w="1400"/>
            <w:tcBorders>
              <w:top w:val="single" w:color="2E6DB4" w:sz="8"/>
              <w:left w:val="single" w:color="2E6DB4" w:sz="8"/>
              <w:bottom w:val="single" w:color="2E6DB4" w:sz="8"/>
              <w:right w:val="single" w:color="2E6DB4" w:sz="8"/>
            </w:tcBorders>
            <w:shd w:fill="2E6DB4" w:val="clear"/>
          </w:tcPr>
          <w:p>
            <w:pPr>
              <w:spacing w:after="80" w:before="80"/>
              <w:jc w:val="center"/>
            </w:pPr>
            <w:r>
              <w:rPr>
                <w:rFonts w:ascii="Arial" w:cs="Arial" w:eastAsia="Arial" w:hAnsi="Arial"/>
                <w:b/>
                <w:bCs/>
                <w:color w:val="FFFFFF"/>
                <w:sz w:val="19"/>
                <w:szCs w:val="19"/>
              </w:rPr>
              <w:t xml:space="preserve">FECHA</w:t>
            </w:r>
          </w:p>
        </w:tc>
        <w:tc>
          <w:tcPr>
            <w:tcW w:type="dxa" w:w="3400"/>
            <w:tcBorders>
              <w:top w:val="single" w:color="2E6DB4" w:sz="8"/>
              <w:left w:val="single" w:color="2E6DB4" w:sz="8"/>
              <w:bottom w:val="single" w:color="2E6DB4" w:sz="8"/>
              <w:right w:val="single" w:color="2E6DB4" w:sz="8"/>
            </w:tcBorders>
            <w:shd w:fill="2E6DB4" w:val="clear"/>
          </w:tcPr>
          <w:p>
            <w:pPr>
              <w:spacing w:after="80" w:before="80"/>
              <w:ind w:left="115"/>
            </w:pPr>
            <w:r>
              <w:rPr>
                <w:rFonts w:ascii="Arial" w:cs="Arial" w:eastAsia="Arial" w:hAnsi="Arial"/>
                <w:b/>
                <w:bCs/>
                <w:color w:val="FFFFFF"/>
                <w:sz w:val="19"/>
                <w:szCs w:val="19"/>
              </w:rPr>
              <w:t xml:space="preserve">DESCRIPCIÓN DEL CAMBIO</w:t>
            </w:r>
          </w:p>
        </w:tc>
        <w:tc>
          <w:tcPr>
            <w:tcW w:type="dxa" w:w="3160"/>
            <w:tcBorders>
              <w:top w:val="single" w:color="2E6DB4" w:sz="8"/>
              <w:left w:val="single" w:color="2E6DB4" w:sz="8"/>
              <w:bottom w:val="single" w:color="2E6DB4" w:sz="8"/>
              <w:right w:val="single" w:color="2E6DB4" w:sz="8"/>
            </w:tcBorders>
            <w:shd w:fill="2E6DB4" w:val="clear"/>
          </w:tcPr>
          <w:p>
            <w:pPr>
              <w:spacing w:after="80" w:before="80"/>
              <w:ind w:left="115"/>
            </w:pPr>
            <w:r>
              <w:rPr>
                <w:rFonts w:ascii="Arial" w:cs="Arial" w:eastAsia="Arial" w:hAnsi="Arial"/>
                <w:b/>
                <w:bCs/>
                <w:color w:val="FFFFFF"/>
                <w:sz w:val="19"/>
                <w:szCs w:val="19"/>
              </w:rPr>
              <w:t xml:space="preserve">ELABORADO / APROBADO</w:t>
            </w:r>
          </w:p>
        </w:tc>
      </w:tr>
      <w:tr>
        <w:tc>
          <w:tcPr>
            <w:tcW w:type="dxa" w:w="1400"/>
            <w:tcBorders>
              <w:top w:val="single" w:color="BFBFBF" w:sz="4"/>
              <w:left w:val="single" w:color="BFBFBF" w:sz="4"/>
              <w:bottom w:val="single" w:color="BFBFBF" w:sz="4"/>
              <w:right w:val="single" w:color="BFBFBF" w:sz="4"/>
            </w:tcBorders>
          </w:tcPr>
          <w:p>
            <w:pPr>
              <w:spacing w:after="60" w:before="60"/>
              <w:jc w:val="center"/>
            </w:pPr>
            <w:r>
              <w:rPr>
                <w:rFonts w:ascii="Arial" w:cs="Arial" w:eastAsia="Arial" w:hAnsi="Arial"/>
                <w:color w:val="000000"/>
                <w:sz w:val="19"/>
                <w:szCs w:val="19"/>
              </w:rPr>
              <w:t xml:space="preserve">01</w:t>
            </w:r>
          </w:p>
        </w:tc>
        <w:tc>
          <w:tcPr>
            <w:tcW w:type="dxa" w:w="1400"/>
            <w:tcBorders>
              <w:top w:val="single" w:color="BFBFBF" w:sz="4"/>
              <w:left w:val="single" w:color="BFBFBF" w:sz="4"/>
              <w:bottom w:val="single" w:color="BFBFBF" w:sz="4"/>
              <w:right w:val="single" w:color="BFBFBF" w:sz="4"/>
            </w:tcBorders>
          </w:tcPr>
          <w:p>
            <w:pPr>
              <w:spacing w:after="60" w:before="60"/>
              <w:jc w:val="center"/>
            </w:pPr>
            <w:r>
              <w:rPr>
                <w:rFonts w:ascii="Arial" w:cs="Arial" w:eastAsia="Arial" w:hAnsi="Arial"/>
                <w:color w:val="000000"/>
                <w:sz w:val="19"/>
                <w:szCs w:val="19"/>
              </w:rPr>
              <w:t xml:space="preserve">31/10/2026</w:t>
            </w:r>
          </w:p>
        </w:tc>
        <w:tc>
          <w:tcPr>
            <w:tcW w:type="dxa" w:w="340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Creación del documento.</w:t>
            </w:r>
          </w:p>
        </w:tc>
        <w:tc>
          <w:tcPr>
            <w:tcW w:type="dxa" w:w="3160"/>
            <w:tcBorders>
              <w:top w:val="single" w:color="BFBFBF" w:sz="4"/>
              <w:left w:val="single" w:color="BFBFBF" w:sz="4"/>
              <w:bottom w:val="single" w:color="BFBFBF" w:sz="4"/>
              <w:right w:val="single" w:color="BFBFBF" w:sz="4"/>
            </w:tcBorders>
          </w:tcPr>
          <w:p>
            <w:pPr>
              <w:spacing w:after="60" w:before="60"/>
              <w:ind w:left="115"/>
            </w:pPr>
            <w:r>
              <w:rPr>
                <w:rFonts w:ascii="Arial" w:cs="Arial" w:eastAsia="Arial" w:hAnsi="Arial"/>
                <w:color w:val="000000"/>
                <w:sz w:val="19"/>
                <w:szCs w:val="19"/>
              </w:rPr>
              <w:t xml:space="preserve">K. Martínez / Gerencia de Planta</w:t>
            </w:r>
          </w:p>
        </w:tc>
      </w:tr>
    </w:tbl>
    <w:sectPr>
      <w:pgSz w:w="12240" w:h="15840" w:orient="portrait"/>
      <w:pgMar w:top="1296" w:right="1152"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46d106e134a1d55ae5c5fd6e65a0262f7e8bd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2026-10-28T17:06:06.782Z</dcterms:created>
  <dcterms:modified xsi:type="dcterms:W3CDTF">2026-10-28T17:06:06.783Z</dcterms:modified>
</cp:coreProperties>
</file>

<file path=docProps/custom.xml><?xml version="1.0" encoding="utf-8"?>
<Properties xmlns="http://schemas.openxmlformats.org/officeDocument/2006/custom-properties" xmlns:vt="http://schemas.openxmlformats.org/officeDocument/2006/docPropsVTypes"/>
</file>