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Inventario de Generadores, Transformadores y</w:t>
        <w:br/>
        <w:t>Verificación de Cubetos de Contención de Diésel</w:t>
      </w:r>
    </w:p>
    <w:p>
      <w:pPr>
        <w:jc w:val="center"/>
      </w:pPr>
      <w:r>
        <w:rPr>
          <w:i/>
          <w:sz w:val="21"/>
        </w:rPr>
        <w:t>Área de Seguridad y Ambiente — Plantabal S.A.</w:t>
        <w:br/>
        <w:t>Elaborado por: Kevin Martínez, pasante de Seguridad y Ambiente</w:t>
        <w:br/>
        <w:t>Fecha: 29 de septiembre de 2026</w:t>
      </w:r>
    </w:p>
    <w:p>
      <w:pPr>
        <w:pStyle w:val="Heading1"/>
      </w:pPr>
      <w:r>
        <w:rPr>
          <w:color w:val="1F3B63"/>
        </w:rPr>
        <w:t>1. Generadores eléctricos</w:t>
      </w:r>
    </w:p>
    <w:p>
      <w:r>
        <w:t>Todos los equipos listados operan con combustible diésel.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type="dxa" w:w="2268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Identificación / Marca</w:t>
            </w:r>
          </w:p>
        </w:tc>
        <w:tc>
          <w:tcPr>
            <w:tcW w:type="dxa" w:w="1474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134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Potencia (kVA)</w:t>
            </w:r>
          </w:p>
        </w:tc>
        <w:tc>
          <w:tcPr>
            <w:tcW w:type="dxa" w:w="1247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Tensión (V)</w:t>
            </w:r>
          </w:p>
        </w:tc>
        <w:tc>
          <w:tcPr>
            <w:tcW w:type="dxa" w:w="1247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Velocidad (rpm)</w:t>
            </w:r>
          </w:p>
        </w:tc>
        <w:tc>
          <w:tcPr>
            <w:tcW w:type="dxa" w:w="1134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Combustible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Generador 001 — Perkins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2200 Series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435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440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1800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Diésel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Generador 002 — Perkins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2200 Series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435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440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1800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Diésel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Generador 003 — Perkins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2200 Series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435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440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1800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Diésel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Generador 004 — Perkins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2200 Series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440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440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1800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Diésel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Generador 005 — Perkins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2200 Series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395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220 (verificar)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1800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Diésel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9"/>
              </w:rPr>
              <w:t>Generador Stamford / Hyundai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X18C112717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925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440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9"/>
              </w:rPr>
              <w:t>1800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9"/>
              </w:rPr>
              <w:t>Diésel</w:t>
            </w:r>
          </w:p>
        </w:tc>
      </w:tr>
    </w:tbl>
    <w:p/>
    <w:p>
      <w:r>
        <w:rPr>
          <w:b/>
        </w:rPr>
        <w:t xml:space="preserve">Observación: </w:t>
      </w:r>
      <w:r>
        <w:rPr>
          <w:sz w:val="20"/>
        </w:rPr>
        <w:t>el generador 005 (Perkins 2200 Series, 395 kVA) es el único registrado a 220 V, mientras que los demás Perkins operan a 440 V. Se recomienda verificar en placa si corresponde a 220 V o si existe un error de registro, ya que los cinco equipos son del mismo modelo.</w:t>
      </w:r>
    </w:p>
    <w:p>
      <w:r>
        <w:rPr>
          <w:b/>
        </w:rPr>
        <w:t xml:space="preserve">Potencia total instalada: </w:t>
      </w:r>
      <w:r>
        <w:t>3.065 kVA (suma de los seis equipos).</w:t>
      </w:r>
    </w:p>
    <w:p>
      <w:pPr>
        <w:pStyle w:val="Heading1"/>
      </w:pPr>
      <w:r>
        <w:rPr>
          <w:color w:val="1F3B63"/>
        </w:rPr>
        <w:t>2. Transformadores</w:t>
      </w:r>
    </w:p>
    <w:p>
      <w:r>
        <w:t>El sistema de generación se encuentra referido a una tensión de distribución de 13.200 V (13,2 kV) en el lado primario.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041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Transformador</w:t>
            </w:r>
          </w:p>
        </w:tc>
        <w:tc>
          <w:tcPr>
            <w:tcW w:type="dxa" w:w="1928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Ubicación</w:t>
            </w:r>
          </w:p>
        </w:tc>
        <w:tc>
          <w:tcPr>
            <w:tcW w:type="dxa" w:w="1474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Tensión primaria</w:t>
            </w:r>
          </w:p>
        </w:tc>
        <w:tc>
          <w:tcPr>
            <w:tcW w:type="dxa" w:w="1361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Tensión secundaria</w:t>
            </w:r>
          </w:p>
        </w:tc>
        <w:tc>
          <w:tcPr>
            <w:tcW w:type="dxa" w:w="1361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Potencia</w:t>
            </w:r>
          </w:p>
        </w:tc>
        <w:tc>
          <w:tcPr>
            <w:tcW w:type="dxa" w:w="2041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Configuración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19"/>
              </w:rPr>
              <w:t>Transformador de generadores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9"/>
              </w:rPr>
              <w:t>Casa de máquinas / generadores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13.200 V (13,2 kV)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Referencia de acople a red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19"/>
              </w:rPr>
              <w:t>Transformador de comedor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9"/>
              </w:rPr>
              <w:t>Frente a comedor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13,8 kV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9"/>
              </w:rPr>
              <w:t>220 V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9"/>
              </w:rPr>
              <w:t>400 kVA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Unidad única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sz w:val="19"/>
              </w:rPr>
              <w:t>Banco trifásico de comedor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9"/>
              </w:rPr>
              <w:t>Frente a comedor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13,8 kV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9"/>
              </w:rPr>
              <w:t>220 V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9"/>
              </w:rPr>
              <w:t>750 kVA totales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3 × 250 kVA conectados en serie</w:t>
            </w:r>
          </w:p>
        </w:tc>
      </w:tr>
    </w:tbl>
    <w:p/>
    <w:p>
      <w:r>
        <w:rPr>
          <w:b/>
        </w:rPr>
        <w:t xml:space="preserve">Observación técnica: </w:t>
      </w:r>
      <w:r>
        <w:rPr>
          <w:sz w:val="20"/>
        </w:rPr>
        <w:t>se registra el banco como "en serie" según lo indicado en campo. Un banco trifásico de 3 × 250 kVA que entrega 750 kVA corresponde normalmente a una conexión trifásica (delta o estrella) de tres unidades monofásicas, no a una conexión en serie. Se recomienda confirmar el diagrama unifilar antes de usar este dato para cálculos de carga o de protecciones.</w:t>
      </w:r>
    </w:p>
    <w:p>
      <w:r>
        <w:br w:type="page"/>
      </w:r>
    </w:p>
    <w:p>
      <w:pPr>
        <w:pStyle w:val="Heading1"/>
      </w:pPr>
      <w:r>
        <w:rPr>
          <w:color w:val="1F3B63"/>
        </w:rPr>
        <w:t>3. Verificación de cubetos de contención de diésel</w:t>
      </w:r>
    </w:p>
    <w:p>
      <w:pPr>
        <w:pStyle w:val="Heading2"/>
      </w:pPr>
      <w:r>
        <w:rPr>
          <w:color w:val="1F3B63"/>
        </w:rPr>
        <w:t>3.1 Criterio normativo aplicado</w:t>
      </w:r>
    </w:p>
    <w:p>
      <w:r>
        <w:t>El cubeto (dique de contención) debe tener una capacidad igual o superior al 110 % del volumen del tanque de mayor capacidad que contiene. Este criterio proviene del Acuerdo Ministerial 097-A (Anexo 2, Reglamento Ambiental) y del Reglamento Sustitutivo del RAOHE (Decreto Ejecutivo 1215), y es el más exigente frente al 100 % que establece la NFPA 30. Se adopta el 110 % por ser el criterio de mayor exigencia.</w:t>
      </w:r>
    </w:p>
    <w:p>
      <w:pPr>
        <w:pStyle w:val="Heading2"/>
      </w:pPr>
      <w:r>
        <w:rPr>
          <w:color w:val="1F3B63"/>
        </w:rPr>
        <w:t>3.2 Factor de conversión</w:t>
      </w:r>
    </w:p>
    <w:p>
      <w:r>
        <w:t>1 galón estadounidense = 3,785411784 litros = 0,003785412 m³</w:t>
      </w:r>
    </w:p>
    <w:p>
      <w:pPr>
        <w:pStyle w:val="Heading2"/>
      </w:pPr>
      <w:r>
        <w:rPr>
          <w:color w:val="1F3B63"/>
        </w:rPr>
        <w:t>3.3 Conversión del volumen de los tanques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835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Tanque</w:t>
            </w:r>
          </w:p>
        </w:tc>
        <w:tc>
          <w:tcPr>
            <w:tcW w:type="dxa" w:w="1701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Volumen (gal)</w:t>
            </w:r>
          </w:p>
        </w:tc>
        <w:tc>
          <w:tcPr>
            <w:tcW w:type="dxa" w:w="1814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Volumen (L)</w:t>
            </w:r>
          </w:p>
        </w:tc>
        <w:tc>
          <w:tcPr>
            <w:tcW w:type="dxa" w:w="1701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Volumen (m³)</w:t>
            </w:r>
          </w:p>
        </w:tc>
        <w:tc>
          <w:tcPr>
            <w:tcW w:type="dxa" w:w="2494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Capacidad exigida 110 % (m³)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9"/>
              </w:rPr>
              <w:t>Tanque 1 — Reservorio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5.800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21.955,39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21,955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24,151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9"/>
              </w:rPr>
              <w:t>Tanque 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10.000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37.854,12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37,854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41,640</w:t>
            </w:r>
          </w:p>
        </w:tc>
      </w:tr>
    </w:tbl>
    <w:p>
      <w:pPr>
        <w:pStyle w:val="Heading2"/>
      </w:pPr>
      <w:r>
        <w:rPr>
          <w:color w:val="1F3B63"/>
        </w:rPr>
        <w:t>3.4 Cálculo del volumen de los cubetos</w:t>
      </w:r>
    </w:p>
    <w:p>
      <w:r>
        <w:t>Fórmula: V = Largo × Ancho × Alto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061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Cubeto</w:t>
            </w:r>
          </w:p>
        </w:tc>
        <w:tc>
          <w:tcPr>
            <w:tcW w:type="dxa" w:w="1587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Largo (m)</w:t>
            </w:r>
          </w:p>
        </w:tc>
        <w:tc>
          <w:tcPr>
            <w:tcW w:type="dxa" w:w="1587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Ancho (m)</w:t>
            </w:r>
          </w:p>
        </w:tc>
        <w:tc>
          <w:tcPr>
            <w:tcW w:type="dxa" w:w="1587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Alto (m)</w:t>
            </w:r>
          </w:p>
        </w:tc>
        <w:tc>
          <w:tcPr>
            <w:tcW w:type="dxa" w:w="1814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Volumen (m³)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sz w:val="19"/>
              </w:rPr>
              <w:t>Cubeto 1 — Tanque 5.800 gal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6,00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6,00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0,60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21,600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sz w:val="19"/>
              </w:rPr>
              <w:t>Cubeto 2 — Tanque 10.000 gal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8,83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5,10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0,95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42,781</w:t>
            </w:r>
          </w:p>
        </w:tc>
      </w:tr>
    </w:tbl>
    <w:p/>
    <w:p>
      <w:r>
        <w:rPr>
          <w:b/>
        </w:rPr>
        <w:t xml:space="preserve">Cubeto 1: </w:t>
      </w:r>
      <w:r>
        <w:t>6,00 m × 6,00 m × 0,60 m = 21,600 m³</w:t>
      </w:r>
    </w:p>
    <w:p>
      <w:r>
        <w:rPr>
          <w:b/>
        </w:rPr>
        <w:t xml:space="preserve">Cubeto 2: </w:t>
      </w:r>
      <w:r>
        <w:t>8,83 m × 5,10 m × 0,95 m = 42,781 m³</w:t>
      </w:r>
    </w:p>
    <w:p>
      <w:pPr>
        <w:pStyle w:val="Heading2"/>
      </w:pPr>
      <w:r>
        <w:rPr>
          <w:color w:val="1F3B63"/>
        </w:rPr>
        <w:t>3.5 Resultado de la verificación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381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Cubeto</w:t>
            </w:r>
          </w:p>
        </w:tc>
        <w:tc>
          <w:tcPr>
            <w:tcW w:type="dxa" w:w="1814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Capacidad cubeto (m³)</w:t>
            </w:r>
          </w:p>
        </w:tc>
        <w:tc>
          <w:tcPr>
            <w:tcW w:type="dxa" w:w="1814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Volumen tanque (m³)</w:t>
            </w:r>
          </w:p>
        </w:tc>
        <w:tc>
          <w:tcPr>
            <w:tcW w:type="dxa" w:w="1701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Exigido 110 % (m³)</w:t>
            </w:r>
          </w:p>
        </w:tc>
        <w:tc>
          <w:tcPr>
            <w:tcW w:type="dxa" w:w="1474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% de cobertura</w:t>
            </w:r>
          </w:p>
        </w:tc>
        <w:tc>
          <w:tcPr>
            <w:tcW w:type="dxa" w:w="2268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19"/>
              </w:rPr>
              <w:t>Cubeto 1 — 5.800 gal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21,600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21,955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24,151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98,4 %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C00000"/>
              </w:rPr>
            </w:r>
            <w:r>
              <w:rPr>
                <w:sz w:val="19"/>
              </w:rPr>
              <w:t>NO CUMPLE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sz w:val="19"/>
              </w:rPr>
              <w:t>Cubeto 2 — 10.000 gal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42,781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9"/>
              </w:rPr>
              <w:t>37,854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41,640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113,0 %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BF8F00"/>
              </w:rPr>
            </w:r>
            <w:r>
              <w:rPr>
                <w:sz w:val="19"/>
              </w:rPr>
              <w:t>CUMPLE (margen mínimo)</w:t>
            </w:r>
          </w:p>
        </w:tc>
      </w:tr>
    </w:tbl>
    <w:p/>
    <w:p>
      <w:pPr>
        <w:pStyle w:val="Heading2"/>
      </w:pPr>
      <w:r>
        <w:rPr>
          <w:color w:val="1F3B63"/>
        </w:rPr>
        <w:t>3.6 Análisis de los resultados</w:t>
      </w:r>
    </w:p>
    <w:p>
      <w:r>
        <w:rPr>
          <w:b/>
        </w:rPr>
        <w:t>Cubeto 1 (tanque de 5.800 galones) — Incumplimiento confirmado.</w:t>
      </w:r>
    </w:p>
    <w:p>
      <w:pPr>
        <w:pStyle w:val="ListBullet"/>
      </w:pPr>
      <w:r>
        <w:t>La capacidad del cubeto (21,600 m³) es inferior incluso al volumen del propio tanque (21,955 m³), alcanzando apenas el 98,4 % de cobertura. Ante una rotura total del tanque, el cubeto se desbordaría. El déficit frente al 110 % exigido es de 2,551 m³.</w:t>
      </w:r>
    </w:p>
    <w:p>
      <w:pPr>
        <w:pStyle w:val="ListBullet"/>
      </w:pPr>
      <w:r>
        <w:t>Para cumplir el 110 % manteniendo el área de 36 m², la altura mínima del muro debe ser de 0,671 m, es decir, 67 cm (7 cm más que los 60 cm actuales).</w:t>
      </w:r>
    </w:p>
    <w:p>
      <w:pPr>
        <w:pStyle w:val="ListBullet"/>
      </w:pPr>
      <w:r>
        <w:t>Alternativa: ampliar la superficie del cubeto a un mínimo de 40,25 m² conservando los 0,60 m de altura.</w:t>
      </w:r>
    </w:p>
    <w:p/>
    <w:p>
      <w:r>
        <w:rPr>
          <w:b/>
        </w:rPr>
        <w:t>Cubeto 2 (tanque de 10.000 galones) — Cumple, pero con margen crítico.</w:t>
      </w:r>
    </w:p>
    <w:p>
      <w:pPr>
        <w:pStyle w:val="ListBullet"/>
      </w:pPr>
      <w:r>
        <w:t>La capacidad bruta (42,781 m³) supera el mínimo exigido (41,640 m³), pero el excedente es de solo 1,141 m³, equivalente al 2,7 % de holgura.</w:t>
      </w:r>
    </w:p>
    <w:p>
      <w:pPr>
        <w:pStyle w:val="ListBullet"/>
      </w:pPr>
      <w:r>
        <w:t>Este resultado es provisional: el cálculo utiliza el volumen bruto del cubeto y no descuenta el volumen ocupado dentro del dique por el propio tanque, sus bases de hormigón, pedestales, tuberías o cualquier otro elemento. La normativa exige capacidad neta de retención.</w:t>
      </w:r>
    </w:p>
    <w:p>
      <w:pPr>
        <w:pStyle w:val="ListBullet"/>
      </w:pPr>
      <w:r>
        <w:t>Basta con que el tanque y sus apoyos ocupen más de 1,141 m³ dentro del cubeto para que el cumplimiento se pierda. Considerando que un tanque de 37,85 m³ ocupa físicamente un volumen muy superior a ese valor, es altamente probable que el cubeto 2 también incumpla al descontar el desplazamiento.</w:t>
      </w:r>
    </w:p>
    <w:p>
      <w:pPr>
        <w:pStyle w:val="ListBullet"/>
      </w:pPr>
      <w:r>
        <w:t>Acción requerida: medir el diámetro y la altura del tanque y de sus bases para recalcular la capacidad neta antes de declarar conformidad.</w:t>
      </w:r>
    </w:p>
    <w:p>
      <w:pPr>
        <w:pStyle w:val="Heading2"/>
      </w:pPr>
      <w:r>
        <w:rPr>
          <w:color w:val="1F3B63"/>
        </w:rPr>
        <w:t>3.7 Conclusiones y recomendaciones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type="dxa" w:w="3402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3628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Acción recomendada</w:t>
            </w:r>
          </w:p>
        </w:tc>
        <w:tc>
          <w:tcPr>
            <w:tcW w:type="dxa" w:w="1361"/>
            <w:shd w:val="clear" w:fill="1F3B63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Cubeto del tanque de 5.800 gal no alcanza el 110 % exigido (déficit 2,551 m³).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sz w:val="19"/>
              </w:rPr>
              <w:t>Elevar el muro de contención de 0,60 m a un mínimo de 0,70 m, o ampliar el área a ≥ 40,25 m².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Cubeto del tanque de 10.000 gal cumple solo con 2,7 % de holgura sobre volumen bruto.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sz w:val="19"/>
              </w:rPr>
              <w:t>Medir volumen desplazado por tanque y bases; recalcular capacidad neta. Elevar muro si resulta insuficiente.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No se dispone de datos sobre impermeabilización, válvula de purga ni sistema de drenaje de los cubetos.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sz w:val="19"/>
              </w:rPr>
              <w:t>Verificar impermeabilidad del piso y muros, y que el drenaje cuente con válvula normalmente cerrada.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Tensión del generador 005 inconsistente respecto a equipos idénticos.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sz w:val="19"/>
              </w:rPr>
              <w:t>Verificar placa de características del equipo.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Configuración declarada del banco trifásico (3 × 250 kVA en serie) requiere confirmación.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sz w:val="19"/>
              </w:rPr>
              <w:t>Revisar diagrama unifilar y placas de los tres transformadores.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9"/>
              </w:rPr>
              <w:t>Media</w:t>
            </w:r>
          </w:p>
        </w:tc>
      </w:tr>
    </w:tbl>
    <w:p/>
    <w:p>
      <w:r>
        <w:rPr>
          <w:i/>
          <w:sz w:val="19"/>
        </w:rPr>
        <w:t>Nota final: los cálculos de los apartados 3.3 y 3.4 se basan exclusivamente en las dimensiones proporcionadas. Toda conclusión de cumplimiento queda condicionada a la verificación en campo del volumen neto de retención.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