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4799"/>
        <w:gridCol w:w="4829"/>
      </w:tblGrid>
      <w:tr w:rsidR="00A41086" w14:paraId="6D669429" w14:textId="77777777" w:rsidTr="00D438F1">
        <w:tc>
          <w:tcPr>
            <w:tcW w:w="4799" w:type="dxa"/>
          </w:tcPr>
          <w:p w14:paraId="4EC1E790" w14:textId="4CF5CF1E" w:rsidR="00A41086" w:rsidRDefault="00A41086">
            <w:r>
              <w:t>Domanda</w:t>
            </w:r>
          </w:p>
        </w:tc>
        <w:tc>
          <w:tcPr>
            <w:tcW w:w="4829" w:type="dxa"/>
          </w:tcPr>
          <w:p w14:paraId="7FDD71E0" w14:textId="4649A5AE" w:rsidR="00A41086" w:rsidRDefault="00A41086">
            <w:r>
              <w:t>Risposta</w:t>
            </w:r>
          </w:p>
        </w:tc>
      </w:tr>
      <w:tr w:rsidR="00A41086" w14:paraId="7EA1482C" w14:textId="77777777" w:rsidTr="00D438F1">
        <w:tc>
          <w:tcPr>
            <w:tcW w:w="4799" w:type="dxa"/>
          </w:tcPr>
          <w:p w14:paraId="134ED76B" w14:textId="2DFEB0CE" w:rsidR="00A41086" w:rsidRDefault="00A41086">
            <w:r>
              <w:t>A seguito della corretta pubblicazione del CIG, dove è possibile ritrovare i dati dell’aggiudicazione in PCP?</w:t>
            </w:r>
          </w:p>
        </w:tc>
        <w:tc>
          <w:tcPr>
            <w:tcW w:w="4829" w:type="dxa"/>
          </w:tcPr>
          <w:p w14:paraId="52AAD459" w14:textId="3EE139C2" w:rsidR="00A41086" w:rsidRDefault="00F11FEE">
            <w:r>
              <w:t>Sul portale di ANAC (ex art 28 c3 Dlgs 36/2023)</w:t>
            </w:r>
          </w:p>
        </w:tc>
      </w:tr>
      <w:tr w:rsidR="00A41086" w14:paraId="40F42678" w14:textId="77777777" w:rsidTr="00D438F1">
        <w:tc>
          <w:tcPr>
            <w:tcW w:w="4799" w:type="dxa"/>
          </w:tcPr>
          <w:p w14:paraId="0C5ACB21" w14:textId="2F1C25B0" w:rsidR="00A41086" w:rsidRDefault="00A41086">
            <w:r>
              <w:t>Poiché nel caso di procedura negoziata senza bando tramite indagine di mercato la scheda deve essere inviata all’avvio dell’indagine di mercato, al lancio della procedura negoziata non andrà compilata nessuna scheda? In tal caso, dove è previsto l’inserimento del termine di scadenza per la presentazione delle offerte per la procedura negoziata? Inoltre, nella scheda P7_1_3 nel campo “Tipo procedura di appalto” cosa deve essere selezionato?</w:t>
            </w:r>
          </w:p>
        </w:tc>
        <w:tc>
          <w:tcPr>
            <w:tcW w:w="4829" w:type="dxa"/>
          </w:tcPr>
          <w:p w14:paraId="22622329" w14:textId="77777777" w:rsidR="00BD6B7F" w:rsidRDefault="00BD6B7F" w:rsidP="00BD6B7F">
            <w:pPr>
              <w:pStyle w:val="Default"/>
              <w:rPr>
                <w:color w:val="0070C0"/>
                <w:sz w:val="23"/>
                <w:szCs w:val="23"/>
              </w:rPr>
            </w:pPr>
            <w:r>
              <w:rPr>
                <w:color w:val="0070C0"/>
                <w:sz w:val="23"/>
                <w:szCs w:val="23"/>
              </w:rPr>
              <w:t>La scheda P_7_1_3 riguarda l’avvio dell’indagine di mercato finalizzata ad una procedura negoziata senza bando sottosoglia ex art. 50 comma 1 lett. c), d), e), e vale per tutti i regimi.</w:t>
            </w:r>
          </w:p>
          <w:p w14:paraId="29EB9D3C" w14:textId="77777777" w:rsidR="00BD6B7F" w:rsidRDefault="00BD6B7F" w:rsidP="00BD6B7F">
            <w:pPr>
              <w:pStyle w:val="Default"/>
            </w:pPr>
            <w:r>
              <w:rPr>
                <w:color w:val="0070C0"/>
                <w:sz w:val="23"/>
                <w:szCs w:val="23"/>
              </w:rPr>
              <w:t xml:space="preserve">In ‘datiBaseTerminiInvio’ è presente il campo </w:t>
            </w:r>
            <w:r>
              <w:rPr>
                <w:rFonts w:ascii="Times New Roman" w:eastAsia="Times New Roman" w:hAnsi="Times New Roman" w:cs="Times New Roman"/>
                <w:bCs/>
                <w:color w:val="0070C0"/>
                <w:lang w:eastAsia="it-IT"/>
              </w:rPr>
              <w:t>scadenzaPresentazioneInvito obbligatorio con descrizione:</w:t>
            </w:r>
          </w:p>
          <w:p w14:paraId="4EFBC942" w14:textId="77777777" w:rsidR="00BD6B7F" w:rsidRDefault="00BD6B7F" w:rsidP="00BD6B7F">
            <w:pPr>
              <w:pStyle w:val="Default"/>
              <w:rPr>
                <w:rFonts w:ascii="Times New Roman" w:eastAsia="Times New Roman" w:hAnsi="Times New Roman" w:cs="Times New Roman"/>
                <w:bCs/>
                <w:i/>
                <w:color w:val="0070C0"/>
                <w:lang w:eastAsia="it-IT"/>
              </w:rPr>
            </w:pPr>
            <w:r>
              <w:rPr>
                <w:rFonts w:ascii="Times New Roman" w:eastAsia="Times New Roman" w:hAnsi="Times New Roman" w:cs="Times New Roman"/>
                <w:bCs/>
                <w:i/>
                <w:color w:val="0070C0"/>
                <w:lang w:eastAsia="it-IT"/>
              </w:rPr>
              <w:t>Data di scadenza per la presentazione della richiesta di invito.</w:t>
            </w:r>
          </w:p>
          <w:p w14:paraId="2C64C73D" w14:textId="77777777" w:rsidR="00BD6B7F" w:rsidRDefault="00BD6B7F" w:rsidP="00BD6B7F">
            <w:pPr>
              <w:pStyle w:val="Default"/>
              <w:rPr>
                <w:rFonts w:ascii="Times New Roman" w:eastAsia="Times New Roman" w:hAnsi="Times New Roman" w:cs="Times New Roman"/>
                <w:bCs/>
                <w:color w:val="0070C0"/>
                <w:lang w:eastAsia="it-IT"/>
              </w:rPr>
            </w:pPr>
            <w:r>
              <w:rPr>
                <w:rFonts w:ascii="Times New Roman" w:eastAsia="Times New Roman" w:hAnsi="Times New Roman" w:cs="Times New Roman"/>
                <w:bCs/>
                <w:color w:val="0070C0"/>
                <w:lang w:eastAsia="it-IT"/>
              </w:rPr>
              <w:t>Dopo l’invio della scheda P7_1_3 è previsto l’invio della scheda S1 ed a seguire la scheda S2 in cui va inserita l’informazione sul termine di scadenza per la presentazione delle offerte.</w:t>
            </w:r>
          </w:p>
          <w:p w14:paraId="313C35F8" w14:textId="77777777" w:rsidR="00BD6B7F" w:rsidRDefault="00BD6B7F" w:rsidP="00BD6B7F">
            <w:pPr>
              <w:pStyle w:val="Default"/>
            </w:pPr>
            <w:r>
              <w:rPr>
                <w:color w:val="0070C0"/>
                <w:sz w:val="23"/>
                <w:szCs w:val="23"/>
              </w:rPr>
              <w:t xml:space="preserve">Nel campo “Tipo procedura di appalto” deve essere selezionata la voce </w:t>
            </w:r>
            <w:r>
              <w:rPr>
                <w:rFonts w:ascii="Times New Roman" w:eastAsia="Times New Roman" w:hAnsi="Times New Roman" w:cs="Times New Roman"/>
                <w:bCs/>
                <w:color w:val="0070C0"/>
                <w:lang w:eastAsia="it-IT"/>
              </w:rPr>
              <w:t>‘Negoziata senza previa indizione di gara’</w:t>
            </w:r>
          </w:p>
          <w:p w14:paraId="122F704E" w14:textId="3FC6EFAF" w:rsidR="00A41086" w:rsidRPr="00BD6B7F" w:rsidRDefault="00BD6B7F" w:rsidP="00BD6B7F">
            <w:pPr>
              <w:pStyle w:val="Default"/>
              <w:rPr>
                <w:color w:val="0070C0"/>
                <w:sz w:val="23"/>
                <w:szCs w:val="23"/>
              </w:rPr>
            </w:pPr>
            <w:r>
              <w:rPr>
                <w:color w:val="0070C0"/>
                <w:sz w:val="23"/>
                <w:szCs w:val="23"/>
              </w:rPr>
              <w:t>Le schede di aggiudicazione della P7_1_3 sono le schede A2_29/30/32/33/34/35 a seconda del regime e del settore e se appalto o concessione.</w:t>
            </w:r>
          </w:p>
        </w:tc>
      </w:tr>
      <w:tr w:rsidR="00A41086" w14:paraId="1416214E" w14:textId="77777777" w:rsidTr="00D438F1">
        <w:tc>
          <w:tcPr>
            <w:tcW w:w="4799" w:type="dxa"/>
          </w:tcPr>
          <w:p w14:paraId="7174A408" w14:textId="328F6682" w:rsidR="00A41086" w:rsidRDefault="00A41086">
            <w:r>
              <w:t>Non sono chiari i contesti d’uso delle scelte disponibili per il campo “Ruolo svolto dalla stazione appaltante”. Ad esempio, in caso di adesione ad accordo quadro Consip, non si riscontra alcuna ipotesi adatta.</w:t>
            </w:r>
          </w:p>
        </w:tc>
        <w:tc>
          <w:tcPr>
            <w:tcW w:w="4829" w:type="dxa"/>
          </w:tcPr>
          <w:p w14:paraId="22C5A9F7" w14:textId="47BBD237" w:rsidR="00A41086" w:rsidRPr="00BD6B7F" w:rsidRDefault="00BD6B7F" w:rsidP="00BD6B7F">
            <w:pPr>
              <w:pStyle w:val="Default"/>
              <w:spacing w:after="68"/>
              <w:rPr>
                <w:color w:val="0070C0"/>
                <w:sz w:val="23"/>
                <w:szCs w:val="23"/>
              </w:rPr>
            </w:pPr>
            <w:r>
              <w:rPr>
                <w:color w:val="0070C0"/>
                <w:sz w:val="23"/>
                <w:szCs w:val="23"/>
              </w:rPr>
              <w:t>Se ci si riferisce al campo ‘funzioniSvolte’ della sezione StazioneAppaltiType, il campo è obbligatorio solo in caso di gara SA delegata per la quale è necessario indicare la funzione che si svolge per conto della SA titolare (SA delegante).</w:t>
            </w:r>
          </w:p>
        </w:tc>
      </w:tr>
      <w:tr w:rsidR="00A41086" w14:paraId="1C997E6D" w14:textId="77777777" w:rsidTr="00D438F1">
        <w:tc>
          <w:tcPr>
            <w:tcW w:w="4799" w:type="dxa"/>
          </w:tcPr>
          <w:p w14:paraId="30086622" w14:textId="13E387A0" w:rsidR="00A41086" w:rsidRDefault="00A41086">
            <w:r>
              <w:t>Il CNEL deve essere indicato per le forniture e servizi per prestazioni intellettuali?</w:t>
            </w:r>
          </w:p>
        </w:tc>
        <w:tc>
          <w:tcPr>
            <w:tcW w:w="4829" w:type="dxa"/>
          </w:tcPr>
          <w:p w14:paraId="4D42F40D" w14:textId="19263AAF" w:rsidR="00A41086" w:rsidRDefault="00BD6B7F">
            <w:r>
              <w:rPr>
                <w:color w:val="0070C0"/>
                <w:sz w:val="23"/>
                <w:szCs w:val="23"/>
              </w:rPr>
              <w:t>Campo CCNL</w:t>
            </w:r>
            <w:r w:rsidR="00C91F0B">
              <w:rPr>
                <w:color w:val="0070C0"/>
                <w:sz w:val="23"/>
                <w:szCs w:val="23"/>
              </w:rPr>
              <w:t xml:space="preserve"> (v. bando tipo)</w:t>
            </w:r>
          </w:p>
        </w:tc>
      </w:tr>
      <w:tr w:rsidR="00A41086" w14:paraId="2DF2E3ED" w14:textId="77777777" w:rsidTr="00D438F1">
        <w:tc>
          <w:tcPr>
            <w:tcW w:w="4799" w:type="dxa"/>
          </w:tcPr>
          <w:p w14:paraId="4793DE0F" w14:textId="525AFBCB" w:rsidR="00A41086" w:rsidRDefault="00A41086">
            <w:r>
              <w:t>Dove è possibile verificare l'importo totale del CIG staccato? A quale campo corrisponde?</w:t>
            </w:r>
          </w:p>
        </w:tc>
        <w:tc>
          <w:tcPr>
            <w:tcW w:w="4829" w:type="dxa"/>
          </w:tcPr>
          <w:p w14:paraId="664F34F2" w14:textId="77777777" w:rsidR="00A41086" w:rsidRDefault="00F11FEE">
            <w:r>
              <w:t>L’importo del lotto codificato da un CIG viene trasmesso dalla stazione appaltante. Per l’indicazione del campo far riferimento al modello dati. (ANAC non può indicare come questo campo sia stato reso dal Portale delle piattaforme)</w:t>
            </w:r>
          </w:p>
          <w:p w14:paraId="45751E62" w14:textId="11230913" w:rsidR="00247F58" w:rsidRPr="00247F58" w:rsidRDefault="003708B6">
            <w:pPr>
              <w:rPr>
                <w:rFonts w:ascii="Calibri" w:eastAsia="Calibri" w:hAnsi="Calibri" w:cs="Calibri"/>
                <w:color w:val="0070C0"/>
                <w:sz w:val="23"/>
                <w:szCs w:val="23"/>
              </w:rPr>
            </w:pPr>
            <w:r>
              <w:rPr>
                <w:rFonts w:ascii="Calibri" w:eastAsia="Calibri" w:hAnsi="Calibri" w:cs="Calibri"/>
                <w:color w:val="0070C0"/>
                <w:sz w:val="23"/>
                <w:szCs w:val="23"/>
              </w:rPr>
              <w:t>L</w:t>
            </w:r>
            <w:r w:rsidR="00247F58" w:rsidRPr="00247F58">
              <w:rPr>
                <w:rFonts w:ascii="Calibri" w:eastAsia="Calibri" w:hAnsi="Calibri" w:cs="Calibri"/>
                <w:color w:val="0070C0"/>
                <w:sz w:val="23"/>
                <w:szCs w:val="23"/>
              </w:rPr>
              <w:t>’importo del CIG è indicato:</w:t>
            </w:r>
          </w:p>
          <w:p w14:paraId="0A4BECEA" w14:textId="77777777" w:rsidR="00247F58" w:rsidRPr="00247F58" w:rsidRDefault="00247F58" w:rsidP="00247F58">
            <w:pPr>
              <w:pStyle w:val="Paragrafoelenco"/>
              <w:numPr>
                <w:ilvl w:val="0"/>
                <w:numId w:val="2"/>
              </w:numPr>
              <w:rPr>
                <w:rFonts w:ascii="Calibri" w:eastAsia="Calibri" w:hAnsi="Calibri" w:cs="Calibri"/>
                <w:color w:val="0070C0"/>
                <w:sz w:val="23"/>
                <w:szCs w:val="23"/>
              </w:rPr>
            </w:pPr>
            <w:r w:rsidRPr="00247F58">
              <w:rPr>
                <w:rFonts w:ascii="Calibri" w:eastAsia="Calibri" w:hAnsi="Calibri" w:cs="Calibri"/>
                <w:color w:val="0070C0"/>
                <w:sz w:val="23"/>
                <w:szCs w:val="23"/>
              </w:rPr>
              <w:t>nell’eForm, campo BT-27 ‘Estimated Value’</w:t>
            </w:r>
          </w:p>
          <w:p w14:paraId="0EBAC3B6" w14:textId="0779B54F" w:rsidR="00247F58" w:rsidRDefault="00247F58" w:rsidP="00247F58">
            <w:pPr>
              <w:pStyle w:val="Paragrafoelenco"/>
              <w:numPr>
                <w:ilvl w:val="0"/>
                <w:numId w:val="2"/>
              </w:numPr>
            </w:pPr>
            <w:r w:rsidRPr="00247F58">
              <w:rPr>
                <w:rFonts w:ascii="Calibri" w:eastAsia="Calibri" w:hAnsi="Calibri" w:cs="Calibri"/>
                <w:color w:val="0070C0"/>
                <w:sz w:val="23"/>
                <w:szCs w:val="23"/>
              </w:rPr>
              <w:t>per i contratti sottosoglia, nell’oggetto DatiBase, in DatiBaselottoType, campo Importo</w:t>
            </w:r>
          </w:p>
        </w:tc>
      </w:tr>
      <w:tr w:rsidR="00A41086" w14:paraId="4F12E2E2" w14:textId="77777777" w:rsidTr="00D438F1">
        <w:tc>
          <w:tcPr>
            <w:tcW w:w="4799" w:type="dxa"/>
          </w:tcPr>
          <w:p w14:paraId="5A1EC786" w14:textId="45CF00F4" w:rsidR="00A41086" w:rsidRDefault="00A41086">
            <w:r>
              <w:t>Come è possibile usufruire del quinto d'obbligo se il CIG non è modificabile?</w:t>
            </w:r>
          </w:p>
        </w:tc>
        <w:tc>
          <w:tcPr>
            <w:tcW w:w="4829" w:type="dxa"/>
          </w:tcPr>
          <w:p w14:paraId="5C188402" w14:textId="7598C0D5" w:rsidR="006D3E96" w:rsidRDefault="006D3E96">
            <w:pPr>
              <w:rPr>
                <w:rFonts w:ascii="Calibri" w:eastAsia="Calibri" w:hAnsi="Calibri" w:cs="Calibri"/>
                <w:color w:val="0070C0"/>
                <w:sz w:val="23"/>
                <w:szCs w:val="23"/>
              </w:rPr>
            </w:pPr>
            <w:r w:rsidRPr="006D3E96">
              <w:t>L’Autorità, nel bando tipo n. 1, ha indicato, coerentemente alla nuova disposizione del Codice, che il quinto d’obbligo deve essere indicato nel valore globale dell’appalto.</w:t>
            </w:r>
          </w:p>
          <w:p w14:paraId="28061F6B" w14:textId="22950594" w:rsidR="00A41086" w:rsidRDefault="00247F58">
            <w:pPr>
              <w:rPr>
                <w:rFonts w:ascii="Calibri" w:eastAsia="Calibri" w:hAnsi="Calibri" w:cs="Calibri"/>
                <w:color w:val="0070C0"/>
                <w:sz w:val="23"/>
                <w:szCs w:val="23"/>
              </w:rPr>
            </w:pPr>
            <w:r w:rsidRPr="00247F58">
              <w:rPr>
                <w:rFonts w:ascii="Calibri" w:eastAsia="Calibri" w:hAnsi="Calibri" w:cs="Calibri"/>
                <w:color w:val="0070C0"/>
                <w:sz w:val="23"/>
                <w:szCs w:val="23"/>
              </w:rPr>
              <w:t>E</w:t>
            </w:r>
            <w:r w:rsidR="00EB1233">
              <w:rPr>
                <w:rFonts w:ascii="Calibri" w:eastAsia="Calibri" w:hAnsi="Calibri" w:cs="Calibri"/>
                <w:color w:val="0070C0"/>
                <w:sz w:val="23"/>
                <w:szCs w:val="23"/>
              </w:rPr>
              <w:t>’ necessario, al momento dell’utilizzo, trasmettere</w:t>
            </w:r>
            <w:r w:rsidRPr="00247F58">
              <w:rPr>
                <w:rFonts w:ascii="Calibri" w:eastAsia="Calibri" w:hAnsi="Calibri" w:cs="Calibri"/>
                <w:color w:val="0070C0"/>
                <w:sz w:val="23"/>
                <w:szCs w:val="23"/>
              </w:rPr>
              <w:t xml:space="preserve"> una delle schede di ‘modifica contrattuale’ previste sia per il sopra soglia che per il sotto soglia</w:t>
            </w:r>
          </w:p>
          <w:p w14:paraId="69D94402" w14:textId="557C98FE" w:rsidR="00EB1233" w:rsidRDefault="00EB1233"/>
        </w:tc>
      </w:tr>
      <w:tr w:rsidR="00A41086" w14:paraId="1FD5AA59" w14:textId="77777777" w:rsidTr="00D438F1">
        <w:tc>
          <w:tcPr>
            <w:tcW w:w="4799" w:type="dxa"/>
          </w:tcPr>
          <w:p w14:paraId="4A360381" w14:textId="662834AB" w:rsidR="00A41086" w:rsidRDefault="00A41086">
            <w:r>
              <w:lastRenderedPageBreak/>
              <w:t>È possibile modificare un CIG staccato prima del lancio della procedura?</w:t>
            </w:r>
          </w:p>
        </w:tc>
        <w:tc>
          <w:tcPr>
            <w:tcW w:w="4829" w:type="dxa"/>
          </w:tcPr>
          <w:p w14:paraId="7AEA651B" w14:textId="0D35AE1B" w:rsidR="00A41086" w:rsidRDefault="00F11FEE">
            <w:r>
              <w:t>L’attribuzione del codice CIG per ogni lotto della procedura avviene al momento della conferma dei dati. Ogni successiva modifica ai dati della procedura può essere apportata nei seguenti modi:</w:t>
            </w:r>
          </w:p>
          <w:p w14:paraId="433A7440" w14:textId="0D6280FF" w:rsidR="00F11FEE" w:rsidRDefault="00F11FEE" w:rsidP="00F11FEE">
            <w:pPr>
              <w:pStyle w:val="Paragrafoelenco"/>
              <w:numPr>
                <w:ilvl w:val="0"/>
                <w:numId w:val="1"/>
              </w:numPr>
            </w:pPr>
            <w:r>
              <w:t xml:space="preserve">attraverso il servizio di </w:t>
            </w:r>
            <w:r w:rsidR="00247F58">
              <w:t>‘</w:t>
            </w:r>
            <w:r>
              <w:t>modifica</w:t>
            </w:r>
            <w:r w:rsidR="00247F58">
              <w:t>’</w:t>
            </w:r>
            <w:r>
              <w:t xml:space="preserve"> utilizzabile fino alla pubblicazione dell’avviso esclusivamente per le procedure che prevedono una pubblicazione presso il TED</w:t>
            </w:r>
          </w:p>
          <w:p w14:paraId="2BF519CB" w14:textId="089A5D21" w:rsidR="00F11FEE" w:rsidRDefault="00F11FEE" w:rsidP="00F11FEE">
            <w:pPr>
              <w:pStyle w:val="Paragrafoelenco"/>
              <w:numPr>
                <w:ilvl w:val="0"/>
                <w:numId w:val="1"/>
              </w:numPr>
            </w:pPr>
            <w:r>
              <w:t xml:space="preserve">attraverso il servizio di </w:t>
            </w:r>
            <w:r w:rsidR="00247F58">
              <w:t>‘</w:t>
            </w:r>
            <w:r>
              <w:t>rettifica</w:t>
            </w:r>
            <w:r w:rsidR="00247F58">
              <w:t>’</w:t>
            </w:r>
            <w:r>
              <w:t xml:space="preserve"> per gli avvisi già pubblicati</w:t>
            </w:r>
          </w:p>
          <w:p w14:paraId="15314FF8" w14:textId="246E4AF7" w:rsidR="00F11FEE" w:rsidRDefault="00F11FEE" w:rsidP="00F11FEE">
            <w:pPr>
              <w:pStyle w:val="Paragrafoelenco"/>
              <w:numPr>
                <w:ilvl w:val="0"/>
                <w:numId w:val="1"/>
              </w:numPr>
            </w:pPr>
            <w:r>
              <w:t>è in realizzazione una scheda di modifica/annullamento di una procedura di affidamento diretto per la sola informazione dell’importo</w:t>
            </w:r>
          </w:p>
        </w:tc>
      </w:tr>
      <w:tr w:rsidR="00A41086" w14:paraId="7074FB78" w14:textId="77777777" w:rsidTr="00D438F1">
        <w:tc>
          <w:tcPr>
            <w:tcW w:w="4799" w:type="dxa"/>
          </w:tcPr>
          <w:p w14:paraId="46D5FF70" w14:textId="77777777" w:rsidR="00E470A8" w:rsidRDefault="00A41086">
            <w:r>
              <w:t xml:space="preserve">Nelle schede che lo prevedono, a che cosa fa riferimento il CIG “collegato” e come deve essere compilato? </w:t>
            </w:r>
          </w:p>
          <w:p w14:paraId="39EDDE8C" w14:textId="77777777" w:rsidR="00E470A8" w:rsidRDefault="00E470A8"/>
          <w:p w14:paraId="3725901B" w14:textId="77777777" w:rsidR="00E470A8" w:rsidRDefault="00E470A8"/>
          <w:p w14:paraId="2A624E9E" w14:textId="757F7E84" w:rsidR="00A41086" w:rsidRDefault="00A41086">
            <w:r>
              <w:t>Inoltre, come deve essere compilato il campo “importo finanziamento”?</w:t>
            </w:r>
          </w:p>
        </w:tc>
        <w:tc>
          <w:tcPr>
            <w:tcW w:w="4829" w:type="dxa"/>
          </w:tcPr>
          <w:p w14:paraId="47DCB9D5" w14:textId="77777777" w:rsidR="00A41086" w:rsidRDefault="00E470A8">
            <w:pPr>
              <w:rPr>
                <w:rFonts w:ascii="Calibri" w:eastAsia="Calibri" w:hAnsi="Calibri" w:cs="Calibri"/>
                <w:color w:val="0070C0"/>
                <w:sz w:val="23"/>
                <w:szCs w:val="23"/>
              </w:rPr>
            </w:pPr>
            <w:r w:rsidRPr="00E470A8">
              <w:rPr>
                <w:rFonts w:ascii="Calibri" w:eastAsia="Calibri" w:hAnsi="Calibri" w:cs="Calibri"/>
                <w:color w:val="0070C0"/>
                <w:sz w:val="23"/>
                <w:szCs w:val="23"/>
              </w:rPr>
              <w:t>Il CIG in via di acquisizione potrebbe essere collegato ad una procedura creata precedente</w:t>
            </w:r>
            <w:r>
              <w:rPr>
                <w:rFonts w:ascii="Calibri" w:eastAsia="Calibri" w:hAnsi="Calibri" w:cs="Calibri"/>
                <w:color w:val="0070C0"/>
                <w:sz w:val="23"/>
                <w:szCs w:val="23"/>
              </w:rPr>
              <w:t>mente. I motivi di collegamento sono specificati nella relativa tipologica.</w:t>
            </w:r>
          </w:p>
          <w:p w14:paraId="6746534E" w14:textId="77777777" w:rsidR="00E470A8" w:rsidRDefault="00E470A8"/>
          <w:p w14:paraId="186EDF30" w14:textId="3B7FD72E" w:rsidR="00E470A8" w:rsidRDefault="00E470A8" w:rsidP="003708B6">
            <w:r w:rsidRPr="00E470A8">
              <w:rPr>
                <w:rFonts w:ascii="Calibri" w:eastAsia="Calibri" w:hAnsi="Calibri" w:cs="Calibri"/>
                <w:color w:val="0070C0"/>
                <w:sz w:val="23"/>
                <w:szCs w:val="23"/>
              </w:rPr>
              <w:t>L’importo del finanziamento deve essere pari o superiore all’importo complessivo</w:t>
            </w:r>
            <w:r w:rsidR="003708B6">
              <w:rPr>
                <w:rFonts w:ascii="Calibri" w:eastAsia="Calibri" w:hAnsi="Calibri" w:cs="Calibri"/>
                <w:color w:val="0070C0"/>
                <w:sz w:val="23"/>
                <w:szCs w:val="23"/>
              </w:rPr>
              <w:t xml:space="preserve"> dell’appalto comprensivo dell’eventuali somme a disposizione</w:t>
            </w:r>
          </w:p>
        </w:tc>
      </w:tr>
      <w:tr w:rsidR="00A41086" w14:paraId="76F8D686" w14:textId="77777777" w:rsidTr="00D438F1">
        <w:tc>
          <w:tcPr>
            <w:tcW w:w="4799" w:type="dxa"/>
          </w:tcPr>
          <w:p w14:paraId="50CA30FA" w14:textId="5DD61DA3" w:rsidR="00A41086" w:rsidRDefault="00A41086">
            <w:r>
              <w:t>Come vanno rendicontati i CIG staccati tramite le Piattaforme di Approvvigionamento Certificate? Quali sono le soglie per la rendicontazione?</w:t>
            </w:r>
          </w:p>
        </w:tc>
        <w:tc>
          <w:tcPr>
            <w:tcW w:w="4829" w:type="dxa"/>
          </w:tcPr>
          <w:p w14:paraId="77C5B68A" w14:textId="19A96F71" w:rsidR="00A41086" w:rsidRDefault="00F11FEE">
            <w:r>
              <w:t>La domanda non è chiara</w:t>
            </w:r>
          </w:p>
        </w:tc>
      </w:tr>
      <w:tr w:rsidR="00A41086" w14:paraId="3B3ACCBF" w14:textId="77777777" w:rsidTr="00D438F1">
        <w:tc>
          <w:tcPr>
            <w:tcW w:w="4799" w:type="dxa"/>
          </w:tcPr>
          <w:p w14:paraId="2BB0A0D7" w14:textId="0AA880B6" w:rsidR="00A41086" w:rsidRDefault="00A41086">
            <w:r>
              <w:t>Posto che non esistono più CIG “padre”, come si può identificare il CIG suscettibile di adesioni successive?</w:t>
            </w:r>
          </w:p>
        </w:tc>
        <w:tc>
          <w:tcPr>
            <w:tcW w:w="4829" w:type="dxa"/>
          </w:tcPr>
          <w:p w14:paraId="7DBB66B4" w14:textId="77777777" w:rsidR="00A41086" w:rsidRDefault="009D521B">
            <w:r>
              <w:t>È indicato che si tratta di un accordo quadro o convenzione</w:t>
            </w:r>
            <w:r w:rsidR="00E470A8">
              <w:t xml:space="preserve"> nel campo </w:t>
            </w:r>
          </w:p>
          <w:p w14:paraId="3F9386A9" w14:textId="2E0E3E76" w:rsidR="00E470A8" w:rsidRDefault="00E470A8" w:rsidP="00E470A8">
            <w:pPr>
              <w:pStyle w:val="NormaleWeb"/>
              <w:spacing w:beforeAutospacing="0" w:after="120" w:afterAutospacing="0"/>
              <w:rPr>
                <w:rFonts w:ascii="Calibri" w:eastAsia="Calibri" w:hAnsi="Calibri" w:cs="Calibri"/>
                <w:color w:val="0070C0"/>
                <w:sz w:val="23"/>
                <w:szCs w:val="23"/>
                <w:lang w:eastAsia="en-US"/>
              </w:rPr>
            </w:pPr>
            <w:r>
              <w:rPr>
                <w:rFonts w:ascii="Calibri" w:eastAsia="Calibri" w:hAnsi="Calibri" w:cs="Calibri"/>
                <w:color w:val="0070C0"/>
                <w:sz w:val="23"/>
                <w:szCs w:val="23"/>
                <w:lang w:eastAsia="en-US"/>
              </w:rPr>
              <w:t xml:space="preserve">GdL Dati: </w:t>
            </w:r>
            <w:r w:rsidRPr="00E470A8">
              <w:rPr>
                <w:rFonts w:ascii="Calibri" w:eastAsia="Calibri" w:hAnsi="Calibri" w:cs="Calibri"/>
                <w:color w:val="0070C0"/>
                <w:sz w:val="23"/>
                <w:szCs w:val="23"/>
                <w:lang w:eastAsia="en-US"/>
              </w:rPr>
              <w:t>Per i contratti espletati secondo la modalità Accordo Quadro/Convenzione è necessario procedere alla registrazione in PCP e all’acquisizione del CIG avendo cura di selezionare nel campo ‘Framework Agreement’ dell’ eForm oppure nel campo ‘Accordo Quadro’ dell’AnacForm, una voce diversa da ‘none’ (‘nulla’) dell’elenco.</w:t>
            </w:r>
          </w:p>
          <w:p w14:paraId="32171985" w14:textId="5DF108B5" w:rsidR="00E470A8" w:rsidRDefault="00E470A8" w:rsidP="00E470A8">
            <w:pPr>
              <w:pStyle w:val="NormaleWeb"/>
              <w:spacing w:beforeAutospacing="0" w:after="120" w:afterAutospacing="0"/>
            </w:pPr>
            <w:r>
              <w:rPr>
                <w:rFonts w:ascii="Calibri" w:eastAsia="Calibri" w:hAnsi="Calibri" w:cs="Calibri"/>
                <w:color w:val="0070C0"/>
                <w:sz w:val="23"/>
                <w:szCs w:val="23"/>
                <w:lang w:eastAsia="en-US"/>
              </w:rPr>
              <w:t>Il CIG generato è il CIG padre. Nelle adesioni deve essere richiamato nel campo CIG</w:t>
            </w:r>
          </w:p>
        </w:tc>
      </w:tr>
      <w:tr w:rsidR="00A41086" w14:paraId="51DA0BCD" w14:textId="77777777" w:rsidTr="00D438F1">
        <w:tc>
          <w:tcPr>
            <w:tcW w:w="4799" w:type="dxa"/>
          </w:tcPr>
          <w:p w14:paraId="151DFBB3" w14:textId="191CA6D9" w:rsidR="00A41086" w:rsidRDefault="00A41086">
            <w:r>
              <w:t>È possibile annullare un CIG? Se sì, è possibile chiarire come? Se no, come può ANAC venire a conoscenza del fatto che il CIG non sia stato utilizzato dalla Stazione Appaltante che lo ha staccato?</w:t>
            </w:r>
          </w:p>
        </w:tc>
        <w:tc>
          <w:tcPr>
            <w:tcW w:w="4829" w:type="dxa"/>
          </w:tcPr>
          <w:p w14:paraId="3A4DB308" w14:textId="2A92597C" w:rsidR="00A41086" w:rsidRDefault="009D521B">
            <w:r>
              <w:t>I flussi di rendicontazione prevedono comunicazioni di annullamento della procedura. In particolare in caso di annullamento di una procedura ad evidenza pubblica è necessaria la pubblicazione di un ulteriore avviso</w:t>
            </w:r>
          </w:p>
        </w:tc>
      </w:tr>
      <w:tr w:rsidR="00A41086" w14:paraId="5F221C4B" w14:textId="77777777" w:rsidTr="00D438F1">
        <w:tc>
          <w:tcPr>
            <w:tcW w:w="4799" w:type="dxa"/>
          </w:tcPr>
          <w:p w14:paraId="28665926" w14:textId="139A9920" w:rsidR="00A41086" w:rsidRDefault="00A41086">
            <w:r>
              <w:t xml:space="preserve">Il momento dello stacco CIG risulta essere in contrasto con quanto riportato nella Delibera ANAC 1/2017, in cui si indica che il CIG deve essere staccato al momento della determina a contrarre, che per sua natura viene prima dell'affidamento. </w:t>
            </w:r>
            <w:r>
              <w:lastRenderedPageBreak/>
              <w:t>Viene annullato quanto esposto dalla Delibera citata?</w:t>
            </w:r>
          </w:p>
        </w:tc>
        <w:tc>
          <w:tcPr>
            <w:tcW w:w="4829" w:type="dxa"/>
          </w:tcPr>
          <w:p w14:paraId="7976D6FA" w14:textId="5434BE31" w:rsidR="00A41086" w:rsidRDefault="00EA49D6">
            <w:r w:rsidRPr="00EA49D6">
              <w:lastRenderedPageBreak/>
              <w:t>La Delibera ANAC 1/2017 si riferisce al sistema in vigore prima del nuovo Codice e della digitalizzazione. Nella nuova impostazione il CIG viene acquisito al momento della pubblicazione del bando e non è necessario riportare nella delibera a contrarre il CIG.</w:t>
            </w:r>
          </w:p>
        </w:tc>
      </w:tr>
      <w:tr w:rsidR="00A41086" w14:paraId="68C96D49" w14:textId="77777777" w:rsidTr="00D438F1">
        <w:tc>
          <w:tcPr>
            <w:tcW w:w="4799" w:type="dxa"/>
          </w:tcPr>
          <w:p w14:paraId="64398F35" w14:textId="55A3C63A" w:rsidR="00A41086" w:rsidRDefault="00A41086">
            <w:r>
              <w:t>Il codice ISTAT è riferito alla sede dell’aggiudicatario oppure al luogo di esecuzione lavori?</w:t>
            </w:r>
          </w:p>
        </w:tc>
        <w:tc>
          <w:tcPr>
            <w:tcW w:w="4829" w:type="dxa"/>
          </w:tcPr>
          <w:p w14:paraId="0F37BFE5" w14:textId="38272FF5" w:rsidR="00A41086" w:rsidRDefault="00EA49D6" w:rsidP="00EA49D6">
            <w:r>
              <w:t>Come in SImog è riferito</w:t>
            </w:r>
            <w:r w:rsidR="009D521B">
              <w:t xml:space="preserve"> al luogo di esecuzione del contratto</w:t>
            </w:r>
          </w:p>
        </w:tc>
      </w:tr>
      <w:tr w:rsidR="00A41086" w14:paraId="676FDA9B" w14:textId="77777777" w:rsidTr="00D438F1">
        <w:tc>
          <w:tcPr>
            <w:tcW w:w="4799" w:type="dxa"/>
          </w:tcPr>
          <w:p w14:paraId="31B75165" w14:textId="5D7C4F5B" w:rsidR="00A41086" w:rsidRDefault="00A41086">
            <w:r>
              <w:t>È possibile compilare una unica scheda AD5 per una procedura con lotti riferiti ad affidamenti di forniture diverse e di diversi soggetti ed ottenere i CIG in un unico passaggio?</w:t>
            </w:r>
          </w:p>
        </w:tc>
        <w:tc>
          <w:tcPr>
            <w:tcW w:w="4829" w:type="dxa"/>
          </w:tcPr>
          <w:p w14:paraId="60BA5586" w14:textId="4FA832F5" w:rsidR="00A41086" w:rsidRPr="00305C7A" w:rsidRDefault="00EF2D00">
            <w:r>
              <w:t>I</w:t>
            </w:r>
            <w:r w:rsidR="00D04B6C" w:rsidRPr="00305C7A">
              <w:t>n generale no, trattandosi di affidamenti diretti e non di gare per lotti.</w:t>
            </w:r>
          </w:p>
        </w:tc>
      </w:tr>
      <w:tr w:rsidR="00A41086" w14:paraId="2651B9B2" w14:textId="77777777" w:rsidTr="00D438F1">
        <w:tc>
          <w:tcPr>
            <w:tcW w:w="4799" w:type="dxa"/>
          </w:tcPr>
          <w:p w14:paraId="3FB428DC" w14:textId="77EF912A" w:rsidR="00A41086" w:rsidRDefault="00A41086">
            <w:r>
              <w:t>È necessario chiarire a partire da quando decorrono i termini di pubblicazione per poter calcolare il termine di scadenza della presentazione delle offerte.</w:t>
            </w:r>
          </w:p>
        </w:tc>
        <w:tc>
          <w:tcPr>
            <w:tcW w:w="4829" w:type="dxa"/>
          </w:tcPr>
          <w:p w14:paraId="7193F99B" w14:textId="77777777" w:rsidR="00A41086" w:rsidRDefault="0023061C">
            <w:r>
              <w:t>Per la pubblicazione a livello Europeo si faccia riferimento alla regolamentazione del TED.</w:t>
            </w:r>
          </w:p>
          <w:p w14:paraId="7D905D21" w14:textId="2125DF09" w:rsidR="0023061C" w:rsidRDefault="0023061C">
            <w:r>
              <w:t>Per la pubblicità a livello nazionale si faccia riferimento alla delibera ANAC 263/2023</w:t>
            </w:r>
          </w:p>
        </w:tc>
      </w:tr>
      <w:tr w:rsidR="00A41086" w14:paraId="017631F6" w14:textId="77777777" w:rsidTr="00D438F1">
        <w:tc>
          <w:tcPr>
            <w:tcW w:w="4799" w:type="dxa"/>
          </w:tcPr>
          <w:p w14:paraId="7438A60A" w14:textId="7D075334" w:rsidR="00A41086" w:rsidRDefault="00A41086">
            <w:r>
              <w:t>Nella scheda P7_1_3 relativa alla procedura negoziata, nel campo obbligatorio "motivo della procedura" vengono riportati dei riferimenti D. lgs. 163/2006. Verranno modificati con riferimenti al D.lgs 36/2023?</w:t>
            </w:r>
          </w:p>
        </w:tc>
        <w:tc>
          <w:tcPr>
            <w:tcW w:w="4829" w:type="dxa"/>
          </w:tcPr>
          <w:p w14:paraId="2D9E01CD" w14:textId="6884692C" w:rsidR="00A41086" w:rsidRPr="00BF4074" w:rsidRDefault="00BF4074">
            <w:pPr>
              <w:rPr>
                <w:rFonts w:ascii="Calibri" w:eastAsia="Calibri" w:hAnsi="Calibri" w:cs="Calibri"/>
                <w:color w:val="0070C0"/>
                <w:sz w:val="23"/>
                <w:szCs w:val="23"/>
              </w:rPr>
            </w:pPr>
            <w:r w:rsidRPr="00BF4074">
              <w:rPr>
                <w:rFonts w:ascii="Calibri" w:eastAsia="Calibri" w:hAnsi="Calibri" w:cs="Calibri"/>
                <w:color w:val="0070C0"/>
                <w:sz w:val="23"/>
                <w:szCs w:val="23"/>
              </w:rPr>
              <w:t>Si, verranno eliminati i riferimenti al D. lgs. 163/2006.</w:t>
            </w:r>
          </w:p>
          <w:p w14:paraId="3C46C166" w14:textId="7AA75CC4" w:rsidR="00BF4074" w:rsidRDefault="00BF4074">
            <w:r w:rsidRPr="00BF4074">
              <w:rPr>
                <w:rFonts w:ascii="Calibri" w:eastAsia="Calibri" w:hAnsi="Calibri" w:cs="Calibri"/>
                <w:color w:val="0070C0"/>
                <w:sz w:val="23"/>
                <w:szCs w:val="23"/>
              </w:rPr>
              <w:t>La tipologica contiene già le motivazioni relative al D. lgs. 36/2023</w:t>
            </w:r>
          </w:p>
        </w:tc>
      </w:tr>
      <w:tr w:rsidR="00A41086" w14:paraId="786300C9" w14:textId="77777777" w:rsidTr="00D438F1">
        <w:tc>
          <w:tcPr>
            <w:tcW w:w="4799" w:type="dxa"/>
          </w:tcPr>
          <w:p w14:paraId="603B95AE" w14:textId="31B5FE0B" w:rsidR="00A41086" w:rsidRDefault="00A41086">
            <w:r>
              <w:t>Nella scheda AD4 risulta necessario valorizzare il campo inerente all’importo delle concessioni (servizi/forniture) anche trattandosi di un appalto. Provando ad inserire il valore 0 questo non viene accettato, come si deve procedere dato che la procedura non è inerente alle concessioni?</w:t>
            </w:r>
          </w:p>
        </w:tc>
        <w:tc>
          <w:tcPr>
            <w:tcW w:w="4829" w:type="dxa"/>
          </w:tcPr>
          <w:p w14:paraId="0D91A3B9" w14:textId="1FA56624" w:rsidR="00A41086" w:rsidRPr="0076432A" w:rsidRDefault="0076432A" w:rsidP="00023006">
            <w:pPr>
              <w:tabs>
                <w:tab w:val="left" w:pos="1643"/>
              </w:tabs>
            </w:pPr>
            <w:r>
              <w:rPr>
                <w:rFonts w:ascii="Calibri" w:eastAsia="Calibri" w:hAnsi="Calibri" w:cs="Calibri"/>
                <w:color w:val="0070C0"/>
                <w:sz w:val="23"/>
                <w:szCs w:val="23"/>
              </w:rPr>
              <w:t>I quadri economici standard e conces</w:t>
            </w:r>
            <w:r w:rsidR="00BC4340">
              <w:rPr>
                <w:rFonts w:ascii="Calibri" w:eastAsia="Calibri" w:hAnsi="Calibri" w:cs="Calibri"/>
                <w:color w:val="0070C0"/>
                <w:sz w:val="23"/>
                <w:szCs w:val="23"/>
              </w:rPr>
              <w:t>sioni sono mutuamente esclusivi</w:t>
            </w:r>
            <w:r w:rsidR="00023006">
              <w:rPr>
                <w:rFonts w:ascii="Calibri" w:eastAsia="Calibri" w:hAnsi="Calibri" w:cs="Calibri"/>
                <w:color w:val="0070C0"/>
                <w:sz w:val="23"/>
                <w:szCs w:val="23"/>
              </w:rPr>
              <w:t xml:space="preserve"> in base al tipo di contratto dell’AQ/convenzione (appalto o concessione)</w:t>
            </w:r>
            <w:r w:rsidR="00BC4340">
              <w:rPr>
                <w:rFonts w:ascii="Calibri" w:eastAsia="Calibri" w:hAnsi="Calibri" w:cs="Calibri"/>
                <w:color w:val="0070C0"/>
                <w:sz w:val="23"/>
                <w:szCs w:val="23"/>
              </w:rPr>
              <w:t>.</w:t>
            </w:r>
            <w:r w:rsidR="00023006">
              <w:rPr>
                <w:rFonts w:ascii="Calibri" w:eastAsia="Calibri" w:hAnsi="Calibri" w:cs="Calibri"/>
                <w:color w:val="0070C0"/>
                <w:sz w:val="23"/>
                <w:szCs w:val="23"/>
              </w:rPr>
              <w:br/>
            </w:r>
            <w:r w:rsidR="00BC4340">
              <w:rPr>
                <w:rFonts w:ascii="Calibri" w:eastAsia="Calibri" w:hAnsi="Calibri" w:cs="Calibri"/>
                <w:color w:val="0070C0"/>
                <w:sz w:val="23"/>
                <w:szCs w:val="23"/>
              </w:rPr>
              <w:t>Non ci risulta l’obbligatorietà sul campo indicato.</w:t>
            </w:r>
          </w:p>
        </w:tc>
      </w:tr>
      <w:tr w:rsidR="00A41086" w14:paraId="7A970762" w14:textId="77777777" w:rsidTr="00D438F1">
        <w:tc>
          <w:tcPr>
            <w:tcW w:w="4799" w:type="dxa"/>
          </w:tcPr>
          <w:p w14:paraId="679CFEEF" w14:textId="430273EE" w:rsidR="00A41086" w:rsidRDefault="00A41086">
            <w:r>
              <w:t>per aderire ad un Accordo Quadro è possibile compilare una sola scheda AD4 per aderire a più lotti? Sia della stessa gara che di gare diverse?</w:t>
            </w:r>
          </w:p>
        </w:tc>
        <w:tc>
          <w:tcPr>
            <w:tcW w:w="4829" w:type="dxa"/>
          </w:tcPr>
          <w:p w14:paraId="0CECFC48" w14:textId="4562360E" w:rsidR="00A41086" w:rsidRDefault="0023061C">
            <w:r>
              <w:t>L’adesione prevede l’indicazione ad un singolo lotto</w:t>
            </w:r>
          </w:p>
        </w:tc>
      </w:tr>
      <w:tr w:rsidR="00A41086" w14:paraId="66AF8E68" w14:textId="77777777" w:rsidTr="00D438F1">
        <w:tc>
          <w:tcPr>
            <w:tcW w:w="4799" w:type="dxa"/>
          </w:tcPr>
          <w:p w14:paraId="69200281" w14:textId="0078E497" w:rsidR="00A41086" w:rsidRDefault="00A41086">
            <w:r>
              <w:t>Segnaliamo che gli errori restituiti da ANAC risultano di difficile comprensione. Si richiede se è prevista la pubblicazione di una guida operativa oppure di un glossario per meglio comprendere gli errori e la risoluzione.</w:t>
            </w:r>
          </w:p>
        </w:tc>
        <w:tc>
          <w:tcPr>
            <w:tcW w:w="4829" w:type="dxa"/>
          </w:tcPr>
          <w:p w14:paraId="0C0CEB67" w14:textId="33FD9EC6" w:rsidR="00A41086" w:rsidRDefault="002E738D">
            <w:r w:rsidRPr="002E738D">
              <w:rPr>
                <w:rFonts w:ascii="Calibri" w:eastAsia="Calibri" w:hAnsi="Calibri" w:cs="Calibri"/>
                <w:color w:val="0070C0"/>
                <w:sz w:val="23"/>
                <w:szCs w:val="23"/>
              </w:rPr>
              <w:t xml:space="preserve">In </w:t>
            </w:r>
            <w:r w:rsidR="00D438F1">
              <w:rPr>
                <w:rFonts w:ascii="Calibri" w:eastAsia="Calibri" w:hAnsi="Calibri" w:cs="Calibri"/>
                <w:color w:val="0070C0"/>
                <w:sz w:val="23"/>
                <w:szCs w:val="23"/>
              </w:rPr>
              <w:t>corso di gestione</w:t>
            </w:r>
          </w:p>
        </w:tc>
      </w:tr>
      <w:tr w:rsidR="00D438F1" w14:paraId="0253444B" w14:textId="77777777" w:rsidTr="00D438F1">
        <w:tc>
          <w:tcPr>
            <w:tcW w:w="4799" w:type="dxa"/>
          </w:tcPr>
          <w:p w14:paraId="5476F537" w14:textId="2885A741" w:rsidR="00D438F1" w:rsidRDefault="00D438F1" w:rsidP="00D438F1">
            <w:r>
              <w:t>È possibile chiarire come deve essere effettuato il pagamento della tassa gare da parte dell'operatore economico? In particolare, le schede AD prevedono acquisizione del CIG quando la procedura è già stata aggiudicata.</w:t>
            </w:r>
          </w:p>
        </w:tc>
        <w:tc>
          <w:tcPr>
            <w:tcW w:w="4829" w:type="dxa"/>
          </w:tcPr>
          <w:p w14:paraId="72AA1778" w14:textId="52A9F14B" w:rsidR="00D438F1" w:rsidRDefault="00D438F1" w:rsidP="00D438F1">
            <w:r w:rsidRPr="002E738D">
              <w:rPr>
                <w:rFonts w:ascii="Calibri" w:eastAsia="Calibri" w:hAnsi="Calibri" w:cs="Calibri"/>
                <w:color w:val="0070C0"/>
                <w:sz w:val="23"/>
                <w:szCs w:val="23"/>
              </w:rPr>
              <w:t xml:space="preserve">In </w:t>
            </w:r>
            <w:r>
              <w:rPr>
                <w:rFonts w:ascii="Calibri" w:eastAsia="Calibri" w:hAnsi="Calibri" w:cs="Calibri"/>
                <w:color w:val="0070C0"/>
                <w:sz w:val="23"/>
                <w:szCs w:val="23"/>
              </w:rPr>
              <w:t>corso di gestione</w:t>
            </w:r>
          </w:p>
        </w:tc>
      </w:tr>
      <w:tr w:rsidR="00A41086" w14:paraId="3DA51CAE" w14:textId="77777777" w:rsidTr="00D438F1">
        <w:tc>
          <w:tcPr>
            <w:tcW w:w="4799" w:type="dxa"/>
          </w:tcPr>
          <w:p w14:paraId="12677593" w14:textId="3BC8E566" w:rsidR="00A41086" w:rsidRDefault="00A41086">
            <w:r>
              <w:t>Come è possibile espletare gi obblighi di pubblicità in caso di servizi esclusi, che non prevedono l'acquisizione di un CIG?</w:t>
            </w:r>
          </w:p>
        </w:tc>
        <w:tc>
          <w:tcPr>
            <w:tcW w:w="4829" w:type="dxa"/>
          </w:tcPr>
          <w:p w14:paraId="26163968" w14:textId="4194778F" w:rsidR="00A41086" w:rsidRDefault="00D04B6C">
            <w:r w:rsidRPr="002E738D">
              <w:t>Il sistema di digitalizzazione non consente la pubblicità per i servizi esclusi per cui non c’è obbligo di CIG.</w:t>
            </w:r>
          </w:p>
        </w:tc>
      </w:tr>
      <w:tr w:rsidR="00A41086" w14:paraId="0643B35F" w14:textId="77777777" w:rsidTr="00D438F1">
        <w:tc>
          <w:tcPr>
            <w:tcW w:w="4799" w:type="dxa"/>
          </w:tcPr>
          <w:p w14:paraId="08894F1F" w14:textId="61B233FC" w:rsidR="00A41086" w:rsidRDefault="00A41086">
            <w:r>
              <w:t>Nell’ambito di un appalto specifico, non essendo possibile modificare il CIG, come si procede in caso di superamento e/o ribasso della base d’asta?</w:t>
            </w:r>
          </w:p>
        </w:tc>
        <w:tc>
          <w:tcPr>
            <w:tcW w:w="4829" w:type="dxa"/>
          </w:tcPr>
          <w:p w14:paraId="4526CE84" w14:textId="77777777" w:rsidR="002E738D" w:rsidRDefault="002E738D" w:rsidP="002E738D">
            <w:r>
              <w:t>L’attribuzione del codice CIG per ogni lotto della procedura avviene al momento della conferma dei dati. Ogni successiva modifica ai dati della procedura può essere apportata nei seguenti modi:</w:t>
            </w:r>
          </w:p>
          <w:p w14:paraId="7CCD6A27" w14:textId="77777777" w:rsidR="002E738D" w:rsidRDefault="002E738D" w:rsidP="002E738D">
            <w:pPr>
              <w:pStyle w:val="Paragrafoelenco"/>
              <w:numPr>
                <w:ilvl w:val="0"/>
                <w:numId w:val="1"/>
              </w:numPr>
            </w:pPr>
            <w:r>
              <w:t>attraverso il servizio di ‘modifica’ utilizzabile fino alla pubblicazione dell’avviso esclusivamente per le procedure che prevedono una pubblicazione presso il TED</w:t>
            </w:r>
          </w:p>
          <w:p w14:paraId="6F6E4FF4" w14:textId="33D725BD" w:rsidR="002E738D" w:rsidRDefault="002E738D" w:rsidP="002E738D">
            <w:pPr>
              <w:pStyle w:val="Paragrafoelenco"/>
              <w:numPr>
                <w:ilvl w:val="0"/>
                <w:numId w:val="1"/>
              </w:numPr>
            </w:pPr>
            <w:r>
              <w:t>attraverso il servizio di ‘rettifica’ per gli avvisi già pubblicati</w:t>
            </w:r>
          </w:p>
          <w:p w14:paraId="16AD0273" w14:textId="3ACA4435" w:rsidR="00A41086" w:rsidRDefault="002E738D" w:rsidP="002E738D">
            <w:pPr>
              <w:pStyle w:val="Paragrafoelenco"/>
              <w:numPr>
                <w:ilvl w:val="0"/>
                <w:numId w:val="1"/>
              </w:numPr>
            </w:pPr>
            <w:r>
              <w:lastRenderedPageBreak/>
              <w:t>è in realizzazione una scheda di modifica/annullamento di una procedura di affidamento diretto per la sola informazione dell’importo</w:t>
            </w:r>
          </w:p>
        </w:tc>
      </w:tr>
      <w:tr w:rsidR="00A41086" w14:paraId="36DCA789" w14:textId="77777777" w:rsidTr="00D438F1">
        <w:tc>
          <w:tcPr>
            <w:tcW w:w="4799" w:type="dxa"/>
          </w:tcPr>
          <w:p w14:paraId="3876158F" w14:textId="6C758F7D" w:rsidR="00A41086" w:rsidRDefault="00A41086">
            <w:r>
              <w:lastRenderedPageBreak/>
              <w:t>Come è possibile procedere con gli affidamenti stranieri ed extraeuropei, per i quali non è possibile acquisire la firma digitale?</w:t>
            </w:r>
          </w:p>
        </w:tc>
        <w:tc>
          <w:tcPr>
            <w:tcW w:w="4829" w:type="dxa"/>
          </w:tcPr>
          <w:p w14:paraId="2525D156" w14:textId="2B80C117" w:rsidR="00A41086" w:rsidRDefault="00D438F1">
            <w:r>
              <w:t>In corso di approfondimento</w:t>
            </w:r>
          </w:p>
        </w:tc>
      </w:tr>
      <w:tr w:rsidR="00A41086" w14:paraId="61250EA4" w14:textId="77777777" w:rsidTr="00D438F1">
        <w:tc>
          <w:tcPr>
            <w:tcW w:w="4799" w:type="dxa"/>
          </w:tcPr>
          <w:p w14:paraId="61DB8CCF" w14:textId="4F6713A7" w:rsidR="00A41086" w:rsidRDefault="00A41086">
            <w:r>
              <w:t>Non è chiaro quale sia la scheda da utilizzare per staccare CIG per gli SDA. Inoltre, ci sono distinzioni fra SDA farmaci e gli altri?</w:t>
            </w:r>
          </w:p>
        </w:tc>
        <w:tc>
          <w:tcPr>
            <w:tcW w:w="4829" w:type="dxa"/>
          </w:tcPr>
          <w:p w14:paraId="6794A1E8" w14:textId="6C8308A1" w:rsidR="009B6F9E" w:rsidRPr="009B6F9E" w:rsidRDefault="009B6F9E">
            <w:pPr>
              <w:rPr>
                <w:rFonts w:ascii="Calibri" w:eastAsia="Calibri" w:hAnsi="Calibri" w:cs="Calibri"/>
                <w:color w:val="0070C0"/>
                <w:sz w:val="23"/>
                <w:szCs w:val="23"/>
              </w:rPr>
            </w:pPr>
            <w:r w:rsidRPr="009B6F9E">
              <w:rPr>
                <w:rFonts w:ascii="Calibri" w:eastAsia="Calibri" w:hAnsi="Calibri" w:cs="Calibri"/>
                <w:color w:val="0070C0"/>
                <w:sz w:val="23"/>
                <w:szCs w:val="23"/>
              </w:rPr>
              <w:t>La scheda da utilizzare per staccare CIG per gli SDA è la P7_2.</w:t>
            </w:r>
          </w:p>
          <w:p w14:paraId="3EB5D7D0" w14:textId="047A6C2D" w:rsidR="00A41086" w:rsidRDefault="009B6F9E">
            <w:r w:rsidRPr="009B6F9E">
              <w:rPr>
                <w:rFonts w:ascii="Calibri" w:eastAsia="Calibri" w:hAnsi="Calibri" w:cs="Calibri"/>
                <w:color w:val="0070C0"/>
                <w:sz w:val="23"/>
                <w:szCs w:val="23"/>
              </w:rPr>
              <w:t>NO, non ci sono distinzioni tra SDA farmaci e gli altri.</w:t>
            </w:r>
          </w:p>
        </w:tc>
      </w:tr>
      <w:tr w:rsidR="00A41086" w14:paraId="5B4A154D" w14:textId="77777777" w:rsidTr="00D438F1">
        <w:tc>
          <w:tcPr>
            <w:tcW w:w="4799" w:type="dxa"/>
          </w:tcPr>
          <w:p w14:paraId="520CF0C7" w14:textId="5A70C868" w:rsidR="00A41086" w:rsidRDefault="000A4EF9">
            <w:r>
              <w:t>Non è chiaro come debba essere gestita una procedura aperta in accordo quadro. Come devono essere compilati i campi di una P1_16, P2_16 per dare evidenza che l’appalto è un accordo quadro?</w:t>
            </w:r>
          </w:p>
        </w:tc>
        <w:tc>
          <w:tcPr>
            <w:tcW w:w="4829" w:type="dxa"/>
          </w:tcPr>
          <w:p w14:paraId="557DEF16" w14:textId="0457E19F" w:rsidR="00A41086" w:rsidRPr="009B6F9E" w:rsidRDefault="009B6F9E" w:rsidP="009B6F9E">
            <w:pPr>
              <w:pStyle w:val="NormaleWeb"/>
              <w:spacing w:beforeAutospacing="0" w:after="120" w:afterAutospacing="0"/>
              <w:rPr>
                <w:rFonts w:ascii="Calibri" w:eastAsia="Calibri" w:hAnsi="Calibri" w:cs="Calibri"/>
                <w:color w:val="0070C0"/>
                <w:sz w:val="23"/>
                <w:szCs w:val="23"/>
                <w:lang w:eastAsia="en-US"/>
              </w:rPr>
            </w:pPr>
            <w:r w:rsidRPr="00E470A8">
              <w:rPr>
                <w:rFonts w:ascii="Calibri" w:eastAsia="Calibri" w:hAnsi="Calibri" w:cs="Calibri"/>
                <w:color w:val="0070C0"/>
                <w:sz w:val="23"/>
                <w:szCs w:val="23"/>
                <w:lang w:eastAsia="en-US"/>
              </w:rPr>
              <w:t>Per i contratti espletati secondo la modalità Accordo Quadro/Convenzione è necessario procedere alla registrazione in PCP e all’acquisizione del CIG avendo cura di selezionare nel campo ‘Framework Agreement’ dell’ eForm oppure nel campo ‘Accordo Quadro’ dell’AnacForm, una voce diversa da ‘none’ (‘nulla’) dell’elenco.</w:t>
            </w:r>
          </w:p>
        </w:tc>
      </w:tr>
      <w:tr w:rsidR="00A41086" w14:paraId="00FEA362" w14:textId="77777777" w:rsidTr="00D438F1">
        <w:tc>
          <w:tcPr>
            <w:tcW w:w="4799" w:type="dxa"/>
          </w:tcPr>
          <w:p w14:paraId="58122021" w14:textId="1ED171E0" w:rsidR="00A41086" w:rsidRDefault="000A4EF9">
            <w:r>
              <w:t>Non è chiaro quale sia la scheda per staccare CIG per le sponsorizzazioni, in particolare per le sponsorizzazioni tecniche.</w:t>
            </w:r>
          </w:p>
        </w:tc>
        <w:tc>
          <w:tcPr>
            <w:tcW w:w="4829" w:type="dxa"/>
          </w:tcPr>
          <w:p w14:paraId="4A6788F9" w14:textId="3A77510D" w:rsidR="00A41086" w:rsidRPr="009B6F9E" w:rsidRDefault="00E248ED" w:rsidP="00E248ED">
            <w:pPr>
              <w:rPr>
                <w:rFonts w:ascii="Calibri" w:eastAsia="Calibri" w:hAnsi="Calibri" w:cs="Calibri"/>
                <w:color w:val="0070C0"/>
                <w:sz w:val="23"/>
                <w:szCs w:val="23"/>
              </w:rPr>
            </w:pPr>
            <w:r>
              <w:rPr>
                <w:rFonts w:ascii="Calibri" w:eastAsia="Calibri" w:hAnsi="Calibri" w:cs="Calibri"/>
                <w:color w:val="0070C0"/>
                <w:sz w:val="23"/>
                <w:szCs w:val="23"/>
              </w:rPr>
              <w:t xml:space="preserve">per i </w:t>
            </w:r>
            <w:r w:rsidR="009A71F1">
              <w:rPr>
                <w:rFonts w:ascii="Calibri" w:eastAsia="Calibri" w:hAnsi="Calibri" w:cs="Calibri"/>
                <w:color w:val="0070C0"/>
                <w:sz w:val="23"/>
                <w:szCs w:val="23"/>
              </w:rPr>
              <w:t xml:space="preserve">contratti di sponsorizzazione tecnica </w:t>
            </w:r>
            <w:r>
              <w:rPr>
                <w:rFonts w:ascii="Calibri" w:eastAsia="Calibri" w:hAnsi="Calibri" w:cs="Calibri"/>
                <w:color w:val="0070C0"/>
                <w:sz w:val="23"/>
                <w:szCs w:val="23"/>
              </w:rPr>
              <w:t>(</w:t>
            </w:r>
            <w:r w:rsidR="009A71F1">
              <w:rPr>
                <w:rFonts w:ascii="Calibri" w:eastAsia="Calibri" w:hAnsi="Calibri" w:cs="Calibri"/>
                <w:color w:val="0070C0"/>
                <w:sz w:val="23"/>
                <w:szCs w:val="23"/>
              </w:rPr>
              <w:t>ex art. 134 co. 4 D. Lgs 36/2023)</w:t>
            </w:r>
            <w:r w:rsidRPr="009B6F9E">
              <w:rPr>
                <w:rFonts w:ascii="Calibri" w:eastAsia="Calibri" w:hAnsi="Calibri" w:cs="Calibri"/>
                <w:color w:val="0070C0"/>
                <w:sz w:val="23"/>
                <w:szCs w:val="23"/>
              </w:rPr>
              <w:t xml:space="preserve"> </w:t>
            </w:r>
            <w:r>
              <w:rPr>
                <w:rFonts w:ascii="Calibri" w:eastAsia="Calibri" w:hAnsi="Calibri" w:cs="Calibri"/>
                <w:color w:val="0070C0"/>
                <w:sz w:val="23"/>
                <w:szCs w:val="23"/>
              </w:rPr>
              <w:t xml:space="preserve">è </w:t>
            </w:r>
            <w:r w:rsidRPr="009B6F9E">
              <w:rPr>
                <w:rFonts w:ascii="Calibri" w:eastAsia="Calibri" w:hAnsi="Calibri" w:cs="Calibri"/>
                <w:color w:val="0070C0"/>
                <w:sz w:val="23"/>
                <w:szCs w:val="23"/>
              </w:rPr>
              <w:t>necessario utilizzare la scheda P3_1</w:t>
            </w:r>
          </w:p>
        </w:tc>
      </w:tr>
      <w:tr w:rsidR="00A41086" w14:paraId="23417A64" w14:textId="77777777" w:rsidTr="00D438F1">
        <w:tc>
          <w:tcPr>
            <w:tcW w:w="4799" w:type="dxa"/>
          </w:tcPr>
          <w:p w14:paraId="5DCB8DA3" w14:textId="7CDCB24B" w:rsidR="00A41086" w:rsidRDefault="000A4EF9">
            <w:r>
              <w:t>Non risulta chiaro come inserire in un formulario eForm E16 (per la pubblicazione di un bando, regime ordinario) la data di scadenza delle offerte prima dell’acquisizione del CIG.</w:t>
            </w:r>
          </w:p>
        </w:tc>
        <w:tc>
          <w:tcPr>
            <w:tcW w:w="4829" w:type="dxa"/>
          </w:tcPr>
          <w:p w14:paraId="65059C13" w14:textId="1156D2E5" w:rsidR="00A41086" w:rsidRDefault="0023061C">
            <w:r>
              <w:t>Si prega di fare riferimento alla documentazione pubblicata dal TED</w:t>
            </w:r>
          </w:p>
        </w:tc>
      </w:tr>
      <w:tr w:rsidR="00A41086" w14:paraId="7BE68EF0" w14:textId="77777777" w:rsidTr="00D438F1">
        <w:tc>
          <w:tcPr>
            <w:tcW w:w="4799" w:type="dxa"/>
          </w:tcPr>
          <w:p w14:paraId="2296CFFF" w14:textId="52E00BED" w:rsidR="00A41086" w:rsidRDefault="00A41086"/>
        </w:tc>
        <w:tc>
          <w:tcPr>
            <w:tcW w:w="4829" w:type="dxa"/>
          </w:tcPr>
          <w:p w14:paraId="0EB61F97" w14:textId="77777777" w:rsidR="00A41086" w:rsidRDefault="00A41086"/>
        </w:tc>
      </w:tr>
    </w:tbl>
    <w:p w14:paraId="068BB4D8" w14:textId="77777777" w:rsidR="00503843" w:rsidRDefault="00503843"/>
    <w:sectPr w:rsidR="005038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72D0A"/>
    <w:multiLevelType w:val="hybridMultilevel"/>
    <w:tmpl w:val="469C3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5538A9"/>
    <w:multiLevelType w:val="hybridMultilevel"/>
    <w:tmpl w:val="5E2074D6"/>
    <w:lvl w:ilvl="0" w:tplc="A7F01F4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69938476">
    <w:abstractNumId w:val="0"/>
  </w:num>
  <w:num w:numId="2" w16cid:durableId="1019548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086"/>
    <w:rsid w:val="00023006"/>
    <w:rsid w:val="000A4EF9"/>
    <w:rsid w:val="00184088"/>
    <w:rsid w:val="0023061C"/>
    <w:rsid w:val="002473ED"/>
    <w:rsid w:val="00247F58"/>
    <w:rsid w:val="002E738D"/>
    <w:rsid w:val="00305C7A"/>
    <w:rsid w:val="003708B6"/>
    <w:rsid w:val="004B0DD4"/>
    <w:rsid w:val="00503843"/>
    <w:rsid w:val="005C558A"/>
    <w:rsid w:val="006D3E96"/>
    <w:rsid w:val="0076432A"/>
    <w:rsid w:val="008511E5"/>
    <w:rsid w:val="009A71F1"/>
    <w:rsid w:val="009B6F9E"/>
    <w:rsid w:val="009D521B"/>
    <w:rsid w:val="00A128DD"/>
    <w:rsid w:val="00A41086"/>
    <w:rsid w:val="00A60347"/>
    <w:rsid w:val="00AA35EA"/>
    <w:rsid w:val="00BC4340"/>
    <w:rsid w:val="00BD6B7F"/>
    <w:rsid w:val="00BF4074"/>
    <w:rsid w:val="00C91F0B"/>
    <w:rsid w:val="00D04B6C"/>
    <w:rsid w:val="00D438F1"/>
    <w:rsid w:val="00E248ED"/>
    <w:rsid w:val="00E470A8"/>
    <w:rsid w:val="00E82CB1"/>
    <w:rsid w:val="00EA49D6"/>
    <w:rsid w:val="00EB1233"/>
    <w:rsid w:val="00EF2D00"/>
    <w:rsid w:val="00F11F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F84E"/>
  <w15:chartTrackingRefBased/>
  <w15:docId w15:val="{09EBF3F4-F792-47DC-B622-850B0A20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41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11FEE"/>
    <w:pPr>
      <w:ind w:left="720"/>
      <w:contextualSpacing/>
    </w:pPr>
  </w:style>
  <w:style w:type="paragraph" w:customStyle="1" w:styleId="Default">
    <w:name w:val="Default"/>
    <w:rsid w:val="00BD6B7F"/>
    <w:pPr>
      <w:suppressAutoHyphens/>
      <w:autoSpaceDE w:val="0"/>
      <w:autoSpaceDN w:val="0"/>
      <w:spacing w:after="0" w:line="240" w:lineRule="auto"/>
      <w:textAlignment w:val="baseline"/>
    </w:pPr>
    <w:rPr>
      <w:rFonts w:ascii="Calibri" w:eastAsia="Calibri" w:hAnsi="Calibri" w:cs="Calibri"/>
      <w:color w:val="000000"/>
      <w:sz w:val="24"/>
      <w:szCs w:val="24"/>
    </w:rPr>
  </w:style>
  <w:style w:type="paragraph" w:styleId="NormaleWeb">
    <w:name w:val="Normal (Web)"/>
    <w:basedOn w:val="Normale"/>
    <w:uiPriority w:val="99"/>
    <w:unhideWhenUsed/>
    <w:rsid w:val="00E470A8"/>
    <w:pPr>
      <w:spacing w:before="100" w:beforeAutospacing="1" w:after="100" w:afterAutospacing="1" w:line="240" w:lineRule="auto"/>
    </w:pPr>
    <w:rPr>
      <w:rFonts w:ascii="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5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1545</Words>
  <Characters>8812</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Pizziconi Michele</dc:creator>
  <cp:keywords/>
  <dc:description/>
  <cp:lastModifiedBy>Fuligni Stefano</cp:lastModifiedBy>
  <cp:revision>6</cp:revision>
  <cp:lastPrinted>2024-02-20T15:36:00Z</cp:lastPrinted>
  <dcterms:created xsi:type="dcterms:W3CDTF">2024-02-20T16:33:00Z</dcterms:created>
  <dcterms:modified xsi:type="dcterms:W3CDTF">2024-02-27T17:27:00Z</dcterms:modified>
</cp:coreProperties>
</file>