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A2D"/>
          <w:sz w:val="18"/>
          <w:szCs w:val="18"/>
        </w:rPr>
        <w:t xml:space="preserve">GET-FILLY</w:t>
      </w:r>
    </w:p>
    <w:p>
      <w:pPr>
        <w:spacing w:after="40"/>
      </w:pPr>
      <w:r>
        <w:rPr>
          <w:b/>
          <w:bCs/>
          <w:color w:val="18181B"/>
          <w:sz w:val="44"/>
          <w:szCs w:val="44"/>
        </w:rPr>
        <w:t xml:space="preserve">Detectie van rustige momenten</w:t>
      </w:r>
    </w:p>
    <w:p>
      <w:pPr>
        <w:spacing w:after="60"/>
      </w:pPr>
      <w:r>
        <w:rPr>
          <w:i/>
          <w:iCs/>
          <w:color w:val="52525B"/>
          <w:sz w:val="22"/>
          <w:szCs w:val="22"/>
        </w:rPr>
        <w:t xml:space="preserve">Hoe Filly per dagdeel voorspelt welke momenten waarschijnlijk een campagne nodig hebben, met volledig uitgerekende voorbeelden en de verantwoording van afgevallen methodes.</w:t>
      </w:r>
    </w:p>
    <w:p>
      <w:pPr>
        <w:pBdr>
          <w:bottom w:val="single" w:color="1F4A2D" w:sz="12" w:space="8"/>
        </w:pBdr>
        <w:spacing w:after="180"/>
      </w:pPr>
    </w:p>
    <w:p>
      <w:pPr>
        <w:pStyle w:val="Heading1"/>
        <w:spacing w:after="140" w:before="340"/>
      </w:pPr>
      <w:r>
        <w:rPr>
          <w:b/>
          <w:bCs/>
          <w:color w:val="1F4A2D"/>
        </w:rPr>
        <w:t xml:space="preserve">1. Wat het doet</w:t>
      </w:r>
    </w:p>
    <w:p>
      <w:pPr>
        <w:spacing w:after="120"/>
      </w:pPr>
      <w:r>
        <w:t xml:space="preserve">Filly bepaalt een paar dagen vooruit welke dagdelen (ochtend, lunch, middag, diner, avond) waarschijnlijk rustig zullen zijn, zodat je daar op tijd een gerichte actie op kunt zetten. Bewust voorspellend, niet reactief: het draait op het verwachte weekpatroon, niet op de live-drukte van het moment zelf.</w:t>
      </w:r>
    </w:p>
    <w:p>
      <w:pPr>
        <w:spacing w:after="120"/>
      </w:pPr>
      <w:r>
        <w:t xml:space="preserve">De uitkomst voedt drie plekken vanuit één bron: de markers op de bezettingsgrafiek, de rustige-momenten-blokjes in de Filly-chat, en de automatische campagne-detectie. Grafiek, chat en detectie tonen dus altijd hetzelfde.</w:t>
      </w:r>
    </w:p>
    <w:p>
      <w:pPr>
        <w:pStyle w:val="Heading1"/>
        <w:spacing w:after="140" w:before="340"/>
      </w:pPr>
      <w:r>
        <w:rPr>
          <w:b/>
          <w:bCs/>
          <w:color w:val="1F4A2D"/>
        </w:rPr>
        <w:t xml:space="preserve">2. De databron</w:t>
      </w:r>
    </w:p>
    <w:p>
      <w:pPr>
        <w:spacing w:after="120"/>
      </w:pPr>
      <w:r>
        <w:t xml:space="preserve">Input is Google “Populaire tijden”, via Apify, opgeslagen als weekpatroon van 7 dagen × 24 uur (relatieve drukte 0–100). Eén eigenschap stuurt veel keuzes verderop:</w:t>
      </w:r>
    </w:p>
    <w:tbl>
      <w:tblPr>
        <w:tblW w:type="dxa" w:w="9000"/>
        <w:tblBorders>
          <w:top w:val="single" w:color="1F4A2D" w:sz="2"/>
          <w:left w:val="single" w:color="1F4A2D" w:sz="12"/>
          <w:bottom w:val="single" w:color="1F4A2D" w:sz="2"/>
          <w:right w:val="single" w:color="1F4A2D" w:sz="2"/>
          <w:insideH w:val="none"/>
          <w:insideV w:val="none"/>
        </w:tblBorders>
      </w:tblPr>
      <w:tblGrid>
        <w:gridCol w:w="9000"/>
      </w:tblGrid>
      <w:tr>
        <w:tc>
          <w:tcPr>
            <w:tcW w:type="dxa" w:w="9000"/>
            <w:shd w:fill="EFE8D8" w:color="auto" w:val="clear"/>
            <w:tcMar>
              <w:top w:type="dxa" w:w="120"/>
              <w:left w:type="dxa" w:w="180"/>
              <w:bottom w:type="dxa" w:w="120"/>
              <w:right w:type="dxa" w:w="180"/>
            </w:tcMar>
          </w:tcPr>
          <w:p>
            <w:pPr>
              <w:spacing w:after="120"/>
            </w:pPr>
            <w:r>
              <w:rPr>
                <w:b/>
                <w:bCs/>
              </w:rPr>
              <w:t xml:space="preserve">Belangrijk: </w:t>
            </w:r>
            <w:r>
              <w:t xml:space="preserve">Google's percentages zijn per zaak genormaliseerd naar de eigen piek (drukste moment = 100%). Een rustige zaak en een bomvolle zaak pieken allebei op 100. Absolute niveaus zijn dus tussen zaken niet vergelijkbaar, alleen binnen dezelfde zaak.</w:t>
            </w:r>
          </w:p>
        </w:tc>
      </w:tr>
    </w:tbl>
    <w:p>
      <w:pPr>
        <w:pStyle w:val="Heading1"/>
        <w:spacing w:after="140" w:before="340"/>
      </w:pPr>
      <w:r>
        <w:rPr>
          <w:b/>
          <w:bCs/>
          <w:color w:val="1F4A2D"/>
        </w:rPr>
        <w:t xml:space="preserve">3. Dagdelen</w:t>
      </w:r>
    </w:p>
    <w:p>
      <w:pPr>
        <w:spacing w:after="120"/>
      </w:pPr>
      <w:r>
        <w:t xml:space="preserve">De dag is opgedeeld in vaste vensters, zodat “middag” elke dag hetzelfde blok is en dagen onderling vergelijkbaar blijven:</w:t>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tblGrid>
      <w:tr>
        <w:trPr>
          <w:tblHeader/>
        </w:trPr>
        <w:tc>
          <w:tcPr>
            <w:tcW w:type="dxa" w:w="2600"/>
            <w:shd w:fill="1F4A2D" w:color="auto" w:val="clear"/>
            <w:tcMar>
              <w:top w:type="dxa" w:w="50"/>
              <w:left w:type="dxa" w:w="90"/>
              <w:bottom w:type="dxa" w:w="50"/>
              <w:right w:type="dxa" w:w="90"/>
            </w:tcMar>
          </w:tcPr>
          <w:p>
            <w:r>
              <w:rPr>
                <w:b/>
                <w:bCs/>
                <w:color w:val="FFFFFF"/>
                <w:sz w:val="20"/>
                <w:szCs w:val="20"/>
              </w:rPr>
              <w:t xml:space="preserve">Dagdeel</w:t>
            </w:r>
          </w:p>
        </w:tc>
        <w:tc>
          <w:tcPr>
            <w:tcW w:type="dxa" w:w="3200"/>
            <w:shd w:fill="1F4A2D" w:color="auto" w:val="clear"/>
            <w:tcMar>
              <w:top w:type="dxa" w:w="50"/>
              <w:left w:type="dxa" w:w="90"/>
              <w:bottom w:type="dxa" w:w="50"/>
              <w:right w:type="dxa" w:w="90"/>
            </w:tcMar>
          </w:tcPr>
          <w:p>
            <w:pPr>
              <w:jc w:val="center"/>
            </w:pPr>
            <w:r>
              <w:rPr>
                <w:b/>
                <w:bCs/>
                <w:color w:val="FFFFFF"/>
                <w:sz w:val="20"/>
                <w:szCs w:val="20"/>
              </w:rPr>
              <w:t xml:space="preserve">Venster</w:t>
            </w:r>
          </w:p>
        </w:tc>
      </w:tr>
      <w:tr>
        <w:trPr>
          <w:tblHeader w:val="false"/>
        </w:trPr>
        <w:tc>
          <w:tcPr>
            <w:tcW w:type="dxa" w:w="2600"/>
            <w:tcMar>
              <w:top w:type="dxa" w:w="50"/>
              <w:left w:type="dxa" w:w="90"/>
              <w:bottom w:type="dxa" w:w="50"/>
              <w:right w:type="dxa" w:w="90"/>
            </w:tcMar>
          </w:tcPr>
          <w:p>
            <w:r>
              <w:rPr>
                <w:b w:val="false"/>
                <w:bCs w:val="false"/>
                <w:sz w:val="20"/>
                <w:szCs w:val="20"/>
              </w:rPr>
              <w:t xml:space="preserve">Ochtend</w:t>
            </w:r>
          </w:p>
        </w:tc>
        <w:tc>
          <w:tcPr>
            <w:tcW w:type="dxa" w:w="3200"/>
            <w:tcMar>
              <w:top w:type="dxa" w:w="50"/>
              <w:left w:type="dxa" w:w="90"/>
              <w:bottom w:type="dxa" w:w="50"/>
              <w:right w:type="dxa" w:w="90"/>
            </w:tcMar>
          </w:tcPr>
          <w:p>
            <w:pPr>
              <w:jc w:val="center"/>
            </w:pPr>
            <w:r>
              <w:rPr>
                <w:b w:val="false"/>
                <w:bCs w:val="false"/>
                <w:sz w:val="20"/>
                <w:szCs w:val="20"/>
              </w:rPr>
              <w:t xml:space="preserve">06:00 – 11:00</w:t>
            </w:r>
          </w:p>
        </w:tc>
      </w:tr>
      <w:tr>
        <w:trPr>
          <w:tblHeader w:val="false"/>
        </w:trPr>
        <w:tc>
          <w:tcPr>
            <w:tcW w:type="dxa" w:w="2600"/>
            <w:tcMar>
              <w:top w:type="dxa" w:w="50"/>
              <w:left w:type="dxa" w:w="90"/>
              <w:bottom w:type="dxa" w:w="50"/>
              <w:right w:type="dxa" w:w="90"/>
            </w:tcMar>
          </w:tcPr>
          <w:p>
            <w:r>
              <w:rPr>
                <w:b w:val="false"/>
                <w:bCs w:val="false"/>
                <w:sz w:val="20"/>
                <w:szCs w:val="20"/>
              </w:rPr>
              <w:t xml:space="preserve">Lunch</w:t>
            </w:r>
          </w:p>
        </w:tc>
        <w:tc>
          <w:tcPr>
            <w:tcW w:type="dxa" w:w="3200"/>
            <w:tcMar>
              <w:top w:type="dxa" w:w="50"/>
              <w:left w:type="dxa" w:w="90"/>
              <w:bottom w:type="dxa" w:w="50"/>
              <w:right w:type="dxa" w:w="90"/>
            </w:tcMar>
          </w:tcPr>
          <w:p>
            <w:pPr>
              <w:jc w:val="center"/>
            </w:pPr>
            <w:r>
              <w:rPr>
                <w:b w:val="false"/>
                <w:bCs w:val="false"/>
                <w:sz w:val="20"/>
                <w:szCs w:val="20"/>
              </w:rPr>
              <w:t xml:space="preserve">11:00 – 14:00</w:t>
            </w:r>
          </w:p>
        </w:tc>
      </w:tr>
      <w:tr>
        <w:trPr>
          <w:tblHeader w:val="false"/>
        </w:trPr>
        <w:tc>
          <w:tcPr>
            <w:tcW w:type="dxa" w:w="2600"/>
            <w:tcMar>
              <w:top w:type="dxa" w:w="50"/>
              <w:left w:type="dxa" w:w="90"/>
              <w:bottom w:type="dxa" w:w="50"/>
              <w:right w:type="dxa" w:w="90"/>
            </w:tcMar>
          </w:tcPr>
          <w:p>
            <w:r>
              <w:rPr>
                <w:b w:val="false"/>
                <w:bCs w:val="false"/>
                <w:sz w:val="20"/>
                <w:szCs w:val="20"/>
              </w:rPr>
              <w:t xml:space="preserve">Middag</w:t>
            </w:r>
          </w:p>
        </w:tc>
        <w:tc>
          <w:tcPr>
            <w:tcW w:type="dxa" w:w="3200"/>
            <w:tcMar>
              <w:top w:type="dxa" w:w="50"/>
              <w:left w:type="dxa" w:w="90"/>
              <w:bottom w:type="dxa" w:w="50"/>
              <w:right w:type="dxa" w:w="90"/>
            </w:tcMar>
          </w:tcPr>
          <w:p>
            <w:pPr>
              <w:jc w:val="center"/>
            </w:pPr>
            <w:r>
              <w:rPr>
                <w:b w:val="false"/>
                <w:bCs w:val="false"/>
                <w:sz w:val="20"/>
                <w:szCs w:val="20"/>
              </w:rPr>
              <w:t xml:space="preserve">14:00 – 17:00</w:t>
            </w:r>
          </w:p>
        </w:tc>
      </w:tr>
      <w:tr>
        <w:trPr>
          <w:tblHeader w:val="false"/>
        </w:trPr>
        <w:tc>
          <w:tcPr>
            <w:tcW w:type="dxa" w:w="2600"/>
            <w:tcMar>
              <w:top w:type="dxa" w:w="50"/>
              <w:left w:type="dxa" w:w="90"/>
              <w:bottom w:type="dxa" w:w="50"/>
              <w:right w:type="dxa" w:w="90"/>
            </w:tcMar>
          </w:tcPr>
          <w:p>
            <w:r>
              <w:rPr>
                <w:b w:val="false"/>
                <w:bCs w:val="false"/>
                <w:sz w:val="20"/>
                <w:szCs w:val="20"/>
              </w:rPr>
              <w:t xml:space="preserve">Diner</w:t>
            </w:r>
          </w:p>
        </w:tc>
        <w:tc>
          <w:tcPr>
            <w:tcW w:type="dxa" w:w="3200"/>
            <w:tcMar>
              <w:top w:type="dxa" w:w="50"/>
              <w:left w:type="dxa" w:w="90"/>
              <w:bottom w:type="dxa" w:w="50"/>
              <w:right w:type="dxa" w:w="90"/>
            </w:tcMar>
          </w:tcPr>
          <w:p>
            <w:pPr>
              <w:jc w:val="center"/>
            </w:pPr>
            <w:r>
              <w:rPr>
                <w:b w:val="false"/>
                <w:bCs w:val="false"/>
                <w:sz w:val="20"/>
                <w:szCs w:val="20"/>
              </w:rPr>
              <w:t xml:space="preserve">17:00 – 21:00</w:t>
            </w:r>
          </w:p>
        </w:tc>
      </w:tr>
      <w:tr>
        <w:trPr>
          <w:tblHeader w:val="false"/>
        </w:trPr>
        <w:tc>
          <w:tcPr>
            <w:tcW w:type="dxa" w:w="2600"/>
            <w:tcMar>
              <w:top w:type="dxa" w:w="50"/>
              <w:left w:type="dxa" w:w="90"/>
              <w:bottom w:type="dxa" w:w="50"/>
              <w:right w:type="dxa" w:w="90"/>
            </w:tcMar>
          </w:tcPr>
          <w:p>
            <w:r>
              <w:rPr>
                <w:b w:val="false"/>
                <w:bCs w:val="false"/>
                <w:sz w:val="20"/>
                <w:szCs w:val="20"/>
              </w:rPr>
              <w:t xml:space="preserve">Avond</w:t>
            </w:r>
          </w:p>
        </w:tc>
        <w:tc>
          <w:tcPr>
            <w:tcW w:type="dxa" w:w="3200"/>
            <w:tcMar>
              <w:top w:type="dxa" w:w="50"/>
              <w:left w:type="dxa" w:w="90"/>
              <w:bottom w:type="dxa" w:w="50"/>
              <w:right w:type="dxa" w:w="90"/>
            </w:tcMar>
          </w:tcPr>
          <w:p>
            <w:pPr>
              <w:jc w:val="center"/>
            </w:pPr>
            <w:r>
              <w:rPr>
                <w:b w:val="false"/>
                <w:bCs w:val="false"/>
                <w:sz w:val="20"/>
                <w:szCs w:val="20"/>
              </w:rPr>
              <w:t xml:space="preserve">21:00 – 00:00</w:t>
            </w:r>
          </w:p>
        </w:tc>
      </w:tr>
    </w:tbl>
    <w:p>
      <w:pPr>
        <w:spacing w:after="100"/>
      </w:pPr>
    </w:p>
    <w:p>
      <w:pPr>
        <w:pStyle w:val="ListParagraph"/>
        <w:numPr>
          <w:ilvl w:val="0"/>
          <w:numId w:val="2"/>
        </w:numPr>
        <w:spacing w:after="60"/>
      </w:pPr>
      <w:r>
        <w:t xml:space="preserve">Elk dagdeel wordt per zaak bijgesneden op de open uren (uren met drukte &gt; 0). Een dinner-only zaak krijgt geen ochtend/lunch; een lunchroom wél ochtend.</w:t>
      </w:r>
    </w:p>
    <w:p>
      <w:pPr>
        <w:pStyle w:val="ListParagraph"/>
        <w:numPr>
          <w:ilvl w:val="0"/>
          <w:numId w:val="2"/>
        </w:numPr>
        <w:spacing w:after="60"/>
      </w:pPr>
      <w:r>
        <w:t xml:space="preserve">De celwaarde is het gemiddelde per open uur.</w:t>
      </w:r>
    </w:p>
    <w:p>
      <w:pPr>
        <w:spacing w:after="120"/>
      </w:pPr>
      <w:r>
        <w:rPr>
          <w:b/>
          <w:bCs/>
        </w:rPr>
        <w:t xml:space="preserve">Rekenvoorbeeld — waarom “per open uur”: </w:t>
      </w:r>
      <w:r>
        <w:t xml:space="preserve">stel de zaak opent om 12:00, dus binnen het lunch-venster (11–14) zijn alleen 12u en 13u open, met drukte 30 en 55.</w:t>
      </w:r>
    </w:p>
    <w:p>
      <w:pPr>
        <w:spacing w:after="40"/>
        <w:ind w:left="240"/>
      </w:pPr>
      <w:r>
        <w:rPr>
          <w:rFonts w:ascii="Consolas" w:cs="Consolas" w:eastAsia="Consolas" w:hAnsi="Consolas"/>
          <w:color w:val="18181B"/>
          <w:sz w:val="20"/>
          <w:szCs w:val="20"/>
        </w:rPr>
        <w:t xml:space="preserve">Goed (delen door open uren):   (30 + 55) / 2  = 42,5</w:t>
      </w:r>
    </w:p>
    <w:p>
      <w:pPr>
        <w:spacing w:after="40"/>
        <w:ind w:left="240"/>
      </w:pPr>
      <w:r>
        <w:rPr>
          <w:rFonts w:ascii="Consolas" w:cs="Consolas" w:eastAsia="Consolas" w:hAnsi="Consolas"/>
          <w:color w:val="18181B"/>
          <w:sz w:val="20"/>
          <w:szCs w:val="20"/>
        </w:rPr>
        <w:t xml:space="preserve">Fout (dicht uur als 0):        (0 + 30 + 55) / 3 = 28,3</w:t>
      </w:r>
    </w:p>
    <w:p>
      <w:pPr>
        <w:spacing w:after="120"/>
      </w:pPr>
      <w:r>
        <w:t xml:space="preserve">Delen door het aantal open uren houdt de waarde eerlijk; een korter venster verlaagt de drukte niet kunstmatig. Een dagdeel met te weinig open uren (min-dekking) telt niet mee, tegen ruis.</w:t>
      </w:r>
    </w:p>
    <w:p>
      <w:pPr>
        <w:pStyle w:val="Heading1"/>
        <w:spacing w:after="140" w:before="340"/>
      </w:pPr>
      <w:r>
        <w:rPr>
          <w:b/>
          <w:bCs/>
          <w:color w:val="1F4A2D"/>
        </w:rPr>
        <w:t xml:space="preserve">4. De rekenwijze, volledig uitgerekend</w:t>
      </w:r>
    </w:p>
    <w:p>
      <w:pPr>
        <w:spacing w:after="120"/>
      </w:pPr>
      <w:r>
        <w:t xml:space="preserve">Per zaak ontstaat een rooster: rijen = weekdagen, kolommen = dagdelen, waarde = gemiddelde drukte per open uur. We nemen als voorbeeld een zaak die elke dag 11:00–23:00 open is.</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200"/>
        <w:gridCol w:w="1200"/>
        <w:gridCol w:w="1200"/>
        <w:gridCol w:w="1400"/>
      </w:tblGrid>
      <w:tr>
        <w:trPr>
          <w:tblHeader/>
        </w:trPr>
        <w:tc>
          <w:tcPr>
            <w:tcW w:type="dxa" w:w="1900"/>
            <w:shd w:fill="1F4A2D" w:color="auto" w:val="clear"/>
            <w:tcMar>
              <w:top w:type="dxa" w:w="50"/>
              <w:left w:type="dxa" w:w="90"/>
              <w:bottom w:type="dxa" w:w="50"/>
              <w:right w:type="dxa" w:w="90"/>
            </w:tcMar>
          </w:tcPr>
          <w:p>
            <w:r>
              <w:rPr>
                <w:b/>
                <w:bCs/>
                <w:color w:val="FFFFFF"/>
                <w:sz w:val="20"/>
                <w:szCs w:val="20"/>
              </w:rPr>
              <w:t xml:space="preserve"/>
            </w:r>
          </w:p>
        </w:tc>
        <w:tc>
          <w:tcPr>
            <w:tcW w:type="dxa" w:w="1200"/>
            <w:shd w:fill="1F4A2D" w:color="auto" w:val="clear"/>
            <w:tcMar>
              <w:top w:type="dxa" w:w="50"/>
              <w:left w:type="dxa" w:w="90"/>
              <w:bottom w:type="dxa" w:w="50"/>
              <w:right w:type="dxa" w:w="90"/>
            </w:tcMar>
          </w:tcPr>
          <w:p>
            <w:pPr>
              <w:jc w:val="center"/>
            </w:pPr>
            <w:r>
              <w:rPr>
                <w:b/>
                <w:bCs/>
                <w:color w:val="FFFFFF"/>
                <w:sz w:val="20"/>
                <w:szCs w:val="20"/>
              </w:rPr>
              <w:t xml:space="preserve">lunch</w:t>
            </w:r>
          </w:p>
        </w:tc>
        <w:tc>
          <w:tcPr>
            <w:tcW w:type="dxa" w:w="1200"/>
            <w:shd w:fill="1F4A2D" w:color="auto" w:val="clear"/>
            <w:tcMar>
              <w:top w:type="dxa" w:w="50"/>
              <w:left w:type="dxa" w:w="90"/>
              <w:bottom w:type="dxa" w:w="50"/>
              <w:right w:type="dxa" w:w="90"/>
            </w:tcMar>
          </w:tcPr>
          <w:p>
            <w:pPr>
              <w:jc w:val="center"/>
            </w:pPr>
            <w:r>
              <w:rPr>
                <w:b/>
                <w:bCs/>
                <w:color w:val="FFFFFF"/>
                <w:sz w:val="20"/>
                <w:szCs w:val="20"/>
              </w:rPr>
              <w:t xml:space="preserve">middag</w:t>
            </w:r>
          </w:p>
        </w:tc>
        <w:tc>
          <w:tcPr>
            <w:tcW w:type="dxa" w:w="1200"/>
            <w:shd w:fill="1F4A2D" w:color="auto" w:val="clear"/>
            <w:tcMar>
              <w:top w:type="dxa" w:w="50"/>
              <w:left w:type="dxa" w:w="90"/>
              <w:bottom w:type="dxa" w:w="50"/>
              <w:right w:type="dxa" w:w="90"/>
            </w:tcMar>
          </w:tcPr>
          <w:p>
            <w:pPr>
              <w:jc w:val="center"/>
            </w:pPr>
            <w:r>
              <w:rPr>
                <w:b/>
                <w:bCs/>
                <w:color w:val="FFFFFF"/>
                <w:sz w:val="20"/>
                <w:szCs w:val="20"/>
              </w:rPr>
              <w:t xml:space="preserve">diner</w:t>
            </w:r>
          </w:p>
        </w:tc>
        <w:tc>
          <w:tcPr>
            <w:tcW w:type="dxa" w:w="1200"/>
            <w:shd w:fill="1F4A2D" w:color="auto" w:val="clear"/>
            <w:tcMar>
              <w:top w:type="dxa" w:w="50"/>
              <w:left w:type="dxa" w:w="90"/>
              <w:bottom w:type="dxa" w:w="50"/>
              <w:right w:type="dxa" w:w="90"/>
            </w:tcMar>
          </w:tcPr>
          <w:p>
            <w:pPr>
              <w:jc w:val="center"/>
            </w:pPr>
            <w:r>
              <w:rPr>
                <w:b/>
                <w:bCs/>
                <w:color w:val="FFFFFF"/>
                <w:sz w:val="20"/>
                <w:szCs w:val="20"/>
              </w:rPr>
              <w:t xml:space="preserve">avond</w:t>
            </w:r>
          </w:p>
        </w:tc>
        <w:tc>
          <w:tcPr>
            <w:tcW w:type="dxa" w:w="1400"/>
            <w:shd w:fill="1F4A2D" w:color="auto" w:val="clear"/>
            <w:tcMar>
              <w:top w:type="dxa" w:w="50"/>
              <w:left w:type="dxa" w:w="90"/>
              <w:bottom w:type="dxa" w:w="50"/>
              <w:right w:type="dxa" w:w="90"/>
            </w:tcMar>
          </w:tcPr>
          <w:p>
            <w:r>
              <w:rPr>
                <w:b/>
                <w:bCs/>
                <w:color w:val="FFFFFF"/>
                <w:sz w:val="20"/>
                <w:szCs w:val="20"/>
              </w:rPr>
              <w:t xml:space="preserve">rij-gem.</w:t>
            </w:r>
          </w:p>
        </w:tc>
      </w:tr>
      <w:tr>
        <w:trPr>
          <w:tblHeader w:val="false"/>
        </w:trPr>
        <w:tc>
          <w:tcPr>
            <w:tcW w:type="dxa" w:w="1900"/>
            <w:tcMar>
              <w:top w:type="dxa" w:w="50"/>
              <w:left w:type="dxa" w:w="90"/>
              <w:bottom w:type="dxa" w:w="50"/>
              <w:right w:type="dxa" w:w="90"/>
            </w:tcMar>
          </w:tcPr>
          <w:p>
            <w:r>
              <w:rPr>
                <w:b w:val="false"/>
                <w:bCs w:val="false"/>
                <w:sz w:val="20"/>
                <w:szCs w:val="20"/>
              </w:rPr>
              <w:t xml:space="preserve">maandag</w:t>
            </w:r>
          </w:p>
        </w:tc>
        <w:tc>
          <w:tcPr>
            <w:tcW w:type="dxa" w:w="1200"/>
            <w:tcMar>
              <w:top w:type="dxa" w:w="50"/>
              <w:left w:type="dxa" w:w="90"/>
              <w:bottom w:type="dxa" w:w="50"/>
              <w:right w:type="dxa" w:w="90"/>
            </w:tcMar>
          </w:tcPr>
          <w:p>
            <w:pPr>
              <w:jc w:val="center"/>
            </w:pPr>
            <w:r>
              <w:rPr>
                <w:b w:val="false"/>
                <w:bCs w:val="false"/>
                <w:sz w:val="20"/>
                <w:szCs w:val="20"/>
              </w:rPr>
              <w:t xml:space="preserve">35</w:t>
            </w:r>
          </w:p>
        </w:tc>
        <w:tc>
          <w:tcPr>
            <w:tcW w:type="dxa" w:w="1200"/>
            <w:tcMar>
              <w:top w:type="dxa" w:w="50"/>
              <w:left w:type="dxa" w:w="90"/>
              <w:bottom w:type="dxa" w:w="50"/>
              <w:right w:type="dxa" w:w="90"/>
            </w:tcMar>
          </w:tcPr>
          <w:p>
            <w:pPr>
              <w:jc w:val="center"/>
            </w:pPr>
            <w:r>
              <w:rPr>
                <w:b w:val="false"/>
                <w:bCs w:val="false"/>
                <w:sz w:val="20"/>
                <w:szCs w:val="20"/>
              </w:rPr>
              <w:t xml:space="preserve">30</w:t>
            </w:r>
          </w:p>
        </w:tc>
        <w:tc>
          <w:tcPr>
            <w:tcW w:type="dxa" w:w="1200"/>
            <w:tcMar>
              <w:top w:type="dxa" w:w="50"/>
              <w:left w:type="dxa" w:w="90"/>
              <w:bottom w:type="dxa" w:w="50"/>
              <w:right w:type="dxa" w:w="90"/>
            </w:tcMar>
          </w:tcPr>
          <w:p>
            <w:pPr>
              <w:jc w:val="center"/>
            </w:pPr>
            <w:r>
              <w:rPr>
                <w:b w:val="false"/>
                <w:bCs w:val="false"/>
                <w:sz w:val="20"/>
                <w:szCs w:val="20"/>
              </w:rPr>
              <w:t xml:space="preserve">55</w:t>
            </w:r>
          </w:p>
        </w:tc>
        <w:tc>
          <w:tcPr>
            <w:tcW w:type="dxa" w:w="1200"/>
            <w:tcMar>
              <w:top w:type="dxa" w:w="50"/>
              <w:left w:type="dxa" w:w="90"/>
              <w:bottom w:type="dxa" w:w="50"/>
              <w:right w:type="dxa" w:w="90"/>
            </w:tcMar>
          </w:tcPr>
          <w:p>
            <w:pPr>
              <w:jc w:val="center"/>
            </w:pPr>
            <w:r>
              <w:rPr>
                <w:b w:val="false"/>
                <w:bCs w:val="false"/>
                <w:sz w:val="20"/>
                <w:szCs w:val="20"/>
              </w:rPr>
              <w:t xml:space="preserve">45</w:t>
            </w:r>
          </w:p>
        </w:tc>
        <w:tc>
          <w:tcPr>
            <w:tcW w:type="dxa" w:w="1400"/>
            <w:tcMar>
              <w:top w:type="dxa" w:w="50"/>
              <w:left w:type="dxa" w:w="90"/>
              <w:bottom w:type="dxa" w:w="50"/>
              <w:right w:type="dxa" w:w="90"/>
            </w:tcMar>
          </w:tcPr>
          <w:p>
            <w:r>
              <w:rPr>
                <w:b/>
                <w:bCs/>
                <w:sz w:val="20"/>
                <w:szCs w:val="20"/>
              </w:rPr>
              <w:t xml:space="preserve">41,3</w:t>
            </w:r>
          </w:p>
        </w:tc>
      </w:tr>
      <w:tr>
        <w:trPr>
          <w:tblHeader w:val="false"/>
        </w:trPr>
        <w:tc>
          <w:tcPr>
            <w:tcW w:type="dxa" w:w="1900"/>
            <w:tcMar>
              <w:top w:type="dxa" w:w="50"/>
              <w:left w:type="dxa" w:w="90"/>
              <w:bottom w:type="dxa" w:w="50"/>
              <w:right w:type="dxa" w:w="90"/>
            </w:tcMar>
          </w:tcPr>
          <w:p>
            <w:r>
              <w:rPr>
                <w:b w:val="false"/>
                <w:bCs w:val="false"/>
                <w:sz w:val="20"/>
                <w:szCs w:val="20"/>
              </w:rPr>
              <w:t xml:space="preserve">dinsdag</w:t>
            </w:r>
          </w:p>
        </w:tc>
        <w:tc>
          <w:tcPr>
            <w:tcW w:type="dxa" w:w="1200"/>
            <w:tcMar>
              <w:top w:type="dxa" w:w="50"/>
              <w:left w:type="dxa" w:w="90"/>
              <w:bottom w:type="dxa" w:w="50"/>
              <w:right w:type="dxa" w:w="90"/>
            </w:tcMar>
          </w:tcPr>
          <w:p>
            <w:pPr>
              <w:jc w:val="center"/>
            </w:pPr>
            <w:r>
              <w:rPr>
                <w:b w:val="false"/>
                <w:bCs w:val="false"/>
                <w:sz w:val="20"/>
                <w:szCs w:val="20"/>
              </w:rPr>
              <w:t xml:space="preserve">35</w:t>
            </w:r>
          </w:p>
        </w:tc>
        <w:tc>
          <w:tcPr>
            <w:tcW w:type="dxa" w:w="1200"/>
            <w:tcMar>
              <w:top w:type="dxa" w:w="50"/>
              <w:left w:type="dxa" w:w="90"/>
              <w:bottom w:type="dxa" w:w="50"/>
              <w:right w:type="dxa" w:w="90"/>
            </w:tcMar>
          </w:tcPr>
          <w:p>
            <w:pPr>
              <w:jc w:val="center"/>
            </w:pPr>
            <w:r>
              <w:rPr>
                <w:b w:val="false"/>
                <w:bCs w:val="false"/>
                <w:sz w:val="20"/>
                <w:szCs w:val="20"/>
              </w:rPr>
              <w:t xml:space="preserve">30</w:t>
            </w:r>
          </w:p>
        </w:tc>
        <w:tc>
          <w:tcPr>
            <w:tcW w:type="dxa" w:w="1200"/>
            <w:tcMar>
              <w:top w:type="dxa" w:w="50"/>
              <w:left w:type="dxa" w:w="90"/>
              <w:bottom w:type="dxa" w:w="50"/>
              <w:right w:type="dxa" w:w="90"/>
            </w:tcMar>
          </w:tcPr>
          <w:p>
            <w:pPr>
              <w:jc w:val="center"/>
            </w:pPr>
            <w:r>
              <w:rPr>
                <w:b w:val="false"/>
                <w:bCs w:val="false"/>
                <w:sz w:val="20"/>
                <w:szCs w:val="20"/>
              </w:rPr>
              <w:t xml:space="preserve">60</w:t>
            </w:r>
          </w:p>
        </w:tc>
        <w:tc>
          <w:tcPr>
            <w:tcW w:type="dxa" w:w="1200"/>
            <w:tcMar>
              <w:top w:type="dxa" w:w="50"/>
              <w:left w:type="dxa" w:w="90"/>
              <w:bottom w:type="dxa" w:w="50"/>
              <w:right w:type="dxa" w:w="90"/>
            </w:tcMar>
          </w:tcPr>
          <w:p>
            <w:pPr>
              <w:jc w:val="center"/>
            </w:pPr>
            <w:r>
              <w:rPr>
                <w:b w:val="false"/>
                <w:bCs w:val="false"/>
                <w:sz w:val="20"/>
                <w:szCs w:val="20"/>
              </w:rPr>
              <w:t xml:space="preserve">50</w:t>
            </w:r>
          </w:p>
        </w:tc>
        <w:tc>
          <w:tcPr>
            <w:tcW w:type="dxa" w:w="1400"/>
            <w:tcMar>
              <w:top w:type="dxa" w:w="50"/>
              <w:left w:type="dxa" w:w="90"/>
              <w:bottom w:type="dxa" w:w="50"/>
              <w:right w:type="dxa" w:w="90"/>
            </w:tcMar>
          </w:tcPr>
          <w:p>
            <w:r>
              <w:rPr>
                <w:b/>
                <w:bCs/>
                <w:sz w:val="20"/>
                <w:szCs w:val="20"/>
              </w:rPr>
              <w:t xml:space="preserve">43,8</w:t>
            </w:r>
          </w:p>
        </w:tc>
      </w:tr>
      <w:tr>
        <w:trPr>
          <w:tblHeader w:val="false"/>
        </w:trPr>
        <w:tc>
          <w:tcPr>
            <w:tcW w:type="dxa" w:w="1900"/>
            <w:tcMar>
              <w:top w:type="dxa" w:w="50"/>
              <w:left w:type="dxa" w:w="90"/>
              <w:bottom w:type="dxa" w:w="50"/>
              <w:right w:type="dxa" w:w="90"/>
            </w:tcMar>
          </w:tcPr>
          <w:p>
            <w:r>
              <w:rPr>
                <w:b w:val="false"/>
                <w:bCs w:val="false"/>
                <w:sz w:val="20"/>
                <w:szCs w:val="20"/>
              </w:rPr>
              <w:t xml:space="preserve">woensdag</w:t>
            </w:r>
          </w:p>
        </w:tc>
        <w:tc>
          <w:tcPr>
            <w:tcW w:type="dxa" w:w="1200"/>
            <w:tcMar>
              <w:top w:type="dxa" w:w="50"/>
              <w:left w:type="dxa" w:w="90"/>
              <w:bottom w:type="dxa" w:w="50"/>
              <w:right w:type="dxa" w:w="90"/>
            </w:tcMar>
          </w:tcPr>
          <w:p>
            <w:pPr>
              <w:jc w:val="center"/>
            </w:pPr>
            <w:r>
              <w:rPr>
                <w:b w:val="false"/>
                <w:bCs w:val="false"/>
                <w:sz w:val="20"/>
                <w:szCs w:val="20"/>
              </w:rPr>
              <w:t xml:space="preserve">40</w:t>
            </w:r>
          </w:p>
        </w:tc>
        <w:tc>
          <w:tcPr>
            <w:tcW w:type="dxa" w:w="1200"/>
            <w:tcMar>
              <w:top w:type="dxa" w:w="50"/>
              <w:left w:type="dxa" w:w="90"/>
              <w:bottom w:type="dxa" w:w="50"/>
              <w:right w:type="dxa" w:w="90"/>
            </w:tcMar>
          </w:tcPr>
          <w:p>
            <w:pPr>
              <w:jc w:val="center"/>
            </w:pPr>
            <w:r>
              <w:rPr>
                <w:b w:val="false"/>
                <w:bCs w:val="false"/>
                <w:sz w:val="20"/>
                <w:szCs w:val="20"/>
              </w:rPr>
              <w:t xml:space="preserve">35</w:t>
            </w:r>
          </w:p>
        </w:tc>
        <w:tc>
          <w:tcPr>
            <w:tcW w:type="dxa" w:w="1200"/>
            <w:tcMar>
              <w:top w:type="dxa" w:w="50"/>
              <w:left w:type="dxa" w:w="90"/>
              <w:bottom w:type="dxa" w:w="50"/>
              <w:right w:type="dxa" w:w="90"/>
            </w:tcMar>
          </w:tcPr>
          <w:p>
            <w:pPr>
              <w:jc w:val="center"/>
            </w:pPr>
            <w:r>
              <w:rPr>
                <w:b w:val="false"/>
                <w:bCs w:val="false"/>
                <w:sz w:val="20"/>
                <w:szCs w:val="20"/>
              </w:rPr>
              <w:t xml:space="preserve">65</w:t>
            </w:r>
          </w:p>
        </w:tc>
        <w:tc>
          <w:tcPr>
            <w:tcW w:type="dxa" w:w="1200"/>
            <w:tcMar>
              <w:top w:type="dxa" w:w="50"/>
              <w:left w:type="dxa" w:w="90"/>
              <w:bottom w:type="dxa" w:w="50"/>
              <w:right w:type="dxa" w:w="90"/>
            </w:tcMar>
          </w:tcPr>
          <w:p>
            <w:pPr>
              <w:jc w:val="center"/>
            </w:pPr>
            <w:r>
              <w:rPr>
                <w:b w:val="false"/>
                <w:bCs w:val="false"/>
                <w:sz w:val="20"/>
                <w:szCs w:val="20"/>
              </w:rPr>
              <w:t xml:space="preserve">50</w:t>
            </w:r>
          </w:p>
        </w:tc>
        <w:tc>
          <w:tcPr>
            <w:tcW w:type="dxa" w:w="1400"/>
            <w:tcMar>
              <w:top w:type="dxa" w:w="50"/>
              <w:left w:type="dxa" w:w="90"/>
              <w:bottom w:type="dxa" w:w="50"/>
              <w:right w:type="dxa" w:w="90"/>
            </w:tcMar>
          </w:tcPr>
          <w:p>
            <w:r>
              <w:rPr>
                <w:b/>
                <w:bCs/>
                <w:sz w:val="20"/>
                <w:szCs w:val="20"/>
              </w:rPr>
              <w:t xml:space="preserve">47,5</w:t>
            </w:r>
          </w:p>
        </w:tc>
      </w:tr>
      <w:tr>
        <w:trPr>
          <w:tblHeader w:val="false"/>
        </w:trPr>
        <w:tc>
          <w:tcPr>
            <w:tcW w:type="dxa" w:w="1900"/>
            <w:tcMar>
              <w:top w:type="dxa" w:w="50"/>
              <w:left w:type="dxa" w:w="90"/>
              <w:bottom w:type="dxa" w:w="50"/>
              <w:right w:type="dxa" w:w="90"/>
            </w:tcMar>
          </w:tcPr>
          <w:p>
            <w:r>
              <w:rPr>
                <w:b w:val="false"/>
                <w:bCs w:val="false"/>
                <w:sz w:val="20"/>
                <w:szCs w:val="20"/>
              </w:rPr>
              <w:t xml:space="preserve">donderdag</w:t>
            </w:r>
          </w:p>
        </w:tc>
        <w:tc>
          <w:tcPr>
            <w:tcW w:type="dxa" w:w="1200"/>
            <w:tcMar>
              <w:top w:type="dxa" w:w="50"/>
              <w:left w:type="dxa" w:w="90"/>
              <w:bottom w:type="dxa" w:w="50"/>
              <w:right w:type="dxa" w:w="90"/>
            </w:tcMar>
          </w:tcPr>
          <w:p>
            <w:pPr>
              <w:jc w:val="center"/>
            </w:pPr>
            <w:r>
              <w:rPr>
                <w:b w:val="false"/>
                <w:bCs w:val="false"/>
                <w:sz w:val="20"/>
                <w:szCs w:val="20"/>
              </w:rPr>
              <w:t xml:space="preserve">45</w:t>
            </w:r>
          </w:p>
        </w:tc>
        <w:tc>
          <w:tcPr>
            <w:tcW w:type="dxa" w:w="1200"/>
            <w:shd w:fill="FCE9D6" w:color="auto" w:val="clear"/>
            <w:tcMar>
              <w:top w:type="dxa" w:w="50"/>
              <w:left w:type="dxa" w:w="90"/>
              <w:bottom w:type="dxa" w:w="50"/>
              <w:right w:type="dxa" w:w="90"/>
            </w:tcMar>
          </w:tcPr>
          <w:p>
            <w:r>
              <w:rPr>
                <w:b/>
                <w:bCs/>
                <w:sz w:val="20"/>
                <w:szCs w:val="20"/>
              </w:rPr>
              <w:t xml:space="preserve">20</w:t>
            </w:r>
          </w:p>
        </w:tc>
        <w:tc>
          <w:tcPr>
            <w:tcW w:type="dxa" w:w="1200"/>
            <w:tcMar>
              <w:top w:type="dxa" w:w="50"/>
              <w:left w:type="dxa" w:w="90"/>
              <w:bottom w:type="dxa" w:w="50"/>
              <w:right w:type="dxa" w:w="90"/>
            </w:tcMar>
          </w:tcPr>
          <w:p>
            <w:pPr>
              <w:jc w:val="center"/>
            </w:pPr>
            <w:r>
              <w:rPr>
                <w:b w:val="false"/>
                <w:bCs w:val="false"/>
                <w:sz w:val="20"/>
                <w:szCs w:val="20"/>
              </w:rPr>
              <w:t xml:space="preserve">70</w:t>
            </w:r>
          </w:p>
        </w:tc>
        <w:tc>
          <w:tcPr>
            <w:tcW w:type="dxa" w:w="1200"/>
            <w:tcMar>
              <w:top w:type="dxa" w:w="50"/>
              <w:left w:type="dxa" w:w="90"/>
              <w:bottom w:type="dxa" w:w="50"/>
              <w:right w:type="dxa" w:w="90"/>
            </w:tcMar>
          </w:tcPr>
          <w:p>
            <w:pPr>
              <w:jc w:val="center"/>
            </w:pPr>
            <w:r>
              <w:rPr>
                <w:b w:val="false"/>
                <w:bCs w:val="false"/>
                <w:sz w:val="20"/>
                <w:szCs w:val="20"/>
              </w:rPr>
              <w:t xml:space="preserve">55</w:t>
            </w:r>
          </w:p>
        </w:tc>
        <w:tc>
          <w:tcPr>
            <w:tcW w:type="dxa" w:w="1400"/>
            <w:tcMar>
              <w:top w:type="dxa" w:w="50"/>
              <w:left w:type="dxa" w:w="90"/>
              <w:bottom w:type="dxa" w:w="50"/>
              <w:right w:type="dxa" w:w="90"/>
            </w:tcMar>
          </w:tcPr>
          <w:p>
            <w:r>
              <w:rPr>
                <w:b/>
                <w:bCs/>
                <w:sz w:val="20"/>
                <w:szCs w:val="20"/>
              </w:rPr>
              <w:t xml:space="preserve">47,5</w:t>
            </w:r>
          </w:p>
        </w:tc>
      </w:tr>
      <w:tr>
        <w:trPr>
          <w:tblHeader w:val="false"/>
        </w:trPr>
        <w:tc>
          <w:tcPr>
            <w:tcW w:type="dxa" w:w="1900"/>
            <w:tcMar>
              <w:top w:type="dxa" w:w="50"/>
              <w:left w:type="dxa" w:w="90"/>
              <w:bottom w:type="dxa" w:w="50"/>
              <w:right w:type="dxa" w:w="90"/>
            </w:tcMar>
          </w:tcPr>
          <w:p>
            <w:r>
              <w:rPr>
                <w:b w:val="false"/>
                <w:bCs w:val="false"/>
                <w:sz w:val="20"/>
                <w:szCs w:val="20"/>
              </w:rPr>
              <w:t xml:space="preserve">vrijdag</w:t>
            </w:r>
          </w:p>
        </w:tc>
        <w:tc>
          <w:tcPr>
            <w:tcW w:type="dxa" w:w="1200"/>
            <w:tcMar>
              <w:top w:type="dxa" w:w="50"/>
              <w:left w:type="dxa" w:w="90"/>
              <w:bottom w:type="dxa" w:w="50"/>
              <w:right w:type="dxa" w:w="90"/>
            </w:tcMar>
          </w:tcPr>
          <w:p>
            <w:pPr>
              <w:jc w:val="center"/>
            </w:pPr>
            <w:r>
              <w:rPr>
                <w:b w:val="false"/>
                <w:bCs w:val="false"/>
                <w:sz w:val="20"/>
                <w:szCs w:val="20"/>
              </w:rPr>
              <w:t xml:space="preserve">50</w:t>
            </w:r>
          </w:p>
        </w:tc>
        <w:tc>
          <w:tcPr>
            <w:tcW w:type="dxa" w:w="1200"/>
            <w:tcMar>
              <w:top w:type="dxa" w:w="50"/>
              <w:left w:type="dxa" w:w="90"/>
              <w:bottom w:type="dxa" w:w="50"/>
              <w:right w:type="dxa" w:w="90"/>
            </w:tcMar>
          </w:tcPr>
          <w:p>
            <w:pPr>
              <w:jc w:val="center"/>
            </w:pPr>
            <w:r>
              <w:rPr>
                <w:b w:val="false"/>
                <w:bCs w:val="false"/>
                <w:sz w:val="20"/>
                <w:szCs w:val="20"/>
              </w:rPr>
              <w:t xml:space="preserve">45</w:t>
            </w:r>
          </w:p>
        </w:tc>
        <w:tc>
          <w:tcPr>
            <w:tcW w:type="dxa" w:w="1200"/>
            <w:tcMar>
              <w:top w:type="dxa" w:w="50"/>
              <w:left w:type="dxa" w:w="90"/>
              <w:bottom w:type="dxa" w:w="50"/>
              <w:right w:type="dxa" w:w="90"/>
            </w:tcMar>
          </w:tcPr>
          <w:p>
            <w:pPr>
              <w:jc w:val="center"/>
            </w:pPr>
            <w:r>
              <w:rPr>
                <w:b w:val="false"/>
                <w:bCs w:val="false"/>
                <w:sz w:val="20"/>
                <w:szCs w:val="20"/>
              </w:rPr>
              <w:t xml:space="preserve">80</w:t>
            </w:r>
          </w:p>
        </w:tc>
        <w:tc>
          <w:tcPr>
            <w:tcW w:type="dxa" w:w="1200"/>
            <w:tcMar>
              <w:top w:type="dxa" w:w="50"/>
              <w:left w:type="dxa" w:w="90"/>
              <w:bottom w:type="dxa" w:w="50"/>
              <w:right w:type="dxa" w:w="90"/>
            </w:tcMar>
          </w:tcPr>
          <w:p>
            <w:pPr>
              <w:jc w:val="center"/>
            </w:pPr>
            <w:r>
              <w:rPr>
                <w:b w:val="false"/>
                <w:bCs w:val="false"/>
                <w:sz w:val="20"/>
                <w:szCs w:val="20"/>
              </w:rPr>
              <w:t xml:space="preserve">65</w:t>
            </w:r>
          </w:p>
        </w:tc>
        <w:tc>
          <w:tcPr>
            <w:tcW w:type="dxa" w:w="1400"/>
            <w:tcMar>
              <w:top w:type="dxa" w:w="50"/>
              <w:left w:type="dxa" w:w="90"/>
              <w:bottom w:type="dxa" w:w="50"/>
              <w:right w:type="dxa" w:w="90"/>
            </w:tcMar>
          </w:tcPr>
          <w:p>
            <w:r>
              <w:rPr>
                <w:b/>
                <w:bCs/>
                <w:sz w:val="20"/>
                <w:szCs w:val="20"/>
              </w:rPr>
              <w:t xml:space="preserve">60,0</w:t>
            </w:r>
          </w:p>
        </w:tc>
      </w:tr>
      <w:tr>
        <w:trPr>
          <w:tblHeader w:val="false"/>
        </w:trPr>
        <w:tc>
          <w:tcPr>
            <w:tcW w:type="dxa" w:w="1900"/>
            <w:tcMar>
              <w:top w:type="dxa" w:w="50"/>
              <w:left w:type="dxa" w:w="90"/>
              <w:bottom w:type="dxa" w:w="50"/>
              <w:right w:type="dxa" w:w="90"/>
            </w:tcMar>
          </w:tcPr>
          <w:p>
            <w:r>
              <w:rPr>
                <w:b w:val="false"/>
                <w:bCs w:val="false"/>
                <w:sz w:val="20"/>
                <w:szCs w:val="20"/>
              </w:rPr>
              <w:t xml:space="preserve">zaterdag</w:t>
            </w:r>
          </w:p>
        </w:tc>
        <w:tc>
          <w:tcPr>
            <w:tcW w:type="dxa" w:w="1200"/>
            <w:tcMar>
              <w:top w:type="dxa" w:w="50"/>
              <w:left w:type="dxa" w:w="90"/>
              <w:bottom w:type="dxa" w:w="50"/>
              <w:right w:type="dxa" w:w="90"/>
            </w:tcMar>
          </w:tcPr>
          <w:p>
            <w:pPr>
              <w:jc w:val="center"/>
            </w:pPr>
            <w:r>
              <w:rPr>
                <w:b w:val="false"/>
                <w:bCs w:val="false"/>
                <w:sz w:val="20"/>
                <w:szCs w:val="20"/>
              </w:rPr>
              <w:t xml:space="preserve">55</w:t>
            </w:r>
          </w:p>
        </w:tc>
        <w:tc>
          <w:tcPr>
            <w:tcW w:type="dxa" w:w="1200"/>
            <w:tcMar>
              <w:top w:type="dxa" w:w="50"/>
              <w:left w:type="dxa" w:w="90"/>
              <w:bottom w:type="dxa" w:w="50"/>
              <w:right w:type="dxa" w:w="90"/>
            </w:tcMar>
          </w:tcPr>
          <w:p>
            <w:pPr>
              <w:jc w:val="center"/>
            </w:pPr>
            <w:r>
              <w:rPr>
                <w:b w:val="false"/>
                <w:bCs w:val="false"/>
                <w:sz w:val="20"/>
                <w:szCs w:val="20"/>
              </w:rPr>
              <w:t xml:space="preserve">55</w:t>
            </w:r>
          </w:p>
        </w:tc>
        <w:tc>
          <w:tcPr>
            <w:tcW w:type="dxa" w:w="1200"/>
            <w:tcMar>
              <w:top w:type="dxa" w:w="50"/>
              <w:left w:type="dxa" w:w="90"/>
              <w:bottom w:type="dxa" w:w="50"/>
              <w:right w:type="dxa" w:w="90"/>
            </w:tcMar>
          </w:tcPr>
          <w:p>
            <w:pPr>
              <w:jc w:val="center"/>
            </w:pPr>
            <w:r>
              <w:rPr>
                <w:b w:val="false"/>
                <w:bCs w:val="false"/>
                <w:sz w:val="20"/>
                <w:szCs w:val="20"/>
              </w:rPr>
              <w:t xml:space="preserve">85</w:t>
            </w:r>
          </w:p>
        </w:tc>
        <w:tc>
          <w:tcPr>
            <w:tcW w:type="dxa" w:w="1200"/>
            <w:tcMar>
              <w:top w:type="dxa" w:w="50"/>
              <w:left w:type="dxa" w:w="90"/>
              <w:bottom w:type="dxa" w:w="50"/>
              <w:right w:type="dxa" w:w="90"/>
            </w:tcMar>
          </w:tcPr>
          <w:p>
            <w:pPr>
              <w:jc w:val="center"/>
            </w:pPr>
            <w:r>
              <w:rPr>
                <w:b w:val="false"/>
                <w:bCs w:val="false"/>
                <w:sz w:val="20"/>
                <w:szCs w:val="20"/>
              </w:rPr>
              <w:t xml:space="preserve">75</w:t>
            </w:r>
          </w:p>
        </w:tc>
        <w:tc>
          <w:tcPr>
            <w:tcW w:type="dxa" w:w="1400"/>
            <w:tcMar>
              <w:top w:type="dxa" w:w="50"/>
              <w:left w:type="dxa" w:w="90"/>
              <w:bottom w:type="dxa" w:w="50"/>
              <w:right w:type="dxa" w:w="90"/>
            </w:tcMar>
          </w:tcPr>
          <w:p>
            <w:r>
              <w:rPr>
                <w:b/>
                <w:bCs/>
                <w:sz w:val="20"/>
                <w:szCs w:val="20"/>
              </w:rPr>
              <w:t xml:space="preserve">67,5</w:t>
            </w:r>
          </w:p>
        </w:tc>
      </w:tr>
      <w:tr>
        <w:trPr>
          <w:tblHeader w:val="false"/>
        </w:trPr>
        <w:tc>
          <w:tcPr>
            <w:tcW w:type="dxa" w:w="1900"/>
            <w:tcMar>
              <w:top w:type="dxa" w:w="50"/>
              <w:left w:type="dxa" w:w="90"/>
              <w:bottom w:type="dxa" w:w="50"/>
              <w:right w:type="dxa" w:w="90"/>
            </w:tcMar>
          </w:tcPr>
          <w:p>
            <w:r>
              <w:rPr>
                <w:b w:val="false"/>
                <w:bCs w:val="false"/>
                <w:sz w:val="20"/>
                <w:szCs w:val="20"/>
              </w:rPr>
              <w:t xml:space="preserve">zondag</w:t>
            </w:r>
          </w:p>
        </w:tc>
        <w:tc>
          <w:tcPr>
            <w:tcW w:type="dxa" w:w="1200"/>
            <w:tcMar>
              <w:top w:type="dxa" w:w="50"/>
              <w:left w:type="dxa" w:w="90"/>
              <w:bottom w:type="dxa" w:w="50"/>
              <w:right w:type="dxa" w:w="90"/>
            </w:tcMar>
          </w:tcPr>
          <w:p>
            <w:pPr>
              <w:jc w:val="center"/>
            </w:pPr>
            <w:r>
              <w:rPr>
                <w:b w:val="false"/>
                <w:bCs w:val="false"/>
                <w:sz w:val="20"/>
                <w:szCs w:val="20"/>
              </w:rPr>
              <w:t xml:space="preserve">45</w:t>
            </w:r>
          </w:p>
        </w:tc>
        <w:tc>
          <w:tcPr>
            <w:tcW w:type="dxa" w:w="1200"/>
            <w:tcMar>
              <w:top w:type="dxa" w:w="50"/>
              <w:left w:type="dxa" w:w="90"/>
              <w:bottom w:type="dxa" w:w="50"/>
              <w:right w:type="dxa" w:w="90"/>
            </w:tcMar>
          </w:tcPr>
          <w:p>
            <w:pPr>
              <w:jc w:val="center"/>
            </w:pPr>
            <w:r>
              <w:rPr>
                <w:b w:val="false"/>
                <w:bCs w:val="false"/>
                <w:sz w:val="20"/>
                <w:szCs w:val="20"/>
              </w:rPr>
              <w:t xml:space="preserve">40</w:t>
            </w:r>
          </w:p>
        </w:tc>
        <w:tc>
          <w:tcPr>
            <w:tcW w:type="dxa" w:w="1200"/>
            <w:tcMar>
              <w:top w:type="dxa" w:w="50"/>
              <w:left w:type="dxa" w:w="90"/>
              <w:bottom w:type="dxa" w:w="50"/>
              <w:right w:type="dxa" w:w="90"/>
            </w:tcMar>
          </w:tcPr>
          <w:p>
            <w:pPr>
              <w:jc w:val="center"/>
            </w:pPr>
            <w:r>
              <w:rPr>
                <w:b w:val="false"/>
                <w:bCs w:val="false"/>
                <w:sz w:val="20"/>
                <w:szCs w:val="20"/>
              </w:rPr>
              <w:t xml:space="preserve">75</w:t>
            </w:r>
          </w:p>
        </w:tc>
        <w:tc>
          <w:tcPr>
            <w:tcW w:type="dxa" w:w="1200"/>
            <w:tcMar>
              <w:top w:type="dxa" w:w="50"/>
              <w:left w:type="dxa" w:w="90"/>
              <w:bottom w:type="dxa" w:w="50"/>
              <w:right w:type="dxa" w:w="90"/>
            </w:tcMar>
          </w:tcPr>
          <w:p>
            <w:pPr>
              <w:jc w:val="center"/>
            </w:pPr>
            <w:r>
              <w:rPr>
                <w:b w:val="false"/>
                <w:bCs w:val="false"/>
                <w:sz w:val="20"/>
                <w:szCs w:val="20"/>
              </w:rPr>
              <w:t xml:space="preserve">60</w:t>
            </w:r>
          </w:p>
        </w:tc>
        <w:tc>
          <w:tcPr>
            <w:tcW w:type="dxa" w:w="1400"/>
            <w:tcMar>
              <w:top w:type="dxa" w:w="50"/>
              <w:left w:type="dxa" w:w="90"/>
              <w:bottom w:type="dxa" w:w="50"/>
              <w:right w:type="dxa" w:w="90"/>
            </w:tcMar>
          </w:tcPr>
          <w:p>
            <w:r>
              <w:rPr>
                <w:b/>
                <w:bCs/>
                <w:sz w:val="20"/>
                <w:szCs w:val="20"/>
              </w:rPr>
              <w:t xml:space="preserve">55,0</w:t>
            </w:r>
          </w:p>
        </w:tc>
      </w:tr>
      <w:tr>
        <w:trPr>
          <w:tblHeader w:val="false"/>
        </w:trPr>
        <w:tc>
          <w:tcPr>
            <w:tcW w:type="dxa" w:w="1900"/>
            <w:shd w:fill="FCE9D6" w:color="auto" w:val="clear"/>
            <w:tcMar>
              <w:top w:type="dxa" w:w="50"/>
              <w:left w:type="dxa" w:w="90"/>
              <w:bottom w:type="dxa" w:w="50"/>
              <w:right w:type="dxa" w:w="90"/>
            </w:tcMar>
          </w:tcPr>
          <w:p>
            <w:r>
              <w:rPr>
                <w:b/>
                <w:bCs/>
                <w:sz w:val="20"/>
                <w:szCs w:val="20"/>
              </w:rPr>
              <w:t xml:space="preserve">kolom-gem.</w:t>
            </w:r>
          </w:p>
        </w:tc>
        <w:tc>
          <w:tcPr>
            <w:tcW w:type="dxa" w:w="1200"/>
            <w:shd w:fill="FCE9D6" w:color="auto" w:val="clear"/>
            <w:tcMar>
              <w:top w:type="dxa" w:w="50"/>
              <w:left w:type="dxa" w:w="90"/>
              <w:bottom w:type="dxa" w:w="50"/>
              <w:right w:type="dxa" w:w="90"/>
            </w:tcMar>
          </w:tcPr>
          <w:p>
            <w:r>
              <w:rPr>
                <w:b/>
                <w:bCs/>
                <w:sz w:val="20"/>
                <w:szCs w:val="20"/>
              </w:rPr>
              <w:t xml:space="preserve">43,6</w:t>
            </w:r>
          </w:p>
        </w:tc>
        <w:tc>
          <w:tcPr>
            <w:tcW w:type="dxa" w:w="1200"/>
            <w:shd w:fill="FCE9D6" w:color="auto" w:val="clear"/>
            <w:tcMar>
              <w:top w:type="dxa" w:w="50"/>
              <w:left w:type="dxa" w:w="90"/>
              <w:bottom w:type="dxa" w:w="50"/>
              <w:right w:type="dxa" w:w="90"/>
            </w:tcMar>
          </w:tcPr>
          <w:p>
            <w:r>
              <w:rPr>
                <w:b/>
                <w:bCs/>
                <w:sz w:val="20"/>
                <w:szCs w:val="20"/>
              </w:rPr>
              <w:t xml:space="preserve">36,4</w:t>
            </w:r>
          </w:p>
        </w:tc>
        <w:tc>
          <w:tcPr>
            <w:tcW w:type="dxa" w:w="1200"/>
            <w:shd w:fill="FCE9D6" w:color="auto" w:val="clear"/>
            <w:tcMar>
              <w:top w:type="dxa" w:w="50"/>
              <w:left w:type="dxa" w:w="90"/>
              <w:bottom w:type="dxa" w:w="50"/>
              <w:right w:type="dxa" w:w="90"/>
            </w:tcMar>
          </w:tcPr>
          <w:p>
            <w:r>
              <w:rPr>
                <w:b/>
                <w:bCs/>
                <w:sz w:val="20"/>
                <w:szCs w:val="20"/>
              </w:rPr>
              <w:t xml:space="preserve">70,0</w:t>
            </w:r>
          </w:p>
        </w:tc>
        <w:tc>
          <w:tcPr>
            <w:tcW w:type="dxa" w:w="1200"/>
            <w:shd w:fill="FCE9D6" w:color="auto" w:val="clear"/>
            <w:tcMar>
              <w:top w:type="dxa" w:w="50"/>
              <w:left w:type="dxa" w:w="90"/>
              <w:bottom w:type="dxa" w:w="50"/>
              <w:right w:type="dxa" w:w="90"/>
            </w:tcMar>
          </w:tcPr>
          <w:p>
            <w:r>
              <w:rPr>
                <w:b/>
                <w:bCs/>
                <w:sz w:val="20"/>
                <w:szCs w:val="20"/>
              </w:rPr>
              <w:t xml:space="preserve">57,1</w:t>
            </w:r>
          </w:p>
        </w:tc>
        <w:tc>
          <w:tcPr>
            <w:tcW w:type="dxa" w:w="1400"/>
            <w:shd w:fill="FCE9D6" w:color="auto" w:val="clear"/>
            <w:tcMar>
              <w:top w:type="dxa" w:w="50"/>
              <w:left w:type="dxa" w:w="90"/>
              <w:bottom w:type="dxa" w:w="50"/>
              <w:right w:type="dxa" w:w="90"/>
            </w:tcMar>
          </w:tcPr>
          <w:p>
            <w:r>
              <w:rPr>
                <w:b/>
                <w:bCs/>
                <w:sz w:val="20"/>
                <w:szCs w:val="20"/>
              </w:rPr>
              <w:t xml:space="preserve">51,8</w:t>
            </w:r>
          </w:p>
        </w:tc>
      </w:tr>
    </w:tbl>
    <w:p>
      <w:pPr>
        <w:spacing w:after="120"/>
      </w:pPr>
      <w:r>
        <w:t xml:space="preserve">Doel: eruit vissen welk dagdeel ongewoon rustig is. Middag is altijd laag, dus daar moeten we voor corrigeren. Dat gaat zo:</w:t>
      </w:r>
    </w:p>
    <w:p>
      <w:pPr>
        <w:pStyle w:val="Heading2"/>
        <w:spacing w:after="90" w:before="220"/>
      </w:pPr>
      <w:r>
        <w:rPr>
          <w:b/>
          <w:bCs/>
          <w:color w:val="1F4A2D"/>
        </w:rPr>
        <w:t xml:space="preserve">Stap 1 — Hoe druk is elke dag gemiddeld? (rij-gemiddelde)</w:t>
      </w:r>
    </w:p>
    <w:p>
      <w:pPr>
        <w:spacing w:after="120"/>
      </w:pPr>
      <w:r>
        <w:t xml:space="preserve">Tel de 4 dagdelen op, deel door 4:</w:t>
      </w:r>
    </w:p>
    <w:p>
      <w:pPr>
        <w:spacing w:after="40"/>
        <w:ind w:left="240"/>
      </w:pPr>
      <w:r>
        <w:rPr>
          <w:rFonts w:ascii="Consolas" w:cs="Consolas" w:eastAsia="Consolas" w:hAnsi="Consolas"/>
          <w:color w:val="18181B"/>
          <w:sz w:val="20"/>
          <w:szCs w:val="20"/>
        </w:rPr>
        <w:t xml:space="preserve">maandag:   35 + 30 + 55 + 45 = 165  →  165 / 4 = 41,3</w:t>
      </w:r>
    </w:p>
    <w:p>
      <w:pPr>
        <w:spacing w:after="40"/>
        <w:ind w:left="240"/>
      </w:pPr>
      <w:r>
        <w:rPr>
          <w:rFonts w:ascii="Consolas" w:cs="Consolas" w:eastAsia="Consolas" w:hAnsi="Consolas"/>
          <w:color w:val="18181B"/>
          <w:sz w:val="20"/>
          <w:szCs w:val="20"/>
        </w:rPr>
        <w:t xml:space="preserve">donderdag: 45 + 20 + 70 + 55 = 190  →  190 / 4 = 47,5</w:t>
      </w:r>
    </w:p>
    <w:p>
      <w:pPr>
        <w:spacing w:after="40"/>
        <w:ind w:left="240"/>
      </w:pPr>
      <w:r>
        <w:rPr>
          <w:rFonts w:ascii="Consolas" w:cs="Consolas" w:eastAsia="Consolas" w:hAnsi="Consolas"/>
          <w:color w:val="18181B"/>
          <w:sz w:val="20"/>
          <w:szCs w:val="20"/>
        </w:rPr>
        <w:t xml:space="preserve">zaterdag:  55 + 55 + 85 + 75 = 270  →  270 / 4 = 67,5</w:t>
      </w:r>
    </w:p>
    <w:p>
      <w:pPr>
        <w:spacing w:after="120"/>
      </w:pPr>
      <w:r>
        <w:t xml:space="preserve">(zo voor alle 7 dagen, zie de kolom “rij-gem.” in de tabel)</w:t>
      </w:r>
    </w:p>
    <w:p>
      <w:pPr>
        <w:pStyle w:val="Heading2"/>
        <w:spacing w:after="90" w:before="220"/>
      </w:pPr>
      <w:r>
        <w:rPr>
          <w:b/>
          <w:bCs/>
          <w:color w:val="1F4A2D"/>
        </w:rPr>
        <w:t xml:space="preserve">Stap 2 — Hoe druk is elk dagdeel gemiddeld? (kolom-gemiddelde)</w:t>
      </w:r>
    </w:p>
    <w:p>
      <w:pPr>
        <w:spacing w:after="120"/>
      </w:pPr>
      <w:r>
        <w:t xml:space="preserve">Tel de 7 dagen op, deel door 7:</w:t>
      </w:r>
    </w:p>
    <w:p>
      <w:pPr>
        <w:spacing w:after="40"/>
        <w:ind w:left="240"/>
      </w:pPr>
      <w:r>
        <w:rPr>
          <w:rFonts w:ascii="Consolas" w:cs="Consolas" w:eastAsia="Consolas" w:hAnsi="Consolas"/>
          <w:color w:val="18181B"/>
          <w:sz w:val="20"/>
          <w:szCs w:val="20"/>
        </w:rPr>
        <w:t xml:space="preserve">lunch:  35+35+40+45+50+55+45 = 305  →  305 / 7 = 43,6</w:t>
      </w:r>
    </w:p>
    <w:p>
      <w:pPr>
        <w:spacing w:after="40"/>
        <w:ind w:left="240"/>
      </w:pPr>
      <w:r>
        <w:rPr>
          <w:rFonts w:ascii="Consolas" w:cs="Consolas" w:eastAsia="Consolas" w:hAnsi="Consolas"/>
          <w:color w:val="18181B"/>
          <w:sz w:val="20"/>
          <w:szCs w:val="20"/>
        </w:rPr>
        <w:t xml:space="preserve">middag: 30+30+35+20+45+55+40 = 255  →  255 / 7 = 36,4</w:t>
      </w:r>
    </w:p>
    <w:p>
      <w:pPr>
        <w:spacing w:after="40"/>
        <w:ind w:left="240"/>
      </w:pPr>
      <w:r>
        <w:rPr>
          <w:rFonts w:ascii="Consolas" w:cs="Consolas" w:eastAsia="Consolas" w:hAnsi="Consolas"/>
          <w:color w:val="18181B"/>
          <w:sz w:val="20"/>
          <w:szCs w:val="20"/>
        </w:rPr>
        <w:t xml:space="preserve">diner:  55+60+65+70+80+85+75 = 490  →  490 / 7 = 70,0</w:t>
      </w:r>
    </w:p>
    <w:p>
      <w:pPr>
        <w:spacing w:after="40"/>
        <w:ind w:left="240"/>
      </w:pPr>
      <w:r>
        <w:rPr>
          <w:rFonts w:ascii="Consolas" w:cs="Consolas" w:eastAsia="Consolas" w:hAnsi="Consolas"/>
          <w:color w:val="18181B"/>
          <w:sz w:val="20"/>
          <w:szCs w:val="20"/>
        </w:rPr>
        <w:t xml:space="preserve">avond:  45+50+50+55+65+75+60 = 400  →  400 / 7 = 57,1</w:t>
      </w:r>
    </w:p>
    <w:p>
      <w:pPr>
        <w:pStyle w:val="Heading2"/>
        <w:spacing w:after="90" w:before="220"/>
      </w:pPr>
      <w:r>
        <w:rPr>
          <w:b/>
          <w:bCs/>
          <w:color w:val="1F4A2D"/>
        </w:rPr>
        <w:t xml:space="preserve">Stap 3 — Hoe druk is de zaak gemiddeld? (totaal)</w:t>
      </w:r>
    </w:p>
    <w:p>
      <w:pPr>
        <w:spacing w:after="40"/>
        <w:ind w:left="240"/>
      </w:pPr>
      <w:r>
        <w:rPr>
          <w:rFonts w:ascii="Consolas" w:cs="Consolas" w:eastAsia="Consolas" w:hAnsi="Consolas"/>
          <w:color w:val="18181B"/>
          <w:sz w:val="20"/>
          <w:szCs w:val="20"/>
        </w:rPr>
        <w:t xml:space="preserve">165+175+190+190+240+270+220 = 1450  →  1450 / 28 = 51,8</w:t>
      </w:r>
    </w:p>
    <w:p>
      <w:pPr>
        <w:spacing w:after="120"/>
      </w:pPr>
      <w:r>
        <w:t xml:space="preserve">Dit is de middenlijn van de zaak: gemiddeld is het hier 51,8 druk.</w:t>
      </w:r>
    </w:p>
    <w:p>
      <w:pPr>
        <w:pStyle w:val="Heading2"/>
        <w:spacing w:after="90" w:before="220"/>
      </w:pPr>
      <w:r>
        <w:rPr>
          <w:b/>
          <w:bCs/>
          <w:color w:val="1F4A2D"/>
        </w:rPr>
        <w:t xml:space="preserve">Stap 4 — Wat verwacht je in elk vakje? (verwachting)</w:t>
      </w:r>
    </w:p>
    <w:p>
      <w:pPr>
        <w:spacing w:after="120"/>
      </w:pPr>
      <w:r>
        <w:rPr>
          <w:b/>
          <w:bCs/>
        </w:rPr>
        <w:t xml:space="preserve">verwachting = rij-gemiddelde + kolom-gemiddelde − totaal. </w:t>
      </w:r>
      <w:r>
        <w:t xml:space="preserve">In gewone taal: neem de middenlijn, tel op wat die dag doet, en wat dat dagdeel doet.</w:t>
      </w:r>
    </w:p>
    <w:p>
      <w:pPr>
        <w:spacing w:after="40"/>
        <w:ind w:left="240"/>
      </w:pPr>
      <w:r>
        <w:rPr>
          <w:rFonts w:ascii="Consolas" w:cs="Consolas" w:eastAsia="Consolas" w:hAnsi="Consolas"/>
          <w:color w:val="18181B"/>
          <w:sz w:val="20"/>
          <w:szCs w:val="20"/>
        </w:rPr>
        <w:t xml:space="preserve">donderdag-middag: 47,5 + 36,4 − 51,8 = 32,1</w:t>
      </w:r>
    </w:p>
    <w:p>
      <w:pPr>
        <w:spacing w:after="40"/>
        <w:ind w:left="240"/>
      </w:pPr>
      <w:r>
        <w:rPr>
          <w:rFonts w:ascii="Consolas" w:cs="Consolas" w:eastAsia="Consolas" w:hAnsi="Consolas"/>
          <w:color w:val="18181B"/>
          <w:sz w:val="20"/>
          <w:szCs w:val="20"/>
        </w:rPr>
        <w:t xml:space="preserve">maandag-middag:   41,3 + 36,4 − 51,8 = 25,9</w:t>
      </w:r>
    </w:p>
    <w:p>
      <w:pPr>
        <w:spacing w:after="120"/>
      </w:pPr>
      <w:r>
        <w:t xml:space="preserve">Een donderdagmiddag hoort dus rond de 32 te zitten; een maandagmiddag rond de 26 (maandag is een rustige dag).</w:t>
      </w:r>
    </w:p>
    <w:p>
      <w:pPr>
        <w:pStyle w:val="Heading2"/>
        <w:spacing w:after="90" w:before="220"/>
      </w:pPr>
      <w:r>
        <w:rPr>
          <w:b/>
          <w:bCs/>
          <w:color w:val="1F4A2D"/>
        </w:rPr>
        <w:t xml:space="preserve">Stap 5 — Wat blijft er over? (afwijking = de kans)</w:t>
      </w:r>
    </w:p>
    <w:p>
      <w:pPr>
        <w:spacing w:after="120"/>
      </w:pPr>
      <w:r>
        <w:rPr>
          <w:b/>
          <w:bCs/>
        </w:rPr>
        <w:t xml:space="preserve">afwijking = werkelijk − verwachting. </w:t>
      </w:r>
      <w:r>
        <w:t xml:space="preserve">Een groot mingetal = veel rustiger dan verwacht = ongewoon.</w:t>
      </w:r>
    </w:p>
    <w:p>
      <w:pPr>
        <w:spacing w:after="40"/>
        <w:ind w:left="240"/>
      </w:pPr>
      <w:r>
        <w:rPr>
          <w:rFonts w:ascii="Consolas" w:cs="Consolas" w:eastAsia="Consolas" w:hAnsi="Consolas"/>
          <w:color w:val="18181B"/>
          <w:sz w:val="20"/>
          <w:szCs w:val="20"/>
        </w:rPr>
        <w:t xml:space="preserve">donderdag-middag: 20 − 32,1 = −12,1</w:t>
      </w:r>
    </w:p>
    <w:p>
      <w:pPr>
        <w:spacing w:after="40"/>
        <w:ind w:left="240"/>
      </w:pPr>
      <w:r>
        <w:rPr>
          <w:rFonts w:ascii="Consolas" w:cs="Consolas" w:eastAsia="Consolas" w:hAnsi="Consolas"/>
          <w:color w:val="18181B"/>
          <w:sz w:val="20"/>
          <w:szCs w:val="20"/>
        </w:rPr>
        <w:t xml:space="preserve">maandag-middag:   30 − 25,9 = +4,1   (drukker dan een maandagmiddag hoort!)</w:t>
      </w:r>
    </w:p>
    <w:p>
      <w:pPr>
        <w:spacing w:after="120"/>
      </w:pPr>
      <w:r>
        <w:t xml:space="preserve">De hele week, afgerond:</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tblGrid>
      <w:tr>
        <w:trPr>
          <w:tblHeader/>
        </w:trPr>
        <w:tc>
          <w:tcPr>
            <w:tcW w:type="dxa" w:w="1900"/>
            <w:shd w:fill="1F4A2D" w:color="auto" w:val="clear"/>
            <w:tcMar>
              <w:top w:type="dxa" w:w="50"/>
              <w:left w:type="dxa" w:w="90"/>
              <w:bottom w:type="dxa" w:w="50"/>
              <w:right w:type="dxa" w:w="90"/>
            </w:tcMar>
          </w:tcPr>
          <w:p>
            <w:r>
              <w:rPr>
                <w:b/>
                <w:bCs/>
                <w:color w:val="FFFFFF"/>
                <w:sz w:val="20"/>
                <w:szCs w:val="20"/>
              </w:rPr>
              <w:t xml:space="preserve"/>
            </w:r>
          </w:p>
        </w:tc>
        <w:tc>
          <w:tcPr>
            <w:tcW w:type="dxa" w:w="1500"/>
            <w:shd w:fill="1F4A2D" w:color="auto" w:val="clear"/>
            <w:tcMar>
              <w:top w:type="dxa" w:w="50"/>
              <w:left w:type="dxa" w:w="90"/>
              <w:bottom w:type="dxa" w:w="50"/>
              <w:right w:type="dxa" w:w="90"/>
            </w:tcMar>
          </w:tcPr>
          <w:p>
            <w:pPr>
              <w:jc w:val="center"/>
            </w:pPr>
            <w:r>
              <w:rPr>
                <w:b/>
                <w:bCs/>
                <w:color w:val="FFFFFF"/>
                <w:sz w:val="20"/>
                <w:szCs w:val="20"/>
              </w:rPr>
              <w:t xml:space="preserve">lunch</w:t>
            </w:r>
          </w:p>
        </w:tc>
        <w:tc>
          <w:tcPr>
            <w:tcW w:type="dxa" w:w="1500"/>
            <w:shd w:fill="1F4A2D" w:color="auto" w:val="clear"/>
            <w:tcMar>
              <w:top w:type="dxa" w:w="50"/>
              <w:left w:type="dxa" w:w="90"/>
              <w:bottom w:type="dxa" w:w="50"/>
              <w:right w:type="dxa" w:w="90"/>
            </w:tcMar>
          </w:tcPr>
          <w:p>
            <w:pPr>
              <w:jc w:val="center"/>
            </w:pPr>
            <w:r>
              <w:rPr>
                <w:b/>
                <w:bCs/>
                <w:color w:val="FFFFFF"/>
                <w:sz w:val="20"/>
                <w:szCs w:val="20"/>
              </w:rPr>
              <w:t xml:space="preserve">middag</w:t>
            </w:r>
          </w:p>
        </w:tc>
        <w:tc>
          <w:tcPr>
            <w:tcW w:type="dxa" w:w="1500"/>
            <w:shd w:fill="1F4A2D" w:color="auto" w:val="clear"/>
            <w:tcMar>
              <w:top w:type="dxa" w:w="50"/>
              <w:left w:type="dxa" w:w="90"/>
              <w:bottom w:type="dxa" w:w="50"/>
              <w:right w:type="dxa" w:w="90"/>
            </w:tcMar>
          </w:tcPr>
          <w:p>
            <w:pPr>
              <w:jc w:val="center"/>
            </w:pPr>
            <w:r>
              <w:rPr>
                <w:b/>
                <w:bCs/>
                <w:color w:val="FFFFFF"/>
                <w:sz w:val="20"/>
                <w:szCs w:val="20"/>
              </w:rPr>
              <w:t xml:space="preserve">diner</w:t>
            </w:r>
          </w:p>
        </w:tc>
        <w:tc>
          <w:tcPr>
            <w:tcW w:type="dxa" w:w="1500"/>
            <w:shd w:fill="1F4A2D" w:color="auto" w:val="clear"/>
            <w:tcMar>
              <w:top w:type="dxa" w:w="50"/>
              <w:left w:type="dxa" w:w="90"/>
              <w:bottom w:type="dxa" w:w="50"/>
              <w:right w:type="dxa" w:w="90"/>
            </w:tcMar>
          </w:tcPr>
          <w:p>
            <w:pPr>
              <w:jc w:val="center"/>
            </w:pPr>
            <w:r>
              <w:rPr>
                <w:b/>
                <w:bCs/>
                <w:color w:val="FFFFFF"/>
                <w:sz w:val="20"/>
                <w:szCs w:val="20"/>
              </w:rPr>
              <w:t xml:space="preserve">avond</w:t>
            </w:r>
          </w:p>
        </w:tc>
      </w:tr>
      <w:tr>
        <w:trPr>
          <w:tblHeader w:val="false"/>
        </w:trPr>
        <w:tc>
          <w:tcPr>
            <w:tcW w:type="dxa" w:w="1900"/>
            <w:tcMar>
              <w:top w:type="dxa" w:w="50"/>
              <w:left w:type="dxa" w:w="90"/>
              <w:bottom w:type="dxa" w:w="50"/>
              <w:right w:type="dxa" w:w="90"/>
            </w:tcMar>
          </w:tcPr>
          <w:p>
            <w:r>
              <w:rPr>
                <w:b w:val="false"/>
                <w:bCs w:val="false"/>
                <w:sz w:val="20"/>
                <w:szCs w:val="20"/>
              </w:rPr>
              <w:t xml:space="preserve">maandag</w:t>
            </w:r>
          </w:p>
        </w:tc>
        <w:tc>
          <w:tcPr>
            <w:tcW w:type="dxa" w:w="1500"/>
            <w:tcMar>
              <w:top w:type="dxa" w:w="50"/>
              <w:left w:type="dxa" w:w="90"/>
              <w:bottom w:type="dxa" w:w="50"/>
              <w:right w:type="dxa" w:w="90"/>
            </w:tcMar>
          </w:tcPr>
          <w:p>
            <w:pPr>
              <w:jc w:val="center"/>
            </w:pPr>
            <w:r>
              <w:rPr>
                <w:b w:val="false"/>
                <w:bCs w:val="false"/>
                <w:sz w:val="20"/>
                <w:szCs w:val="20"/>
              </w:rPr>
              <w:t xml:space="preserve">+2,0</w:t>
            </w:r>
          </w:p>
        </w:tc>
        <w:tc>
          <w:tcPr>
            <w:tcW w:type="dxa" w:w="1500"/>
            <w:tcMar>
              <w:top w:type="dxa" w:w="50"/>
              <w:left w:type="dxa" w:w="90"/>
              <w:bottom w:type="dxa" w:w="50"/>
              <w:right w:type="dxa" w:w="90"/>
            </w:tcMar>
          </w:tcPr>
          <w:p>
            <w:pPr>
              <w:jc w:val="center"/>
            </w:pPr>
            <w:r>
              <w:rPr>
                <w:b w:val="false"/>
                <w:bCs w:val="false"/>
                <w:sz w:val="20"/>
                <w:szCs w:val="20"/>
              </w:rPr>
              <w:t xml:space="preserve">+4,1</w:t>
            </w:r>
          </w:p>
        </w:tc>
        <w:tc>
          <w:tcPr>
            <w:tcW w:type="dxa" w:w="1500"/>
            <w:tcMar>
              <w:top w:type="dxa" w:w="50"/>
              <w:left w:type="dxa" w:w="90"/>
              <w:bottom w:type="dxa" w:w="50"/>
              <w:right w:type="dxa" w:w="90"/>
            </w:tcMar>
          </w:tcPr>
          <w:p>
            <w:pPr>
              <w:jc w:val="center"/>
            </w:pPr>
            <w:r>
              <w:rPr>
                <w:b w:val="false"/>
                <w:bCs w:val="false"/>
                <w:sz w:val="20"/>
                <w:szCs w:val="20"/>
              </w:rPr>
              <w:t xml:space="preserve">−4,5</w:t>
            </w:r>
          </w:p>
        </w:tc>
        <w:tc>
          <w:tcPr>
            <w:tcW w:type="dxa" w:w="1500"/>
            <w:tcMar>
              <w:top w:type="dxa" w:w="50"/>
              <w:left w:type="dxa" w:w="90"/>
              <w:bottom w:type="dxa" w:w="50"/>
              <w:right w:type="dxa" w:w="90"/>
            </w:tcMar>
          </w:tcPr>
          <w:p>
            <w:pPr>
              <w:jc w:val="center"/>
            </w:pPr>
            <w:r>
              <w:rPr>
                <w:b w:val="false"/>
                <w:bCs w:val="false"/>
                <w:sz w:val="20"/>
                <w:szCs w:val="20"/>
              </w:rPr>
              <w:t xml:space="preserve">−1,6</w:t>
            </w:r>
          </w:p>
        </w:tc>
      </w:tr>
      <w:tr>
        <w:trPr>
          <w:tblHeader w:val="false"/>
        </w:trPr>
        <w:tc>
          <w:tcPr>
            <w:tcW w:type="dxa" w:w="1900"/>
            <w:tcMar>
              <w:top w:type="dxa" w:w="50"/>
              <w:left w:type="dxa" w:w="90"/>
              <w:bottom w:type="dxa" w:w="50"/>
              <w:right w:type="dxa" w:w="90"/>
            </w:tcMar>
          </w:tcPr>
          <w:p>
            <w:r>
              <w:rPr>
                <w:b w:val="false"/>
                <w:bCs w:val="false"/>
                <w:sz w:val="20"/>
                <w:szCs w:val="20"/>
              </w:rPr>
              <w:t xml:space="preserve">dinsdag</w:t>
            </w:r>
          </w:p>
        </w:tc>
        <w:tc>
          <w:tcPr>
            <w:tcW w:type="dxa" w:w="1500"/>
            <w:tcMar>
              <w:top w:type="dxa" w:w="50"/>
              <w:left w:type="dxa" w:w="90"/>
              <w:bottom w:type="dxa" w:w="50"/>
              <w:right w:type="dxa" w:w="90"/>
            </w:tcMar>
          </w:tcPr>
          <w:p>
            <w:pPr>
              <w:jc w:val="center"/>
            </w:pPr>
            <w:r>
              <w:rPr>
                <w:b w:val="false"/>
                <w:bCs w:val="false"/>
                <w:sz w:val="20"/>
                <w:szCs w:val="20"/>
              </w:rPr>
              <w:t xml:space="preserve">−0,5</w:t>
            </w:r>
          </w:p>
        </w:tc>
        <w:tc>
          <w:tcPr>
            <w:tcW w:type="dxa" w:w="1500"/>
            <w:tcMar>
              <w:top w:type="dxa" w:w="50"/>
              <w:left w:type="dxa" w:w="90"/>
              <w:bottom w:type="dxa" w:w="50"/>
              <w:right w:type="dxa" w:w="90"/>
            </w:tcMar>
          </w:tcPr>
          <w:p>
            <w:pPr>
              <w:jc w:val="center"/>
            </w:pPr>
            <w:r>
              <w:rPr>
                <w:b w:val="false"/>
                <w:bCs w:val="false"/>
                <w:sz w:val="20"/>
                <w:szCs w:val="20"/>
              </w:rPr>
              <w:t xml:space="preserve">+1,6</w:t>
            </w:r>
          </w:p>
        </w:tc>
        <w:tc>
          <w:tcPr>
            <w:tcW w:type="dxa" w:w="1500"/>
            <w:tcMar>
              <w:top w:type="dxa" w:w="50"/>
              <w:left w:type="dxa" w:w="90"/>
              <w:bottom w:type="dxa" w:w="50"/>
              <w:right w:type="dxa" w:w="90"/>
            </w:tcMar>
          </w:tcPr>
          <w:p>
            <w:pPr>
              <w:jc w:val="center"/>
            </w:pPr>
            <w:r>
              <w:rPr>
                <w:b w:val="false"/>
                <w:bCs w:val="false"/>
                <w:sz w:val="20"/>
                <w:szCs w:val="20"/>
              </w:rPr>
              <w:t xml:space="preserve">−2,0</w:t>
            </w:r>
          </w:p>
        </w:tc>
        <w:tc>
          <w:tcPr>
            <w:tcW w:type="dxa" w:w="1500"/>
            <w:tcMar>
              <w:top w:type="dxa" w:w="50"/>
              <w:left w:type="dxa" w:w="90"/>
              <w:bottom w:type="dxa" w:w="50"/>
              <w:right w:type="dxa" w:w="90"/>
            </w:tcMar>
          </w:tcPr>
          <w:p>
            <w:pPr>
              <w:jc w:val="center"/>
            </w:pPr>
            <w:r>
              <w:rPr>
                <w:b w:val="false"/>
                <w:bCs w:val="false"/>
                <w:sz w:val="20"/>
                <w:szCs w:val="20"/>
              </w:rPr>
              <w:t xml:space="preserve">+0,9</w:t>
            </w:r>
          </w:p>
        </w:tc>
      </w:tr>
      <w:tr>
        <w:trPr>
          <w:tblHeader w:val="false"/>
        </w:trPr>
        <w:tc>
          <w:tcPr>
            <w:tcW w:type="dxa" w:w="1900"/>
            <w:tcMar>
              <w:top w:type="dxa" w:w="50"/>
              <w:left w:type="dxa" w:w="90"/>
              <w:bottom w:type="dxa" w:w="50"/>
              <w:right w:type="dxa" w:w="90"/>
            </w:tcMar>
          </w:tcPr>
          <w:p>
            <w:r>
              <w:rPr>
                <w:b w:val="false"/>
                <w:bCs w:val="false"/>
                <w:sz w:val="20"/>
                <w:szCs w:val="20"/>
              </w:rPr>
              <w:t xml:space="preserve">woensdag</w:t>
            </w:r>
          </w:p>
        </w:tc>
        <w:tc>
          <w:tcPr>
            <w:tcW w:type="dxa" w:w="1500"/>
            <w:tcMar>
              <w:top w:type="dxa" w:w="50"/>
              <w:left w:type="dxa" w:w="90"/>
              <w:bottom w:type="dxa" w:w="50"/>
              <w:right w:type="dxa" w:w="90"/>
            </w:tcMar>
          </w:tcPr>
          <w:p>
            <w:pPr>
              <w:jc w:val="center"/>
            </w:pPr>
            <w:r>
              <w:rPr>
                <w:b w:val="false"/>
                <w:bCs w:val="false"/>
                <w:sz w:val="20"/>
                <w:szCs w:val="20"/>
              </w:rPr>
              <w:t xml:space="preserve">+0,7</w:t>
            </w:r>
          </w:p>
        </w:tc>
        <w:tc>
          <w:tcPr>
            <w:tcW w:type="dxa" w:w="1500"/>
            <w:tcMar>
              <w:top w:type="dxa" w:w="50"/>
              <w:left w:type="dxa" w:w="90"/>
              <w:bottom w:type="dxa" w:w="50"/>
              <w:right w:type="dxa" w:w="90"/>
            </w:tcMar>
          </w:tcPr>
          <w:p>
            <w:pPr>
              <w:jc w:val="center"/>
            </w:pPr>
            <w:r>
              <w:rPr>
                <w:b w:val="false"/>
                <w:bCs w:val="false"/>
                <w:sz w:val="20"/>
                <w:szCs w:val="20"/>
              </w:rPr>
              <w:t xml:space="preserve">+2,9</w:t>
            </w:r>
          </w:p>
        </w:tc>
        <w:tc>
          <w:tcPr>
            <w:tcW w:type="dxa" w:w="1500"/>
            <w:tcMar>
              <w:top w:type="dxa" w:w="50"/>
              <w:left w:type="dxa" w:w="90"/>
              <w:bottom w:type="dxa" w:w="50"/>
              <w:right w:type="dxa" w:w="90"/>
            </w:tcMar>
          </w:tcPr>
          <w:p>
            <w:pPr>
              <w:jc w:val="center"/>
            </w:pPr>
            <w:r>
              <w:rPr>
                <w:b w:val="false"/>
                <w:bCs w:val="false"/>
                <w:sz w:val="20"/>
                <w:szCs w:val="20"/>
              </w:rPr>
              <w:t xml:space="preserve">−0,7</w:t>
            </w:r>
          </w:p>
        </w:tc>
        <w:tc>
          <w:tcPr>
            <w:tcW w:type="dxa" w:w="1500"/>
            <w:tcMar>
              <w:top w:type="dxa" w:w="50"/>
              <w:left w:type="dxa" w:w="90"/>
              <w:bottom w:type="dxa" w:w="50"/>
              <w:right w:type="dxa" w:w="90"/>
            </w:tcMar>
          </w:tcPr>
          <w:p>
            <w:pPr>
              <w:jc w:val="center"/>
            </w:pPr>
            <w:r>
              <w:rPr>
                <w:b w:val="false"/>
                <w:bCs w:val="false"/>
                <w:sz w:val="20"/>
                <w:szCs w:val="20"/>
              </w:rPr>
              <w:t xml:space="preserve">−2,9</w:t>
            </w:r>
          </w:p>
        </w:tc>
      </w:tr>
      <w:tr>
        <w:trPr>
          <w:tblHeader w:val="false"/>
        </w:trPr>
        <w:tc>
          <w:tcPr>
            <w:tcW w:type="dxa" w:w="1900"/>
            <w:tcMar>
              <w:top w:type="dxa" w:w="50"/>
              <w:left w:type="dxa" w:w="90"/>
              <w:bottom w:type="dxa" w:w="50"/>
              <w:right w:type="dxa" w:w="90"/>
            </w:tcMar>
          </w:tcPr>
          <w:p>
            <w:r>
              <w:rPr>
                <w:b w:val="false"/>
                <w:bCs w:val="false"/>
                <w:sz w:val="20"/>
                <w:szCs w:val="20"/>
              </w:rPr>
              <w:t xml:space="preserve">donderdag</w:t>
            </w:r>
          </w:p>
        </w:tc>
        <w:tc>
          <w:tcPr>
            <w:tcW w:type="dxa" w:w="1500"/>
            <w:tcMar>
              <w:top w:type="dxa" w:w="50"/>
              <w:left w:type="dxa" w:w="90"/>
              <w:bottom w:type="dxa" w:w="50"/>
              <w:right w:type="dxa" w:w="90"/>
            </w:tcMar>
          </w:tcPr>
          <w:p>
            <w:pPr>
              <w:jc w:val="center"/>
            </w:pPr>
            <w:r>
              <w:rPr>
                <w:b w:val="false"/>
                <w:bCs w:val="false"/>
                <w:sz w:val="20"/>
                <w:szCs w:val="20"/>
              </w:rPr>
              <w:t xml:space="preserve">+5,7</w:t>
            </w:r>
          </w:p>
        </w:tc>
        <w:tc>
          <w:tcPr>
            <w:tcW w:type="dxa" w:w="1500"/>
            <w:shd w:fill="FCE9D6" w:color="auto" w:val="clear"/>
            <w:tcMar>
              <w:top w:type="dxa" w:w="50"/>
              <w:left w:type="dxa" w:w="90"/>
              <w:bottom w:type="dxa" w:w="50"/>
              <w:right w:type="dxa" w:w="90"/>
            </w:tcMar>
          </w:tcPr>
          <w:p>
            <w:r>
              <w:rPr>
                <w:b/>
                <w:bCs/>
                <w:sz w:val="20"/>
                <w:szCs w:val="20"/>
              </w:rPr>
              <w:t xml:space="preserve">−12,1</w:t>
            </w:r>
          </w:p>
        </w:tc>
        <w:tc>
          <w:tcPr>
            <w:tcW w:type="dxa" w:w="1500"/>
            <w:tcMar>
              <w:top w:type="dxa" w:w="50"/>
              <w:left w:type="dxa" w:w="90"/>
              <w:bottom w:type="dxa" w:w="50"/>
              <w:right w:type="dxa" w:w="90"/>
            </w:tcMar>
          </w:tcPr>
          <w:p>
            <w:pPr>
              <w:jc w:val="center"/>
            </w:pPr>
            <w:r>
              <w:rPr>
                <w:b w:val="false"/>
                <w:bCs w:val="false"/>
                <w:sz w:val="20"/>
                <w:szCs w:val="20"/>
              </w:rPr>
              <w:t xml:space="preserve">+4,3</w:t>
            </w:r>
          </w:p>
        </w:tc>
        <w:tc>
          <w:tcPr>
            <w:tcW w:type="dxa" w:w="1500"/>
            <w:tcMar>
              <w:top w:type="dxa" w:w="50"/>
              <w:left w:type="dxa" w:w="90"/>
              <w:bottom w:type="dxa" w:w="50"/>
              <w:right w:type="dxa" w:w="90"/>
            </w:tcMar>
          </w:tcPr>
          <w:p>
            <w:pPr>
              <w:jc w:val="center"/>
            </w:pPr>
            <w:r>
              <w:rPr>
                <w:b w:val="false"/>
                <w:bCs w:val="false"/>
                <w:sz w:val="20"/>
                <w:szCs w:val="20"/>
              </w:rPr>
              <w:t xml:space="preserve">+2,2</w:t>
            </w:r>
          </w:p>
        </w:tc>
      </w:tr>
      <w:tr>
        <w:trPr>
          <w:tblHeader w:val="false"/>
        </w:trPr>
        <w:tc>
          <w:tcPr>
            <w:tcW w:type="dxa" w:w="1900"/>
            <w:tcMar>
              <w:top w:type="dxa" w:w="50"/>
              <w:left w:type="dxa" w:w="90"/>
              <w:bottom w:type="dxa" w:w="50"/>
              <w:right w:type="dxa" w:w="90"/>
            </w:tcMar>
          </w:tcPr>
          <w:p>
            <w:r>
              <w:rPr>
                <w:b w:val="false"/>
                <w:bCs w:val="false"/>
                <w:sz w:val="20"/>
                <w:szCs w:val="20"/>
              </w:rPr>
              <w:t xml:space="preserve">vrijdag</w:t>
            </w:r>
          </w:p>
        </w:tc>
        <w:tc>
          <w:tcPr>
            <w:tcW w:type="dxa" w:w="1500"/>
            <w:tcMar>
              <w:top w:type="dxa" w:w="50"/>
              <w:left w:type="dxa" w:w="90"/>
              <w:bottom w:type="dxa" w:w="50"/>
              <w:right w:type="dxa" w:w="90"/>
            </w:tcMar>
          </w:tcPr>
          <w:p>
            <w:pPr>
              <w:jc w:val="center"/>
            </w:pPr>
            <w:r>
              <w:rPr>
                <w:b w:val="false"/>
                <w:bCs w:val="false"/>
                <w:sz w:val="20"/>
                <w:szCs w:val="20"/>
              </w:rPr>
              <w:t xml:space="preserve">−1,8</w:t>
            </w:r>
          </w:p>
        </w:tc>
        <w:tc>
          <w:tcPr>
            <w:tcW w:type="dxa" w:w="1500"/>
            <w:tcMar>
              <w:top w:type="dxa" w:w="50"/>
              <w:left w:type="dxa" w:w="90"/>
              <w:bottom w:type="dxa" w:w="50"/>
              <w:right w:type="dxa" w:w="90"/>
            </w:tcMar>
          </w:tcPr>
          <w:p>
            <w:pPr>
              <w:jc w:val="center"/>
            </w:pPr>
            <w:r>
              <w:rPr>
                <w:b w:val="false"/>
                <w:bCs w:val="false"/>
                <w:sz w:val="20"/>
                <w:szCs w:val="20"/>
              </w:rPr>
              <w:t xml:space="preserve">+0,4</w:t>
            </w:r>
          </w:p>
        </w:tc>
        <w:tc>
          <w:tcPr>
            <w:tcW w:type="dxa" w:w="1500"/>
            <w:tcMar>
              <w:top w:type="dxa" w:w="50"/>
              <w:left w:type="dxa" w:w="90"/>
              <w:bottom w:type="dxa" w:w="50"/>
              <w:right w:type="dxa" w:w="90"/>
            </w:tcMar>
          </w:tcPr>
          <w:p>
            <w:pPr>
              <w:jc w:val="center"/>
            </w:pPr>
            <w:r>
              <w:rPr>
                <w:b w:val="false"/>
                <w:bCs w:val="false"/>
                <w:sz w:val="20"/>
                <w:szCs w:val="20"/>
              </w:rPr>
              <w:t xml:space="preserve">+1,8</w:t>
            </w:r>
          </w:p>
        </w:tc>
        <w:tc>
          <w:tcPr>
            <w:tcW w:type="dxa" w:w="1500"/>
            <w:tcMar>
              <w:top w:type="dxa" w:w="50"/>
              <w:left w:type="dxa" w:w="90"/>
              <w:bottom w:type="dxa" w:w="50"/>
              <w:right w:type="dxa" w:w="90"/>
            </w:tcMar>
          </w:tcPr>
          <w:p>
            <w:pPr>
              <w:jc w:val="center"/>
            </w:pPr>
            <w:r>
              <w:rPr>
                <w:b w:val="false"/>
                <w:bCs w:val="false"/>
                <w:sz w:val="20"/>
                <w:szCs w:val="20"/>
              </w:rPr>
              <w:t xml:space="preserve">−0,4</w:t>
            </w:r>
          </w:p>
        </w:tc>
      </w:tr>
      <w:tr>
        <w:trPr>
          <w:tblHeader w:val="false"/>
        </w:trPr>
        <w:tc>
          <w:tcPr>
            <w:tcW w:type="dxa" w:w="1900"/>
            <w:tcMar>
              <w:top w:type="dxa" w:w="50"/>
              <w:left w:type="dxa" w:w="90"/>
              <w:bottom w:type="dxa" w:w="50"/>
              <w:right w:type="dxa" w:w="90"/>
            </w:tcMar>
          </w:tcPr>
          <w:p>
            <w:r>
              <w:rPr>
                <w:b w:val="false"/>
                <w:bCs w:val="false"/>
                <w:sz w:val="20"/>
                <w:szCs w:val="20"/>
              </w:rPr>
              <w:t xml:space="preserve">zaterdag</w:t>
            </w:r>
          </w:p>
        </w:tc>
        <w:tc>
          <w:tcPr>
            <w:tcW w:type="dxa" w:w="1500"/>
            <w:tcMar>
              <w:top w:type="dxa" w:w="50"/>
              <w:left w:type="dxa" w:w="90"/>
              <w:bottom w:type="dxa" w:w="50"/>
              <w:right w:type="dxa" w:w="90"/>
            </w:tcMar>
          </w:tcPr>
          <w:p>
            <w:pPr>
              <w:jc w:val="center"/>
            </w:pPr>
            <w:r>
              <w:rPr>
                <w:b w:val="false"/>
                <w:bCs w:val="false"/>
                <w:sz w:val="20"/>
                <w:szCs w:val="20"/>
              </w:rPr>
              <w:t xml:space="preserve">−4,3</w:t>
            </w:r>
          </w:p>
        </w:tc>
        <w:tc>
          <w:tcPr>
            <w:tcW w:type="dxa" w:w="1500"/>
            <w:tcMar>
              <w:top w:type="dxa" w:w="50"/>
              <w:left w:type="dxa" w:w="90"/>
              <w:bottom w:type="dxa" w:w="50"/>
              <w:right w:type="dxa" w:w="90"/>
            </w:tcMar>
          </w:tcPr>
          <w:p>
            <w:pPr>
              <w:jc w:val="center"/>
            </w:pPr>
            <w:r>
              <w:rPr>
                <w:b w:val="false"/>
                <w:bCs w:val="false"/>
                <w:sz w:val="20"/>
                <w:szCs w:val="20"/>
              </w:rPr>
              <w:t xml:space="preserve">+2,9</w:t>
            </w:r>
          </w:p>
        </w:tc>
        <w:tc>
          <w:tcPr>
            <w:tcW w:type="dxa" w:w="1500"/>
            <w:tcMar>
              <w:top w:type="dxa" w:w="50"/>
              <w:left w:type="dxa" w:w="90"/>
              <w:bottom w:type="dxa" w:w="50"/>
              <w:right w:type="dxa" w:w="90"/>
            </w:tcMar>
          </w:tcPr>
          <w:p>
            <w:pPr>
              <w:jc w:val="center"/>
            </w:pPr>
            <w:r>
              <w:rPr>
                <w:b w:val="false"/>
                <w:bCs w:val="false"/>
                <w:sz w:val="20"/>
                <w:szCs w:val="20"/>
              </w:rPr>
              <w:t xml:space="preserve">−0,7</w:t>
            </w:r>
          </w:p>
        </w:tc>
        <w:tc>
          <w:tcPr>
            <w:tcW w:type="dxa" w:w="1500"/>
            <w:tcMar>
              <w:top w:type="dxa" w:w="50"/>
              <w:left w:type="dxa" w:w="90"/>
              <w:bottom w:type="dxa" w:w="50"/>
              <w:right w:type="dxa" w:w="90"/>
            </w:tcMar>
          </w:tcPr>
          <w:p>
            <w:pPr>
              <w:jc w:val="center"/>
            </w:pPr>
            <w:r>
              <w:rPr>
                <w:b w:val="false"/>
                <w:bCs w:val="false"/>
                <w:sz w:val="20"/>
                <w:szCs w:val="20"/>
              </w:rPr>
              <w:t xml:space="preserve">+2,2</w:t>
            </w:r>
          </w:p>
        </w:tc>
      </w:tr>
      <w:tr>
        <w:trPr>
          <w:tblHeader w:val="false"/>
        </w:trPr>
        <w:tc>
          <w:tcPr>
            <w:tcW w:type="dxa" w:w="1900"/>
            <w:tcMar>
              <w:top w:type="dxa" w:w="50"/>
              <w:left w:type="dxa" w:w="90"/>
              <w:bottom w:type="dxa" w:w="50"/>
              <w:right w:type="dxa" w:w="90"/>
            </w:tcMar>
          </w:tcPr>
          <w:p>
            <w:r>
              <w:rPr>
                <w:b w:val="false"/>
                <w:bCs w:val="false"/>
                <w:sz w:val="20"/>
                <w:szCs w:val="20"/>
              </w:rPr>
              <w:t xml:space="preserve">zondag</w:t>
            </w:r>
          </w:p>
        </w:tc>
        <w:tc>
          <w:tcPr>
            <w:tcW w:type="dxa" w:w="1500"/>
            <w:tcMar>
              <w:top w:type="dxa" w:w="50"/>
              <w:left w:type="dxa" w:w="90"/>
              <w:bottom w:type="dxa" w:w="50"/>
              <w:right w:type="dxa" w:w="90"/>
            </w:tcMar>
          </w:tcPr>
          <w:p>
            <w:pPr>
              <w:jc w:val="center"/>
            </w:pPr>
            <w:r>
              <w:rPr>
                <w:b w:val="false"/>
                <w:bCs w:val="false"/>
                <w:sz w:val="20"/>
                <w:szCs w:val="20"/>
              </w:rPr>
              <w:t xml:space="preserve">−1,8</w:t>
            </w:r>
          </w:p>
        </w:tc>
        <w:tc>
          <w:tcPr>
            <w:tcW w:type="dxa" w:w="1500"/>
            <w:tcMar>
              <w:top w:type="dxa" w:w="50"/>
              <w:left w:type="dxa" w:w="90"/>
              <w:bottom w:type="dxa" w:w="50"/>
              <w:right w:type="dxa" w:w="90"/>
            </w:tcMar>
          </w:tcPr>
          <w:p>
            <w:pPr>
              <w:jc w:val="center"/>
            </w:pPr>
            <w:r>
              <w:rPr>
                <w:b w:val="false"/>
                <w:bCs w:val="false"/>
                <w:sz w:val="20"/>
                <w:szCs w:val="20"/>
              </w:rPr>
              <w:t xml:space="preserve">+0,4</w:t>
            </w:r>
          </w:p>
        </w:tc>
        <w:tc>
          <w:tcPr>
            <w:tcW w:type="dxa" w:w="1500"/>
            <w:tcMar>
              <w:top w:type="dxa" w:w="50"/>
              <w:left w:type="dxa" w:w="90"/>
              <w:bottom w:type="dxa" w:w="50"/>
              <w:right w:type="dxa" w:w="90"/>
            </w:tcMar>
          </w:tcPr>
          <w:p>
            <w:pPr>
              <w:jc w:val="center"/>
            </w:pPr>
            <w:r>
              <w:rPr>
                <w:b w:val="false"/>
                <w:bCs w:val="false"/>
                <w:sz w:val="20"/>
                <w:szCs w:val="20"/>
              </w:rPr>
              <w:t xml:space="preserve">+1,8</w:t>
            </w:r>
          </w:p>
        </w:tc>
        <w:tc>
          <w:tcPr>
            <w:tcW w:type="dxa" w:w="1500"/>
            <w:tcMar>
              <w:top w:type="dxa" w:w="50"/>
              <w:left w:type="dxa" w:w="90"/>
              <w:bottom w:type="dxa" w:w="50"/>
              <w:right w:type="dxa" w:w="90"/>
            </w:tcMar>
          </w:tcPr>
          <w:p>
            <w:pPr>
              <w:jc w:val="center"/>
            </w:pPr>
            <w:r>
              <w:rPr>
                <w:b w:val="false"/>
                <w:bCs w:val="false"/>
                <w:sz w:val="20"/>
                <w:szCs w:val="20"/>
              </w:rPr>
              <w:t xml:space="preserve">−0,4</w:t>
            </w:r>
          </w:p>
        </w:tc>
      </w:tr>
    </w:tbl>
    <w:tbl>
      <w:tblPr>
        <w:tblW w:type="dxa" w:w="9000"/>
        <w:tblBorders>
          <w:top w:val="single" w:color="1F4A2D" w:sz="2"/>
          <w:left w:val="single" w:color="1F4A2D" w:sz="12"/>
          <w:bottom w:val="single" w:color="1F4A2D" w:sz="2"/>
          <w:right w:val="single" w:color="1F4A2D" w:sz="2"/>
          <w:insideH w:val="none"/>
          <w:insideV w:val="none"/>
        </w:tblBorders>
      </w:tblPr>
      <w:tblGrid>
        <w:gridCol w:w="9000"/>
      </w:tblGrid>
      <w:tr>
        <w:tc>
          <w:tcPr>
            <w:tcW w:type="dxa" w:w="9000"/>
            <w:shd w:fill="EFE8D8" w:color="auto" w:val="clear"/>
            <w:tcMar>
              <w:top w:type="dxa" w:w="120"/>
              <w:left w:type="dxa" w:w="180"/>
              <w:bottom w:type="dxa" w:w="120"/>
              <w:right w:type="dxa" w:w="180"/>
            </w:tcMar>
          </w:tcPr>
          <w:p>
            <w:pPr>
              <w:spacing w:after="120"/>
            </w:pPr>
            <w:r>
              <w:rPr>
                <w:b/>
                <w:bCs/>
              </w:rPr>
              <w:t xml:space="preserve">Wat je hier ziet: </w:t>
            </w:r>
            <w:r>
              <w:t xml:space="preserve">donderdag-middag (−12,1) springt er als enige echt uit. Alle andere middagen zweven rond nul: absoluut gezien laag, maar precies zoals verwacht, dus géén vals alarm. De ontleding haalt het gewone eruit; de afwijking houdt het bijzondere over.</w:t>
            </w:r>
          </w:p>
        </w:tc>
      </w:tr>
    </w:tbl>
    <w:p>
      <w:pPr>
        <w:pStyle w:val="Heading1"/>
        <w:spacing w:after="140" w:before="340"/>
      </w:pPr>
      <w:r>
        <w:rPr>
          <w:b/>
          <w:bCs/>
          <w:color w:val="1F4A2D"/>
        </w:rPr>
        <w:t xml:space="preserve">5. Robuust rekenen: median polish + MAD</w:t>
      </w:r>
    </w:p>
    <w:p>
      <w:pPr>
        <w:spacing w:after="120"/>
      </w:pPr>
      <w:r>
        <w:t xml:space="preserve">In de code gebruiken we niet het gewone gemiddelde maar de mediaan (median polish) en de MAD. Reden: de rustige dip die we zóeken vervuilt anders zijn eigen baseline. Onderstaand voorbeeld laat het verschil zien.</w:t>
      </w:r>
    </w:p>
    <w:p>
      <w:pPr>
        <w:pStyle w:val="Heading2"/>
        <w:spacing w:after="90" w:before="220"/>
      </w:pPr>
      <w:r>
        <w:rPr>
          <w:b/>
          <w:bCs/>
          <w:color w:val="1F4A2D"/>
        </w:rPr>
        <w:t xml:space="preserve">Waarom mediaan i.p.v. gemiddelde</w:t>
      </w:r>
    </w:p>
    <w:p>
      <w:pPr>
        <w:spacing w:after="120"/>
      </w:pPr>
      <w:r>
        <w:t xml:space="preserve">Stel de afwijkingen van een dagdeel over de weken zijn:</w:t>
      </w:r>
    </w:p>
    <w:p>
      <w:pPr>
        <w:spacing w:after="40"/>
        <w:ind w:left="240"/>
      </w:pPr>
      <w:r>
        <w:rPr>
          <w:rFonts w:ascii="Consolas" w:cs="Consolas" w:eastAsia="Consolas" w:hAnsi="Consolas"/>
          <w:color w:val="18181B"/>
          <w:sz w:val="20"/>
          <w:szCs w:val="20"/>
        </w:rPr>
        <w:t xml:space="preserve">−1,  0,  +1,  −2,  +2,  −15        (die laatste = de ongewone dip)</w:t>
      </w:r>
    </w:p>
    <w:p>
      <w:pPr>
        <w:spacing w:after="120"/>
      </w:pPr>
      <w:r>
        <w:t xml:space="preserve">De “normale schommeling” meten we op twee manieren:</w:t>
      </w:r>
    </w:p>
    <w:p>
      <w:pPr>
        <w:spacing w:after="120"/>
      </w:pPr>
      <w:r>
        <w:rPr>
          <w:b/>
          <w:bCs/>
        </w:rPr>
        <w:t xml:space="preserve">Standaarddeviatie (fout hier): </w:t>
      </w:r>
      <w:r>
        <w:t xml:space="preserve">gemiddelde = (−1+0+1−2+2−15)/6 = −2,5; daarna de wortel van de gemiddelde kwadraat-afstand ≈ 5,7. De ene −15 blaast dit op tot bijna 4× de echte schommeling.</w:t>
      </w:r>
    </w:p>
    <w:p>
      <w:pPr>
        <w:spacing w:after="120"/>
      </w:pPr>
      <w:r>
        <w:rPr>
          <w:b/>
          <w:bCs/>
        </w:rPr>
        <w:t xml:space="preserve">MAD (goed): </w:t>
      </w:r>
      <w:r>
        <w:t xml:space="preserve">de mediane absolute afwijking t.o.v. de mediaan.</w:t>
      </w:r>
    </w:p>
    <w:p>
      <w:pPr>
        <w:pStyle w:val="ListParagraph"/>
        <w:numPr>
          <w:ilvl w:val="0"/>
          <w:numId w:val="3"/>
        </w:numPr>
        <w:spacing w:after="80"/>
      </w:pPr>
      <w:r>
        <w:t xml:space="preserve">Mediaan van de reeks ≈ −0,5.</w:t>
      </w:r>
    </w:p>
    <w:p>
      <w:pPr>
        <w:pStyle w:val="ListParagraph"/>
        <w:numPr>
          <w:ilvl w:val="0"/>
          <w:numId w:val="3"/>
        </w:numPr>
        <w:spacing w:after="80"/>
      </w:pPr>
      <w:r>
        <w:t xml:space="preserve">Afstand van elk getal tot die mediaan: </w:t>
      </w:r>
      <w:r>
        <w:rPr>
          <w:rFonts w:ascii="Consolas" w:cs="Consolas" w:eastAsia="Consolas" w:hAnsi="Consolas"/>
        </w:rPr>
        <w:t xml:space="preserve">0,5 · 0,5 · 1,5 · 1,5 · 2,5 · 14,5</w:t>
      </w:r>
    </w:p>
    <w:p>
      <w:pPr>
        <w:pStyle w:val="ListParagraph"/>
        <w:numPr>
          <w:ilvl w:val="0"/>
          <w:numId w:val="3"/>
        </w:numPr>
        <w:spacing w:after="80"/>
      </w:pPr>
      <w:r>
        <w:t xml:space="preserve">Mediaan van díe afstanden = 1,5. Dat is de MAD.</w:t>
      </w:r>
    </w:p>
    <w:p>
      <w:pPr>
        <w:spacing w:after="120"/>
      </w:pPr>
      <w:r>
        <w:t xml:space="preserve">De −15 zit in stap 3 helemaal aan de rand en verschuift de mediaan nauwelijks. Zo blijft de maat ~1,5 (de échte schommeling van de gewone momenten), terwijl de standaarddeviatie 5,7 zei.</w:t>
      </w:r>
    </w:p>
    <w:tbl>
      <w:tblPr>
        <w:tblW w:type="dxa" w:w="9000"/>
        <w:tblBorders>
          <w:top w:val="single" w:color="1F4A2D" w:sz="2"/>
          <w:left w:val="single" w:color="1F4A2D" w:sz="12"/>
          <w:bottom w:val="single" w:color="1F4A2D" w:sz="2"/>
          <w:right w:val="single" w:color="1F4A2D" w:sz="2"/>
          <w:insideH w:val="none"/>
          <w:insideV w:val="none"/>
        </w:tblBorders>
      </w:tblPr>
      <w:tblGrid>
        <w:gridCol w:w="9000"/>
      </w:tblGrid>
      <w:tr>
        <w:tc>
          <w:tcPr>
            <w:tcW w:type="dxa" w:w="9000"/>
            <w:shd w:fill="EFE8D8" w:color="auto" w:val="clear"/>
            <w:tcMar>
              <w:top w:type="dxa" w:w="120"/>
              <w:left w:type="dxa" w:w="180"/>
              <w:bottom w:type="dxa" w:w="120"/>
              <w:right w:type="dxa" w:w="180"/>
            </w:tcMar>
          </w:tcPr>
          <w:p>
            <w:pPr>
              <w:spacing w:after="120"/>
            </w:pPr>
            <w:r>
              <w:rPr>
                <w:b/>
                <w:bCs/>
              </w:rPr>
              <w:t xml:space="preserve">Kort: </w:t>
            </w:r>
            <w:r>
              <w:t xml:space="preserve">MAD = de normale schommeling meten op een manier die niet in de war raakt van één uitschieter, precies de uitschieter die we willen vangen. De baseline (verwachting) rekenen we om dezelfde reden met medianen (median polish).</w:t>
            </w:r>
          </w:p>
        </w:tc>
      </w:tr>
    </w:tbl>
    <w:p>
      <w:pPr>
        <w:pStyle w:val="Heading1"/>
        <w:spacing w:after="140" w:before="340"/>
      </w:pPr>
      <w:r>
        <w:rPr>
          <w:b/>
          <w:bCs/>
          <w:color w:val="1F4A2D"/>
        </w:rPr>
        <w:t xml:space="preserve">6. Wanneer telt iets als “rustig”?</w:t>
      </w:r>
    </w:p>
    <w:p>
      <w:pPr>
        <w:spacing w:after="120"/>
      </w:pPr>
      <w:r>
        <w:t xml:space="preserve">Twee voorwaarden samen, plus een plafond. We rekenen het uit op het weekvoorbeeld hierboven (schommeling ≈ 2,7 na omrekening van de MAD).</w:t>
      </w:r>
    </w:p>
    <w:p>
      <w:pPr>
        <w:pStyle w:val="ListParagraph"/>
        <w:numPr>
          <w:ilvl w:val="0"/>
          <w:numId w:val="2"/>
        </w:numPr>
        <w:spacing w:after="60"/>
      </w:pPr>
      <w:r>
        <w:rPr>
          <w:b/>
          <w:bCs/>
        </w:rPr>
        <w:t xml:space="preserve">1. Onder verwachting én buiten de normale schommeling. </w:t>
      </w:r>
      <w:r>
        <w:t xml:space="preserve">Niet elke afwijking onder nul telt (dat is ~de helft). Grens hier: afwijking moet onder −2,7 liggen.</w:t>
      </w:r>
    </w:p>
    <w:p>
      <w:pPr>
        <w:pStyle w:val="ListParagraph"/>
        <w:numPr>
          <w:ilvl w:val="0"/>
          <w:numId w:val="2"/>
        </w:numPr>
        <w:spacing w:after="60"/>
      </w:pPr>
      <w:r>
        <w:rPr>
          <w:b/>
          <w:bCs/>
        </w:rPr>
        <w:t xml:space="preserve">2. Vulbaarheid als poort. </w:t>
      </w:r>
      <w:r>
        <w:t xml:space="preserve">Genoeg leegte om te vullen: het gat tussen het dagdeel en de eigen piek (hier 85). Donderdag-middag: 85 − 20 = 65, ruim voldoende.</w:t>
      </w:r>
    </w:p>
    <w:p>
      <w:pPr>
        <w:pStyle w:val="ListParagraph"/>
        <w:numPr>
          <w:ilvl w:val="0"/>
          <w:numId w:val="2"/>
        </w:numPr>
        <w:spacing w:after="60"/>
      </w:pPr>
      <w:r>
        <w:rPr>
          <w:b/>
          <w:bCs/>
        </w:rPr>
        <w:t xml:space="preserve">3. Aaneengesloten dagdelen = één kans. </w:t>
      </w:r>
      <w:r>
        <w:t xml:space="preserve">Zijn op één dag opeenvolgende dagdelen rustig (bv. diner én avond), dan tellen die samen als één kans, met een venster dat het hele blok beslaat (bv. 17:00–23:00). Zo snoept één drukke clustering niet je hele tempo op.</w:t>
      </w:r>
    </w:p>
    <w:p>
      <w:pPr>
        <w:pStyle w:val="ListParagraph"/>
        <w:numPr>
          <w:ilvl w:val="0"/>
          <w:numId w:val="2"/>
        </w:numPr>
        <w:spacing w:after="60"/>
      </w:pPr>
      <w:r>
        <w:rPr>
          <w:b/>
          <w:bCs/>
        </w:rPr>
        <w:t xml:space="preserve">4. Tempo als plafond (instelbaar). </w:t>
      </w:r>
      <w:r>
        <w:t xml:space="preserve">Hoeveel rustige DAGEN Filly maximaal per week aandraagt (max één kans per dag). Een rustige week levert er minder op; het plafond wordt nooit opgevuld met dagen die eigenlijk niet rustig zijn.</w:t>
      </w:r>
    </w:p>
    <w:p>
      <w:pPr>
        <w:spacing w:after="120"/>
      </w:pPr>
      <w:r>
        <w:t xml:space="preserve">Toegepast op de voorbeeldweek. Elke rij is een kans (een dag met afwijking onder −2,7 én genoeg gat):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600"/>
      </w:tblGrid>
      <w:tr>
        <w:trPr>
          <w:tblHeader/>
        </w:trPr>
        <w:tc>
          <w:tcPr>
            <w:tcW w:type="dxa" w:w="2400"/>
            <w:shd w:fill="1F4A2D" w:color="auto" w:val="clear"/>
            <w:tcMar>
              <w:top w:type="dxa" w:w="50"/>
              <w:left w:type="dxa" w:w="90"/>
              <w:bottom w:type="dxa" w:w="50"/>
              <w:right w:type="dxa" w:w="90"/>
            </w:tcMar>
          </w:tcPr>
          <w:p>
            <w:r>
              <w:rPr>
                <w:b/>
                <w:bCs/>
                <w:color w:val="FFFFFF"/>
                <w:sz w:val="20"/>
                <w:szCs w:val="20"/>
              </w:rPr>
              <w:t xml:space="preserve">Kans (dag)</w:t>
            </w:r>
          </w:p>
        </w:tc>
        <w:tc>
          <w:tcPr>
            <w:tcW w:type="dxa" w:w="1500"/>
            <w:shd w:fill="1F4A2D" w:color="auto" w:val="clear"/>
            <w:tcMar>
              <w:top w:type="dxa" w:w="50"/>
              <w:left w:type="dxa" w:w="90"/>
              <w:bottom w:type="dxa" w:w="50"/>
              <w:right w:type="dxa" w:w="90"/>
            </w:tcMar>
          </w:tcPr>
          <w:p>
            <w:r>
              <w:rPr>
                <w:b/>
                <w:bCs/>
                <w:color w:val="FFFFFF"/>
                <w:sz w:val="20"/>
                <w:szCs w:val="20"/>
              </w:rPr>
              <w:t xml:space="preserve">afwijking</w:t>
            </w:r>
          </w:p>
        </w:tc>
        <w:tc>
          <w:tcPr>
            <w:tcW w:type="dxa" w:w="1500"/>
            <w:shd w:fill="1F4A2D" w:color="auto" w:val="clear"/>
            <w:tcMar>
              <w:top w:type="dxa" w:w="50"/>
              <w:left w:type="dxa" w:w="90"/>
              <w:bottom w:type="dxa" w:w="50"/>
              <w:right w:type="dxa" w:w="90"/>
            </w:tcMar>
          </w:tcPr>
          <w:p>
            <w:r>
              <w:rPr>
                <w:b/>
                <w:bCs/>
                <w:color w:val="FFFFFF"/>
                <w:sz w:val="20"/>
                <w:szCs w:val="20"/>
              </w:rPr>
              <w:t xml:space="preserve">gat</w:t>
            </w:r>
          </w:p>
        </w:tc>
        <w:tc>
          <w:tcPr>
            <w:tcW w:type="dxa" w:w="3600"/>
            <w:shd w:fill="1F4A2D" w:color="auto" w:val="clear"/>
            <w:tcMar>
              <w:top w:type="dxa" w:w="50"/>
              <w:left w:type="dxa" w:w="90"/>
              <w:bottom w:type="dxa" w:w="50"/>
              <w:right w:type="dxa" w:w="90"/>
            </w:tcMar>
          </w:tcPr>
          <w:p>
            <w:r>
              <w:rPr>
                <w:b/>
                <w:bCs/>
                <w:color w:val="FFFFFF"/>
                <w:sz w:val="20"/>
                <w:szCs w:val="20"/>
              </w:rPr>
              <w:t xml:space="preserve">oordeel</w:t>
            </w:r>
          </w:p>
        </w:tc>
      </w:tr>
      <w:tr>
        <w:trPr>
          <w:tblHeader w:val="false"/>
        </w:trPr>
        <w:tc>
          <w:tcPr>
            <w:tcW w:type="dxa" w:w="2400"/>
            <w:shd w:fill="FCE9D6" w:color="auto" w:val="clear"/>
            <w:tcMar>
              <w:top w:type="dxa" w:w="50"/>
              <w:left w:type="dxa" w:w="90"/>
              <w:bottom w:type="dxa" w:w="50"/>
              <w:right w:type="dxa" w:w="90"/>
            </w:tcMar>
          </w:tcPr>
          <w:p>
            <w:r>
              <w:rPr>
                <w:b w:val="false"/>
                <w:bCs w:val="false"/>
                <w:sz w:val="20"/>
                <w:szCs w:val="20"/>
              </w:rPr>
              <w:t xml:space="preserve">donderdag (middag)</w:t>
            </w:r>
          </w:p>
        </w:tc>
        <w:tc>
          <w:tcPr>
            <w:tcW w:type="dxa" w:w="1500"/>
            <w:shd w:fill="FCE9D6" w:color="auto" w:val="clear"/>
            <w:tcMar>
              <w:top w:type="dxa" w:w="50"/>
              <w:left w:type="dxa" w:w="90"/>
              <w:bottom w:type="dxa" w:w="50"/>
              <w:right w:type="dxa" w:w="90"/>
            </w:tcMar>
          </w:tcPr>
          <w:p>
            <w:pPr>
              <w:jc w:val="center"/>
            </w:pPr>
            <w:r>
              <w:rPr>
                <w:b w:val="false"/>
                <w:bCs w:val="false"/>
                <w:sz w:val="20"/>
                <w:szCs w:val="20"/>
              </w:rPr>
              <w:t xml:space="preserve">−12,1</w:t>
            </w:r>
          </w:p>
        </w:tc>
        <w:tc>
          <w:tcPr>
            <w:tcW w:type="dxa" w:w="1500"/>
            <w:shd w:fill="FCE9D6" w:color="auto" w:val="clear"/>
            <w:tcMar>
              <w:top w:type="dxa" w:w="50"/>
              <w:left w:type="dxa" w:w="90"/>
              <w:bottom w:type="dxa" w:w="50"/>
              <w:right w:type="dxa" w:w="90"/>
            </w:tcMar>
          </w:tcPr>
          <w:p>
            <w:pPr>
              <w:jc w:val="center"/>
            </w:pPr>
            <w:r>
              <w:rPr>
                <w:b w:val="false"/>
                <w:bCs w:val="false"/>
                <w:sz w:val="20"/>
                <w:szCs w:val="20"/>
              </w:rPr>
              <w:t xml:space="preserve">65</w:t>
            </w:r>
          </w:p>
        </w:tc>
        <w:tc>
          <w:tcPr>
            <w:tcW w:type="dxa" w:w="3600"/>
            <w:shd w:fill="FCE9D6" w:color="auto" w:val="clear"/>
            <w:tcMar>
              <w:top w:type="dxa" w:w="50"/>
              <w:left w:type="dxa" w:w="90"/>
              <w:bottom w:type="dxa" w:w="50"/>
              <w:right w:type="dxa" w:w="90"/>
            </w:tcMar>
          </w:tcPr>
          <w:p>
            <w:pPr>
              <w:jc w:val="center"/>
            </w:pPr>
            <w:r>
              <w:rPr>
                <w:b w:val="false"/>
                <w:bCs w:val="false"/>
                <w:sz w:val="20"/>
                <w:szCs w:val="20"/>
              </w:rPr>
              <w:t xml:space="preserve">ONGEWOON rustig (sterkste)</w:t>
            </w:r>
          </w:p>
        </w:tc>
      </w:tr>
      <w:tr>
        <w:trPr>
          <w:tblHeader w:val="false"/>
        </w:trPr>
        <w:tc>
          <w:tcPr>
            <w:tcW w:type="dxa" w:w="2400"/>
            <w:tcMar>
              <w:top w:type="dxa" w:w="50"/>
              <w:left w:type="dxa" w:w="90"/>
              <w:bottom w:type="dxa" w:w="50"/>
              <w:right w:type="dxa" w:w="90"/>
            </w:tcMar>
          </w:tcPr>
          <w:p>
            <w:r>
              <w:rPr>
                <w:b w:val="false"/>
                <w:bCs w:val="false"/>
                <w:sz w:val="20"/>
                <w:szCs w:val="20"/>
              </w:rPr>
              <w:t xml:space="preserve">maandag (diner)</w:t>
            </w:r>
          </w:p>
        </w:tc>
        <w:tc>
          <w:tcPr>
            <w:tcW w:type="dxa" w:w="1500"/>
            <w:tcMar>
              <w:top w:type="dxa" w:w="50"/>
              <w:left w:type="dxa" w:w="90"/>
              <w:bottom w:type="dxa" w:w="50"/>
              <w:right w:type="dxa" w:w="90"/>
            </w:tcMar>
          </w:tcPr>
          <w:p>
            <w:pPr>
              <w:jc w:val="center"/>
            </w:pPr>
            <w:r>
              <w:rPr>
                <w:b w:val="false"/>
                <w:bCs w:val="false"/>
                <w:sz w:val="20"/>
                <w:szCs w:val="20"/>
              </w:rPr>
              <w:t xml:space="preserve">−4,5</w:t>
            </w:r>
          </w:p>
        </w:tc>
        <w:tc>
          <w:tcPr>
            <w:tcW w:type="dxa" w:w="1500"/>
            <w:tcMar>
              <w:top w:type="dxa" w:w="50"/>
              <w:left w:type="dxa" w:w="90"/>
              <w:bottom w:type="dxa" w:w="50"/>
              <w:right w:type="dxa" w:w="90"/>
            </w:tcMar>
          </w:tcPr>
          <w:p>
            <w:pPr>
              <w:jc w:val="center"/>
            </w:pPr>
            <w:r>
              <w:rPr>
                <w:b w:val="false"/>
                <w:bCs w:val="false"/>
                <w:sz w:val="20"/>
                <w:szCs w:val="20"/>
              </w:rPr>
              <w:t xml:space="preserve">30</w:t>
            </w:r>
          </w:p>
        </w:tc>
        <w:tc>
          <w:tcPr>
            <w:tcW w:type="dxa" w:w="3600"/>
            <w:tcMar>
              <w:top w:type="dxa" w:w="50"/>
              <w:left w:type="dxa" w:w="90"/>
              <w:bottom w:type="dxa" w:w="50"/>
              <w:right w:type="dxa" w:w="90"/>
            </w:tcMar>
          </w:tcPr>
          <w:p>
            <w:pPr>
              <w:jc w:val="center"/>
            </w:pPr>
            <w:r>
              <w:rPr>
                <w:b w:val="false"/>
                <w:bCs w:val="false"/>
                <w:sz w:val="20"/>
                <w:szCs w:val="20"/>
              </w:rPr>
              <w:t xml:space="preserve">rustig, gebruikelijke stand</w:t>
            </w:r>
          </w:p>
        </w:tc>
      </w:tr>
      <w:tr>
        <w:trPr>
          <w:tblHeader w:val="false"/>
        </w:trPr>
        <w:tc>
          <w:tcPr>
            <w:tcW w:type="dxa" w:w="2400"/>
            <w:tcMar>
              <w:top w:type="dxa" w:w="50"/>
              <w:left w:type="dxa" w:w="90"/>
              <w:bottom w:type="dxa" w:w="50"/>
              <w:right w:type="dxa" w:w="90"/>
            </w:tcMar>
          </w:tcPr>
          <w:p>
            <w:r>
              <w:rPr>
                <w:b w:val="false"/>
                <w:bCs w:val="false"/>
                <w:sz w:val="20"/>
                <w:szCs w:val="20"/>
              </w:rPr>
              <w:t xml:space="preserve">zaterdag (lunch)</w:t>
            </w:r>
          </w:p>
        </w:tc>
        <w:tc>
          <w:tcPr>
            <w:tcW w:type="dxa" w:w="1500"/>
            <w:tcMar>
              <w:top w:type="dxa" w:w="50"/>
              <w:left w:type="dxa" w:w="90"/>
              <w:bottom w:type="dxa" w:w="50"/>
              <w:right w:type="dxa" w:w="90"/>
            </w:tcMar>
          </w:tcPr>
          <w:p>
            <w:pPr>
              <w:jc w:val="center"/>
            </w:pPr>
            <w:r>
              <w:rPr>
                <w:b w:val="false"/>
                <w:bCs w:val="false"/>
                <w:sz w:val="20"/>
                <w:szCs w:val="20"/>
              </w:rPr>
              <w:t xml:space="preserve">−4,3</w:t>
            </w:r>
          </w:p>
        </w:tc>
        <w:tc>
          <w:tcPr>
            <w:tcW w:type="dxa" w:w="1500"/>
            <w:tcMar>
              <w:top w:type="dxa" w:w="50"/>
              <w:left w:type="dxa" w:w="90"/>
              <w:bottom w:type="dxa" w:w="50"/>
              <w:right w:type="dxa" w:w="90"/>
            </w:tcMar>
          </w:tcPr>
          <w:p>
            <w:pPr>
              <w:jc w:val="center"/>
            </w:pPr>
            <w:r>
              <w:rPr>
                <w:b w:val="false"/>
                <w:bCs w:val="false"/>
                <w:sz w:val="20"/>
                <w:szCs w:val="20"/>
              </w:rPr>
              <w:t xml:space="preserve">30</w:t>
            </w:r>
          </w:p>
        </w:tc>
        <w:tc>
          <w:tcPr>
            <w:tcW w:type="dxa" w:w="3600"/>
            <w:tcMar>
              <w:top w:type="dxa" w:w="50"/>
              <w:left w:type="dxa" w:w="90"/>
              <w:bottom w:type="dxa" w:w="50"/>
              <w:right w:type="dxa" w:w="90"/>
            </w:tcMar>
          </w:tcPr>
          <w:p>
            <w:pPr>
              <w:jc w:val="center"/>
            </w:pPr>
            <w:r>
              <w:rPr>
                <w:b w:val="false"/>
                <w:bCs w:val="false"/>
                <w:sz w:val="20"/>
                <w:szCs w:val="20"/>
              </w:rPr>
              <w:t xml:space="preserve">rustig, gebruikelijke stand</w:t>
            </w:r>
          </w:p>
        </w:tc>
      </w:tr>
      <w:tr>
        <w:trPr>
          <w:tblHeader w:val="false"/>
        </w:trPr>
        <w:tc>
          <w:tcPr>
            <w:tcW w:type="dxa" w:w="2400"/>
            <w:tcMar>
              <w:top w:type="dxa" w:w="50"/>
              <w:left w:type="dxa" w:w="90"/>
              <w:bottom w:type="dxa" w:w="50"/>
              <w:right w:type="dxa" w:w="90"/>
            </w:tcMar>
          </w:tcPr>
          <w:p>
            <w:r>
              <w:rPr>
                <w:b w:val="false"/>
                <w:bCs w:val="false"/>
                <w:sz w:val="20"/>
                <w:szCs w:val="20"/>
              </w:rPr>
              <w:t xml:space="preserve">woensdag (avond)</w:t>
            </w:r>
          </w:p>
        </w:tc>
        <w:tc>
          <w:tcPr>
            <w:tcW w:type="dxa" w:w="1500"/>
            <w:tcMar>
              <w:top w:type="dxa" w:w="50"/>
              <w:left w:type="dxa" w:w="90"/>
              <w:bottom w:type="dxa" w:w="50"/>
              <w:right w:type="dxa" w:w="90"/>
            </w:tcMar>
          </w:tcPr>
          <w:p>
            <w:pPr>
              <w:jc w:val="center"/>
            </w:pPr>
            <w:r>
              <w:rPr>
                <w:b w:val="false"/>
                <w:bCs w:val="false"/>
                <w:sz w:val="20"/>
                <w:szCs w:val="20"/>
              </w:rPr>
              <w:t xml:space="preserve">−2,9</w:t>
            </w:r>
          </w:p>
        </w:tc>
        <w:tc>
          <w:tcPr>
            <w:tcW w:type="dxa" w:w="1500"/>
            <w:tcMar>
              <w:top w:type="dxa" w:w="50"/>
              <w:left w:type="dxa" w:w="90"/>
              <w:bottom w:type="dxa" w:w="50"/>
              <w:right w:type="dxa" w:w="90"/>
            </w:tcMar>
          </w:tcPr>
          <w:p>
            <w:pPr>
              <w:jc w:val="center"/>
            </w:pPr>
            <w:r>
              <w:rPr>
                <w:b w:val="false"/>
                <w:bCs w:val="false"/>
                <w:sz w:val="20"/>
                <w:szCs w:val="20"/>
              </w:rPr>
              <w:t xml:space="preserve">35</w:t>
            </w:r>
          </w:p>
        </w:tc>
        <w:tc>
          <w:tcPr>
            <w:tcW w:type="dxa" w:w="3600"/>
            <w:tcMar>
              <w:top w:type="dxa" w:w="50"/>
              <w:left w:type="dxa" w:w="90"/>
              <w:bottom w:type="dxa" w:w="50"/>
              <w:right w:type="dxa" w:w="90"/>
            </w:tcMar>
          </w:tcPr>
          <w:p>
            <w:pPr>
              <w:jc w:val="center"/>
            </w:pPr>
            <w:r>
              <w:rPr>
                <w:b w:val="false"/>
                <w:bCs w:val="false"/>
                <w:sz w:val="20"/>
                <w:szCs w:val="20"/>
              </w:rPr>
              <w:t xml:space="preserve">rustig, gebruikelijke stand</w:t>
            </w:r>
          </w:p>
        </w:tc>
      </w:tr>
    </w:tbl>
    <w:p>
      <w:pPr>
        <w:spacing w:after="100"/>
      </w:pPr>
    </w:p>
    <w:p>
      <w:pPr>
        <w:spacing w:after="120"/>
      </w:pPr>
      <w:r>
        <w:rPr>
          <w:b/>
          <w:bCs/>
        </w:rPr>
        <w:t xml:space="preserve">Het tempo kiest daarna op dagniveau: </w:t>
      </w:r>
      <w:r>
        <w:t xml:space="preserve">bij tempo 2 toont Filly de 2 sterkste dagen (donderdag + maandag); bij tempo 1 alleen donderdag. Zou op donderdag óók de avond rustig zijn geweest, dan was dat samen één kans (“donderdag middag en avond”), nog steeds één dag.</w:t>
      </w:r>
    </w:p>
    <w:p>
      <w:pPr>
        <w:spacing w:after="120"/>
      </w:pPr>
      <w:r>
        <w:t xml:space="preserve">Het label “ongewoon” vs “gebruikelijk” volgt uit hoe ver de afwijking onder de schommeling ligt (ongewoon vanaf ~2× de schommeling). Dat bepaalt de toon van Filly's voorstel, niet of het meetelt.</w:t>
      </w:r>
    </w:p>
    <w:p>
      <w:pPr>
        <w:pStyle w:val="Heading1"/>
        <w:spacing w:after="140" w:before="340"/>
      </w:pPr>
      <w:r>
        <w:rPr>
          <w:b/>
          <w:bCs/>
          <w:color w:val="1F4A2D"/>
        </w:rPr>
        <w:t xml:space="preserve">7. Hoe Filly erop inspeelt</w:t>
      </w:r>
    </w:p>
    <w:p>
      <w:pPr>
        <w:spacing w:after="120"/>
      </w:pPr>
      <w:r>
        <w:t xml:space="preserve">Per moment stemt Filly het voorstel af op het dagdeel: kanaal, gastsegment en verzendmoment. Overdag (lunch/middag) een last-minute zetje via WhatsApp/mail naar vaste gasten; 's avonds eerder op de dag via social/mail. Het dagdeel en de toon gaan mee in de campagne-generatie.</w:t>
      </w:r>
    </w:p>
    <w:p>
      <w:pPr>
        <w:pStyle w:val="Heading1"/>
        <w:spacing w:after="140" w:before="340"/>
      </w:pPr>
      <w:r>
        <w:rPr>
          <w:b/>
          <w:bCs/>
          <w:color w:val="1F4A2D"/>
        </w:rPr>
        <w:t xml:space="preserve">8. Verantwoording: waarom niet anders?</w:t>
      </w:r>
    </w:p>
    <w:p>
      <w:pPr>
        <w:spacing w:after="120"/>
      </w:pPr>
      <w:r>
        <w:t xml:space="preserve">Overwogen en bewust niet (of nog niet) gekozen: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rPr>
          <w:tblHeader/>
        </w:trPr>
        <w:tc>
          <w:tcPr>
            <w:tcW w:type="dxa" w:w="3400"/>
            <w:shd w:fill="1F4A2D" w:color="auto" w:val="clear"/>
            <w:tcMar>
              <w:top w:type="dxa" w:w="50"/>
              <w:left w:type="dxa" w:w="90"/>
              <w:bottom w:type="dxa" w:w="50"/>
              <w:right w:type="dxa" w:w="90"/>
            </w:tcMar>
          </w:tcPr>
          <w:p>
            <w:r>
              <w:rPr>
                <w:b/>
                <w:bCs/>
                <w:color w:val="FFFFFF"/>
                <w:sz w:val="20"/>
                <w:szCs w:val="20"/>
              </w:rPr>
              <w:t xml:space="preserve">Methode</w:t>
            </w:r>
          </w:p>
        </w:tc>
        <w:tc>
          <w:tcPr>
            <w:tcW w:type="dxa" w:w="5400"/>
            <w:shd w:fill="1F4A2D" w:color="auto" w:val="clear"/>
            <w:tcMar>
              <w:top w:type="dxa" w:w="50"/>
              <w:left w:type="dxa" w:w="90"/>
              <w:bottom w:type="dxa" w:w="50"/>
              <w:right w:type="dxa" w:w="90"/>
            </w:tcMar>
          </w:tcPr>
          <w:p>
            <w:r>
              <w:rPr>
                <w:b/>
                <w:bCs/>
                <w:color w:val="FFFFFF"/>
                <w:sz w:val="20"/>
                <w:szCs w:val="20"/>
              </w:rPr>
              <w:t xml:space="preserve">Waarom niet gekozen</w:t>
            </w:r>
          </w:p>
        </w:tc>
      </w:tr>
      <w:tr>
        <w:trPr>
          <w:tblHeader w:val="false"/>
        </w:trPr>
        <w:tc>
          <w:tcPr>
            <w:tcW w:type="dxa" w:w="3400"/>
            <w:tcMar>
              <w:top w:type="dxa" w:w="50"/>
              <w:left w:type="dxa" w:w="90"/>
              <w:bottom w:type="dxa" w:w="50"/>
              <w:right w:type="dxa" w:w="90"/>
            </w:tcMar>
          </w:tcPr>
          <w:p>
            <w:r>
              <w:rPr>
                <w:b w:val="false"/>
                <w:bCs w:val="false"/>
                <w:sz w:val="20"/>
                <w:szCs w:val="20"/>
              </w:rPr>
              <w:t xml:space="preserve">Vaste absolute drempel (bijv. drukte &lt; 50%)</w:t>
            </w:r>
          </w:p>
        </w:tc>
        <w:tc>
          <w:tcPr>
            <w:tcW w:type="dxa" w:w="5400"/>
            <w:tcMar>
              <w:top w:type="dxa" w:w="50"/>
              <w:left w:type="dxa" w:w="90"/>
              <w:bottom w:type="dxa" w:w="50"/>
              <w:right w:type="dxa" w:w="90"/>
            </w:tcMar>
          </w:tcPr>
          <w:p>
            <w:r>
              <w:rPr>
                <w:b w:val="false"/>
                <w:bCs w:val="false"/>
                <w:sz w:val="20"/>
                <w:szCs w:val="20"/>
              </w:rPr>
              <w:t xml:space="preserve">Google's % is per zaak genormaliseerd, dus een vaste drempel betekent overal iets anders; bovendien grof en zonder dagdeel.</w:t>
            </w:r>
          </w:p>
        </w:tc>
      </w:tr>
      <w:tr>
        <w:trPr>
          <w:tblHeader w:val="false"/>
        </w:trPr>
        <w:tc>
          <w:tcPr>
            <w:tcW w:type="dxa" w:w="3400"/>
            <w:tcMar>
              <w:top w:type="dxa" w:w="50"/>
              <w:left w:type="dxa" w:w="90"/>
              <w:bottom w:type="dxa" w:w="50"/>
              <w:right w:type="dxa" w:w="90"/>
            </w:tcMar>
          </w:tcPr>
          <w:p>
            <w:r>
              <w:rPr>
                <w:b w:val="false"/>
                <w:bCs w:val="false"/>
                <w:sz w:val="20"/>
                <w:szCs w:val="20"/>
              </w:rPr>
              <w:t xml:space="preserve">Puur relatief t.o.v. weekgemiddelde (dagniveau)</w:t>
            </w:r>
          </w:p>
        </w:tc>
        <w:tc>
          <w:tcPr>
            <w:tcW w:type="dxa" w:w="5400"/>
            <w:tcMar>
              <w:top w:type="dxa" w:w="50"/>
              <w:left w:type="dxa" w:w="90"/>
              <w:bottom w:type="dxa" w:w="50"/>
              <w:right w:type="dxa" w:w="90"/>
            </w:tcMar>
          </w:tcPr>
          <w:p>
            <w:r>
              <w:rPr>
                <w:b w:val="false"/>
                <w:bCs w:val="false"/>
                <w:sz w:val="20"/>
                <w:szCs w:val="20"/>
              </w:rPr>
              <w:t xml:space="preserve">Mist het dagdeel. En “zelfde dagdeel over de week” verwart weekend- met doordeweekse middagen (maandagmiddag hoort rustiger dan zaterdagmiddag).</w:t>
            </w:r>
          </w:p>
        </w:tc>
      </w:tr>
      <w:tr>
        <w:trPr>
          <w:tblHeader w:val="false"/>
        </w:trPr>
        <w:tc>
          <w:tcPr>
            <w:tcW w:type="dxa" w:w="3400"/>
            <w:tcMar>
              <w:top w:type="dxa" w:w="50"/>
              <w:left w:type="dxa" w:w="90"/>
              <w:bottom w:type="dxa" w:w="50"/>
              <w:right w:type="dxa" w:w="90"/>
            </w:tcMar>
          </w:tcPr>
          <w:p>
            <w:r>
              <w:rPr>
                <w:b w:val="false"/>
                <w:bCs w:val="false"/>
                <w:sz w:val="20"/>
                <w:szCs w:val="20"/>
              </w:rPr>
              <w:t xml:space="preserve">Peer-benchmark / eenmalige scrape van andere zaken</w:t>
            </w:r>
          </w:p>
        </w:tc>
        <w:tc>
          <w:tcPr>
            <w:tcW w:type="dxa" w:w="5400"/>
            <w:tcMar>
              <w:top w:type="dxa" w:w="50"/>
              <w:left w:type="dxa" w:w="90"/>
              <w:bottom w:type="dxa" w:w="50"/>
              <w:right w:type="dxa" w:w="90"/>
            </w:tcMar>
          </w:tcPr>
          <w:p>
            <w:r>
              <w:rPr>
                <w:b w:val="false"/>
                <w:bCs w:val="false"/>
                <w:sz w:val="20"/>
                <w:szCs w:val="20"/>
              </w:rPr>
              <w:t xml:space="preserve">Kan niet: Google's % is genormaliseerd naar de eigen piek, dus absolute niveaus zijn tussen zaken onvergelijkbaar. De databron laat de vergelijking niet toe.</w:t>
            </w:r>
          </w:p>
        </w:tc>
      </w:tr>
      <w:tr>
        <w:trPr>
          <w:tblHeader w:val="false"/>
        </w:trPr>
        <w:tc>
          <w:tcPr>
            <w:tcW w:type="dxa" w:w="3400"/>
            <w:tcMar>
              <w:top w:type="dxa" w:w="50"/>
              <w:left w:type="dxa" w:w="90"/>
              <w:bottom w:type="dxa" w:w="50"/>
              <w:right w:type="dxa" w:w="90"/>
            </w:tcMar>
          </w:tcPr>
          <w:p>
            <w:r>
              <w:rPr>
                <w:b w:val="false"/>
                <w:bCs w:val="false"/>
                <w:sz w:val="20"/>
                <w:szCs w:val="20"/>
              </w:rPr>
              <w:t xml:space="preserve">Live-drukte als trigger</w:t>
            </w:r>
          </w:p>
        </w:tc>
        <w:tc>
          <w:tcPr>
            <w:tcW w:type="dxa" w:w="5400"/>
            <w:tcMar>
              <w:top w:type="dxa" w:w="50"/>
              <w:left w:type="dxa" w:w="90"/>
              <w:bottom w:type="dxa" w:w="50"/>
              <w:right w:type="dxa" w:w="90"/>
            </w:tcMar>
          </w:tcPr>
          <w:p>
            <w:r>
              <w:rPr>
                <w:b w:val="false"/>
                <w:bCs w:val="false"/>
                <w:sz w:val="20"/>
                <w:szCs w:val="20"/>
              </w:rPr>
              <w:t xml:space="preserve">Grof (springt 0↔100) en soms bevroren; en het doel is dagen vooruit plannen, niet reactief. Live blijft alleen een “nu rustiger dan normaal”-signaal.</w:t>
            </w:r>
          </w:p>
        </w:tc>
      </w:tr>
      <w:tr>
        <w:trPr>
          <w:tblHeader w:val="false"/>
        </w:trPr>
        <w:tc>
          <w:tcPr>
            <w:tcW w:type="dxa" w:w="3400"/>
            <w:tcMar>
              <w:top w:type="dxa" w:w="50"/>
              <w:left w:type="dxa" w:w="90"/>
              <w:bottom w:type="dxa" w:w="50"/>
              <w:right w:type="dxa" w:w="90"/>
            </w:tcMar>
          </w:tcPr>
          <w:p>
            <w:r>
              <w:rPr>
                <w:b w:val="false"/>
                <w:bCs w:val="false"/>
                <w:sz w:val="20"/>
                <w:szCs w:val="20"/>
              </w:rPr>
              <w:t xml:space="preserve">Gemiddelde + standaarddeviatie voor baseline/schommeling</w:t>
            </w:r>
          </w:p>
        </w:tc>
        <w:tc>
          <w:tcPr>
            <w:tcW w:type="dxa" w:w="5400"/>
            <w:tcMar>
              <w:top w:type="dxa" w:w="50"/>
              <w:left w:type="dxa" w:w="90"/>
              <w:bottom w:type="dxa" w:w="50"/>
              <w:right w:type="dxa" w:w="90"/>
            </w:tcMar>
          </w:tcPr>
          <w:p>
            <w:r>
              <w:rPr>
                <w:b w:val="false"/>
                <w:bCs w:val="false"/>
                <w:sz w:val="20"/>
                <w:szCs w:val="20"/>
              </w:rPr>
              <w:t xml:space="preserve">De dip die we zoeken trekt zijn eigen baseline omlaag én blaast de std op, waardoor de anomalie onderschat wordt. Vervangen door median polish + MAD (robuust). Zie hoofdstuk 5.</w:t>
            </w:r>
          </w:p>
        </w:tc>
      </w:tr>
      <w:tr>
        <w:trPr>
          <w:tblHeader w:val="false"/>
        </w:trPr>
        <w:tc>
          <w:tcPr>
            <w:tcW w:type="dxa" w:w="3400"/>
            <w:tcMar>
              <w:top w:type="dxa" w:w="50"/>
              <w:left w:type="dxa" w:w="90"/>
              <w:bottom w:type="dxa" w:w="50"/>
              <w:right w:type="dxa" w:w="90"/>
            </w:tcMar>
          </w:tcPr>
          <w:p>
            <w:r>
              <w:rPr>
                <w:b w:val="false"/>
                <w:bCs w:val="false"/>
                <w:sz w:val="20"/>
                <w:szCs w:val="20"/>
              </w:rPr>
              <w:t xml:space="preserve">Log- of relatieve residuen (% onder verwacht)</w:t>
            </w:r>
          </w:p>
        </w:tc>
        <w:tc>
          <w:tcPr>
            <w:tcW w:type="dxa" w:w="5400"/>
            <w:tcMar>
              <w:top w:type="dxa" w:w="50"/>
              <w:left w:type="dxa" w:w="90"/>
              <w:bottom w:type="dxa" w:w="50"/>
              <w:right w:type="dxa" w:w="90"/>
            </w:tcMar>
          </w:tcPr>
          <w:p>
            <w:r>
              <w:rPr>
                <w:b w:val="false"/>
                <w:bCs w:val="false"/>
                <w:sz w:val="20"/>
                <w:szCs w:val="20"/>
              </w:rPr>
              <w:t xml:space="preserve">Netjes tegen niveau-afhankelijke spreiding, maar instabiel bij lage waarden (rustige uren liggen dicht bij 0). Niet als default; eventueel later.</w:t>
            </w:r>
          </w:p>
        </w:tc>
      </w:tr>
      <w:tr>
        <w:trPr>
          <w:tblHeader w:val="false"/>
        </w:trPr>
        <w:tc>
          <w:tcPr>
            <w:tcW w:type="dxa" w:w="3400"/>
            <w:tcMar>
              <w:top w:type="dxa" w:w="50"/>
              <w:left w:type="dxa" w:w="90"/>
              <w:bottom w:type="dxa" w:w="50"/>
              <w:right w:type="dxa" w:w="90"/>
            </w:tcMar>
          </w:tcPr>
          <w:p>
            <w:r>
              <w:rPr>
                <w:b w:val="false"/>
                <w:bCs w:val="false"/>
                <w:sz w:val="20"/>
                <w:szCs w:val="20"/>
              </w:rPr>
              <w:t xml:space="preserve">Tijdreeks-decompositie (STL) met betrouwbaarheidsbanden</w:t>
            </w:r>
          </w:p>
        </w:tc>
        <w:tc>
          <w:tcPr>
            <w:tcW w:type="dxa" w:w="5400"/>
            <w:tcMar>
              <w:top w:type="dxa" w:w="50"/>
              <w:left w:type="dxa" w:w="90"/>
              <w:bottom w:type="dxa" w:w="50"/>
              <w:right w:type="dxa" w:w="90"/>
            </w:tcMar>
          </w:tcPr>
          <w:p>
            <w:r>
              <w:rPr>
                <w:b w:val="false"/>
                <w:bCs w:val="false"/>
                <w:sz w:val="20"/>
                <w:szCs w:val="20"/>
              </w:rPr>
              <w:t xml:space="preserve">De “volwassen” methode, maar vereist weken eigen historie. Toekomstige stap zodra de live-metingen zich opbouwen.</w:t>
            </w:r>
          </w:p>
        </w:tc>
      </w:tr>
      <w:tr>
        <w:trPr>
          <w:tblHeader w:val="false"/>
        </w:trPr>
        <w:tc>
          <w:tcPr>
            <w:tcW w:type="dxa" w:w="3400"/>
            <w:tcMar>
              <w:top w:type="dxa" w:w="50"/>
              <w:left w:type="dxa" w:w="90"/>
              <w:bottom w:type="dxa" w:w="50"/>
              <w:right w:type="dxa" w:w="90"/>
            </w:tcMar>
          </w:tcPr>
          <w:p>
            <w:r>
              <w:rPr>
                <w:b w:val="false"/>
                <w:bCs w:val="false"/>
                <w:sz w:val="20"/>
                <w:szCs w:val="20"/>
              </w:rPr>
              <w:t xml:space="preserve">Afwijking alleen, of vulbaarheid alleen</w:t>
            </w:r>
          </w:p>
        </w:tc>
        <w:tc>
          <w:tcPr>
            <w:tcW w:type="dxa" w:w="5400"/>
            <w:tcMar>
              <w:top w:type="dxa" w:w="50"/>
              <w:left w:type="dxa" w:w="90"/>
              <w:bottom w:type="dxa" w:w="50"/>
              <w:right w:type="dxa" w:w="90"/>
            </w:tcMar>
          </w:tcPr>
          <w:p>
            <w:r>
              <w:rPr>
                <w:b w:val="false"/>
                <w:bCs w:val="false"/>
                <w:sz w:val="20"/>
                <w:szCs w:val="20"/>
              </w:rPr>
              <w:t xml:space="preserve">Afwijking alleen = te weinig momenten; vulbaarheid alleen = bijna elke dag iets. Daarom gecombineerd, met tempo-plafond voor het aantal.</w:t>
            </w:r>
          </w:p>
        </w:tc>
      </w:tr>
    </w:tbl>
    <w:p>
      <w:pPr>
        <w:pStyle w:val="Heading1"/>
        <w:spacing w:after="140" w:before="340"/>
      </w:pPr>
      <w:r>
        <w:rPr>
          <w:b/>
          <w:bCs/>
          <w:color w:val="1F4A2D"/>
        </w:rPr>
        <w:t xml:space="preserve">9. Instellingen en constanten</w:t>
      </w:r>
    </w:p>
    <w:p>
      <w:pPr>
        <w:pStyle w:val="ListParagraph"/>
        <w:numPr>
          <w:ilvl w:val="0"/>
          <w:numId w:val="2"/>
        </w:numPr>
        <w:spacing w:after="60"/>
      </w:pPr>
      <w:r>
        <w:rPr>
          <w:b/>
          <w:bCs/>
        </w:rPr>
        <w:t xml:space="preserve">Tempo (per zaak, instelbaar): </w:t>
      </w:r>
      <w:r>
        <w:t xml:space="preserve">quiet_moments_per_week = max aantal rustige DAGEN per week, default 2, bereik 1–6. Op de account-pagina (Algemeen → Meldingen).</w:t>
      </w:r>
    </w:p>
    <w:p>
      <w:pPr>
        <w:pStyle w:val="ListParagraph"/>
        <w:numPr>
          <w:ilvl w:val="0"/>
          <w:numId w:val="2"/>
        </w:numPr>
        <w:spacing w:after="60"/>
      </w:pPr>
      <w:r>
        <w:rPr>
          <w:b/>
          <w:bCs/>
        </w:rPr>
        <w:t xml:space="preserve">Interne constanten (door ons te tunen): </w:t>
      </w:r>
      <w:r>
        <w:t xml:space="preserve">min-dekking (open uren per dagdeel), minimale vulbaarheid (gat), en de multiplier op de normale schommeling voor de rustig- en “ongewoon”-grens.</w:t>
      </w:r>
    </w:p>
    <w:p>
      <w:pPr>
        <w:pStyle w:val="Heading1"/>
        <w:spacing w:after="140" w:before="340"/>
      </w:pPr>
      <w:r>
        <w:rPr>
          <w:b/>
          <w:bCs/>
          <w:color w:val="1F4A2D"/>
        </w:rPr>
        <w:t xml:space="preserve">10. Waar het in de code zit</w:t>
      </w:r>
    </w:p>
    <w:p>
      <w:pPr>
        <w:pStyle w:val="ListParagraph"/>
        <w:numPr>
          <w:ilvl w:val="0"/>
          <w:numId w:val="2"/>
        </w:numPr>
        <w:spacing w:after="60"/>
      </w:pPr>
      <w:r>
        <w:t xml:space="preserve">apps/api/src/busyness/busyness.service.ts — getQuietMoments (rooster, median polish, MAD, selectie + tempo).</w:t>
      </w:r>
    </w:p>
    <w:p>
      <w:pPr>
        <w:pStyle w:val="ListParagraph"/>
        <w:numPr>
          <w:ilvl w:val="0"/>
          <w:numId w:val="2"/>
        </w:numPr>
        <w:spacing w:after="60"/>
      </w:pPr>
      <w:r>
        <w:t xml:space="preserve">apps/api/src/busyness/busyness.controller.ts — endpoint GET /busyness/me/quiet-moments.</w:t>
      </w:r>
    </w:p>
    <w:p>
      <w:pPr>
        <w:pStyle w:val="ListParagraph"/>
        <w:numPr>
          <w:ilvl w:val="0"/>
          <w:numId w:val="2"/>
        </w:numPr>
        <w:spacing w:after="60"/>
      </w:pPr>
      <w:r>
        <w:t xml:space="preserve">apps/api/src/suggestions/suggestions.service.ts — auto-detectie op de momenten.</w:t>
      </w:r>
    </w:p>
    <w:p>
      <w:pPr>
        <w:pStyle w:val="ListParagraph"/>
        <w:numPr>
          <w:ilvl w:val="0"/>
          <w:numId w:val="2"/>
        </w:numPr>
        <w:spacing w:after="60"/>
      </w:pPr>
      <w:r>
        <w:t xml:space="preserve">apps/api/src/ai/restaurant-context.service.ts — rustige momenten in Filly's chat-context.</w:t>
      </w:r>
    </w:p>
    <w:p>
      <w:pPr>
        <w:pStyle w:val="ListParagraph"/>
        <w:numPr>
          <w:ilvl w:val="0"/>
          <w:numId w:val="2"/>
        </w:numPr>
        <w:spacing w:after="60"/>
      </w:pPr>
      <w:r>
        <w:t xml:space="preserve">apps/web/src/lib/use-actionable-days.ts + _components/busyness-card.tsx — chat-blokjes + grafiek-markers uit dezelfde bron.</w:t>
      </w:r>
    </w:p>
    <w:p>
      <w:pPr>
        <w:pStyle w:val="ListParagraph"/>
        <w:numPr>
          <w:ilvl w:val="0"/>
          <w:numId w:val="2"/>
        </w:numPr>
        <w:spacing w:after="60"/>
      </w:pPr>
      <w:r>
        <w:t xml:space="preserve">apps/api/supabase/migrations/0065_restaurant_quiet_moments_per_week.sql — de tempo-instelling.</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Stap %1."/>
      <w:lvlJc w:val="left"/>
      <w:pPr>
        <w:ind w:left="62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Detectie van rustige momenten</dc:title>
  <dc:creator>Get-Filly</dc:creator>
  <cp:lastModifiedBy>Un-named</cp:lastModifiedBy>
  <cp:revision>1</cp:revision>
  <dcterms:created xsi:type="dcterms:W3CDTF">2026-07-28T18:59:18.383Z</dcterms:created>
  <dcterms:modified xsi:type="dcterms:W3CDTF">2026-07-28T18:59:18.384Z</dcterms:modified>
</cp:coreProperties>
</file>

<file path=docProps/custom.xml><?xml version="1.0" encoding="utf-8"?>
<Properties xmlns="http://schemas.openxmlformats.org/officeDocument/2006/custom-properties" xmlns:vt="http://schemas.openxmlformats.org/officeDocument/2006/docPropsVTypes"/>
</file>