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A2D"/>
          <w:sz w:val="18"/>
          <w:szCs w:val="18"/>
        </w:rPr>
        <w:t xml:space="preserve">GET-FILLY</w:t>
      </w:r>
    </w:p>
    <w:p>
      <w:pPr>
        <w:spacing w:after="40"/>
      </w:pPr>
      <w:r>
        <w:rPr>
          <w:b/>
          <w:bCs/>
          <w:color w:val="18181B"/>
          <w:sz w:val="44"/>
          <w:szCs w:val="44"/>
        </w:rPr>
        <w:t xml:space="preserve">Detectie van rustige momenten</w:t>
      </w:r>
    </w:p>
    <w:p>
      <w:pPr>
        <w:spacing w:after="60"/>
      </w:pPr>
      <w:r>
        <w:rPr>
          <w:i/>
          <w:iCs/>
          <w:color w:val="52525B"/>
          <w:sz w:val="22"/>
          <w:szCs w:val="22"/>
        </w:rPr>
        <w:t xml:space="preserve">Hoe Filly per dagdeel voorspelt welke momenten waarschijnlijk een campagne nodig hebben — en waarom voor deze rekenwijze is gekozen.</w:t>
      </w:r>
    </w:p>
    <w:p>
      <w:pPr>
        <w:pBdr>
          <w:bottom w:val="single" w:color="1F4A2D" w:sz="12" w:space="8"/>
        </w:pBdr>
        <w:spacing w:after="200"/>
      </w:pPr>
    </w:p>
    <w:p>
      <w:pPr>
        <w:pStyle w:val="Heading1"/>
        <w:spacing w:after="140" w:before="320"/>
      </w:pPr>
      <w:r>
        <w:rPr>
          <w:b/>
          <w:bCs/>
          <w:color w:val="1F4A2D"/>
        </w:rPr>
        <w:t xml:space="preserve">1. Wat het doet</w:t>
      </w:r>
    </w:p>
    <w:p>
      <w:pPr>
        <w:spacing w:after="120"/>
      </w:pPr>
      <w:r>
        <w:t xml:space="preserve">Filly bepaalt een paar dagen vooruit welke dagdelen (ochtend, lunch, middag, diner, avond) waarschijnlijk rustig zullen zijn, zodat de ondernemer daar op tijd een gerichte actie op kan zetten. Het is bewust voorspellend en niet reactief: de bepaling draait op het verwachte weekpatroon, niet op de live-drukte van dat moment.</w:t>
      </w:r>
    </w:p>
    <w:p>
      <w:pPr>
        <w:spacing w:after="120"/>
      </w:pPr>
      <w:r>
        <w:t xml:space="preserve">De uitkomst voedt drie plekken vanuit één bron: de markers op de bezettingsgrafiek, de rustige-momenten-blokjes in de Filly-chat, en de automatische campagne-detectie. Zo tonen grafiek, chat en detectie altijd hetzelfde.</w:t>
      </w:r>
    </w:p>
    <w:p>
      <w:pPr>
        <w:pStyle w:val="Heading1"/>
        <w:spacing w:after="140" w:before="320"/>
      </w:pPr>
      <w:r>
        <w:rPr>
          <w:b/>
          <w:bCs/>
          <w:color w:val="1F4A2D"/>
        </w:rPr>
        <w:t xml:space="preserve">2. De databron</w:t>
      </w:r>
    </w:p>
    <w:p>
      <w:pPr>
        <w:spacing w:after="120"/>
      </w:pPr>
      <w:r>
        <w:t xml:space="preserve">De input is Google “Populaire tijden”, opgehaald via Apify en opgeslagen als een weekpatroon van 7 dagen × 24 uur (relatieve drukte 0–100). Eén belangrijk kenmerk stuurt veel van de keuzes hieronder:</w:t>
      </w:r>
    </w:p>
    <w:p>
      <w:pPr>
        <w:pStyle w:val="ListParagraph"/>
        <w:numPr>
          <w:ilvl w:val="0"/>
          <w:numId w:val="2"/>
        </w:numPr>
        <w:spacing w:after="60"/>
      </w:pPr>
      <w:r>
        <w:t xml:space="preserve">Google's percentages zijn per zaak genormaliseerd naar de eigen drukste moment (piek = 100%). Een rustig restaurant en een bomvolle zaak pieken allebei op 100. Absolute niveaus zijn daardoor tussen zaken niet vergelijkbaar — alleen binnen dezelfde zaak.</w:t>
      </w:r>
    </w:p>
    <w:p>
      <w:pPr>
        <w:spacing w:after="120"/>
      </w:pPr>
      <w:r>
        <w:t xml:space="preserve">Alle logica draait dus op het patroon van de zaak zelf. Er is geen live-data en geen vergelijking met andere zaken nodig.</w:t>
      </w:r>
    </w:p>
    <w:p>
      <w:pPr>
        <w:pStyle w:val="Heading1"/>
        <w:spacing w:after="140" w:before="320"/>
      </w:pPr>
      <w:r>
        <w:rPr>
          <w:b/>
          <w:bCs/>
          <w:color w:val="1F4A2D"/>
        </w:rPr>
        <w:t xml:space="preserve">3. Dagdelen</w:t>
      </w:r>
    </w:p>
    <w:p>
      <w:pPr>
        <w:spacing w:after="120"/>
      </w:pPr>
      <w:r>
        <w:t xml:space="preserve">De dag wordt opgedeeld in vaste vensters, zodat “middag” elke dag hetzelfde blok is en dagen onderling vergelijkbaar blijven:</w:t>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tblGrid>
      <w:tr>
        <w:trPr>
          <w:tblHeader/>
        </w:trPr>
        <w:tc>
          <w:tcPr>
            <w:tcW w:type="dxa" w:w="2600"/>
            <w:shd w:fill="1F4A2D" w:color="auto" w:val="clear"/>
            <w:tcMar>
              <w:top w:type="dxa" w:w="60"/>
              <w:left w:type="dxa" w:w="100"/>
              <w:bottom w:type="dxa" w:w="60"/>
              <w:right w:type="dxa" w:w="100"/>
            </w:tcMar>
          </w:tcPr>
          <w:p>
            <w:r>
              <w:rPr>
                <w:b/>
                <w:bCs/>
                <w:color w:val="FFFFFF"/>
                <w:sz w:val="20"/>
                <w:szCs w:val="20"/>
              </w:rPr>
              <w:t xml:space="preserve">Dagdeel</w:t>
            </w:r>
          </w:p>
        </w:tc>
        <w:tc>
          <w:tcPr>
            <w:tcW w:type="dxa" w:w="3200"/>
            <w:shd w:fill="1F4A2D" w:color="auto" w:val="clear"/>
            <w:tcMar>
              <w:top w:type="dxa" w:w="60"/>
              <w:left w:type="dxa" w:w="100"/>
              <w:bottom w:type="dxa" w:w="60"/>
              <w:right w:type="dxa" w:w="100"/>
            </w:tcMar>
          </w:tcPr>
          <w:p>
            <w:r>
              <w:rPr>
                <w:b/>
                <w:bCs/>
                <w:color w:val="FFFFFF"/>
                <w:sz w:val="20"/>
                <w:szCs w:val="20"/>
              </w:rPr>
              <w:t xml:space="preserve">Venster</w:t>
            </w:r>
          </w:p>
        </w:tc>
      </w:tr>
      <w:tr>
        <w:trPr>
          <w:tblHeader w:val="false"/>
        </w:trPr>
        <w:tc>
          <w:tcPr>
            <w:tcW w:type="dxa" w:w="2600"/>
            <w:tcMar>
              <w:top w:type="dxa" w:w="60"/>
              <w:left w:type="dxa" w:w="100"/>
              <w:bottom w:type="dxa" w:w="60"/>
              <w:right w:type="dxa" w:w="100"/>
            </w:tcMar>
          </w:tcPr>
          <w:p>
            <w:r>
              <w:rPr>
                <w:b w:val="false"/>
                <w:bCs w:val="false"/>
                <w:sz w:val="20"/>
                <w:szCs w:val="20"/>
              </w:rPr>
              <w:t xml:space="preserve">Ochtend</w:t>
            </w:r>
          </w:p>
        </w:tc>
        <w:tc>
          <w:tcPr>
            <w:tcW w:type="dxa" w:w="3200"/>
            <w:tcMar>
              <w:top w:type="dxa" w:w="60"/>
              <w:left w:type="dxa" w:w="100"/>
              <w:bottom w:type="dxa" w:w="60"/>
              <w:right w:type="dxa" w:w="100"/>
            </w:tcMar>
          </w:tcPr>
          <w:p>
            <w:r>
              <w:rPr>
                <w:b w:val="false"/>
                <w:bCs w:val="false"/>
                <w:sz w:val="20"/>
                <w:szCs w:val="20"/>
              </w:rPr>
              <w:t xml:space="preserve">06:00 – 11:00</w:t>
            </w:r>
          </w:p>
        </w:tc>
      </w:tr>
      <w:tr>
        <w:trPr>
          <w:tblHeader w:val="false"/>
        </w:trPr>
        <w:tc>
          <w:tcPr>
            <w:tcW w:type="dxa" w:w="2600"/>
            <w:tcMar>
              <w:top w:type="dxa" w:w="60"/>
              <w:left w:type="dxa" w:w="100"/>
              <w:bottom w:type="dxa" w:w="60"/>
              <w:right w:type="dxa" w:w="100"/>
            </w:tcMar>
          </w:tcPr>
          <w:p>
            <w:r>
              <w:rPr>
                <w:b w:val="false"/>
                <w:bCs w:val="false"/>
                <w:sz w:val="20"/>
                <w:szCs w:val="20"/>
              </w:rPr>
              <w:t xml:space="preserve">Lunch</w:t>
            </w:r>
          </w:p>
        </w:tc>
        <w:tc>
          <w:tcPr>
            <w:tcW w:type="dxa" w:w="3200"/>
            <w:tcMar>
              <w:top w:type="dxa" w:w="60"/>
              <w:left w:type="dxa" w:w="100"/>
              <w:bottom w:type="dxa" w:w="60"/>
              <w:right w:type="dxa" w:w="100"/>
            </w:tcMar>
          </w:tcPr>
          <w:p>
            <w:r>
              <w:rPr>
                <w:b w:val="false"/>
                <w:bCs w:val="false"/>
                <w:sz w:val="20"/>
                <w:szCs w:val="20"/>
              </w:rPr>
              <w:t xml:space="preserve">11:00 – 14:00</w:t>
            </w:r>
          </w:p>
        </w:tc>
      </w:tr>
      <w:tr>
        <w:trPr>
          <w:tblHeader w:val="false"/>
        </w:trPr>
        <w:tc>
          <w:tcPr>
            <w:tcW w:type="dxa" w:w="2600"/>
            <w:tcMar>
              <w:top w:type="dxa" w:w="60"/>
              <w:left w:type="dxa" w:w="100"/>
              <w:bottom w:type="dxa" w:w="60"/>
              <w:right w:type="dxa" w:w="100"/>
            </w:tcMar>
          </w:tcPr>
          <w:p>
            <w:r>
              <w:rPr>
                <w:b w:val="false"/>
                <w:bCs w:val="false"/>
                <w:sz w:val="20"/>
                <w:szCs w:val="20"/>
              </w:rPr>
              <w:t xml:space="preserve">Middag</w:t>
            </w:r>
          </w:p>
        </w:tc>
        <w:tc>
          <w:tcPr>
            <w:tcW w:type="dxa" w:w="3200"/>
            <w:tcMar>
              <w:top w:type="dxa" w:w="60"/>
              <w:left w:type="dxa" w:w="100"/>
              <w:bottom w:type="dxa" w:w="60"/>
              <w:right w:type="dxa" w:w="100"/>
            </w:tcMar>
          </w:tcPr>
          <w:p>
            <w:r>
              <w:rPr>
                <w:b w:val="false"/>
                <w:bCs w:val="false"/>
                <w:sz w:val="20"/>
                <w:szCs w:val="20"/>
              </w:rPr>
              <w:t xml:space="preserve">14:00 – 17:00</w:t>
            </w:r>
          </w:p>
        </w:tc>
      </w:tr>
      <w:tr>
        <w:trPr>
          <w:tblHeader w:val="false"/>
        </w:trPr>
        <w:tc>
          <w:tcPr>
            <w:tcW w:type="dxa" w:w="2600"/>
            <w:tcMar>
              <w:top w:type="dxa" w:w="60"/>
              <w:left w:type="dxa" w:w="100"/>
              <w:bottom w:type="dxa" w:w="60"/>
              <w:right w:type="dxa" w:w="100"/>
            </w:tcMar>
          </w:tcPr>
          <w:p>
            <w:r>
              <w:rPr>
                <w:b w:val="false"/>
                <w:bCs w:val="false"/>
                <w:sz w:val="20"/>
                <w:szCs w:val="20"/>
              </w:rPr>
              <w:t xml:space="preserve">Diner</w:t>
            </w:r>
          </w:p>
        </w:tc>
        <w:tc>
          <w:tcPr>
            <w:tcW w:type="dxa" w:w="3200"/>
            <w:tcMar>
              <w:top w:type="dxa" w:w="60"/>
              <w:left w:type="dxa" w:w="100"/>
              <w:bottom w:type="dxa" w:w="60"/>
              <w:right w:type="dxa" w:w="100"/>
            </w:tcMar>
          </w:tcPr>
          <w:p>
            <w:r>
              <w:rPr>
                <w:b w:val="false"/>
                <w:bCs w:val="false"/>
                <w:sz w:val="20"/>
                <w:szCs w:val="20"/>
              </w:rPr>
              <w:t xml:space="preserve">17:00 – 21:00</w:t>
            </w:r>
          </w:p>
        </w:tc>
      </w:tr>
      <w:tr>
        <w:trPr>
          <w:tblHeader w:val="false"/>
        </w:trPr>
        <w:tc>
          <w:tcPr>
            <w:tcW w:type="dxa" w:w="2600"/>
            <w:tcMar>
              <w:top w:type="dxa" w:w="60"/>
              <w:left w:type="dxa" w:w="100"/>
              <w:bottom w:type="dxa" w:w="60"/>
              <w:right w:type="dxa" w:w="100"/>
            </w:tcMar>
          </w:tcPr>
          <w:p>
            <w:r>
              <w:rPr>
                <w:b w:val="false"/>
                <w:bCs w:val="false"/>
                <w:sz w:val="20"/>
                <w:szCs w:val="20"/>
              </w:rPr>
              <w:t xml:space="preserve">Avond</w:t>
            </w:r>
          </w:p>
        </w:tc>
        <w:tc>
          <w:tcPr>
            <w:tcW w:type="dxa" w:w="3200"/>
            <w:tcMar>
              <w:top w:type="dxa" w:w="60"/>
              <w:left w:type="dxa" w:w="100"/>
              <w:bottom w:type="dxa" w:w="60"/>
              <w:right w:type="dxa" w:w="100"/>
            </w:tcMar>
          </w:tcPr>
          <w:p>
            <w:r>
              <w:rPr>
                <w:b w:val="false"/>
                <w:bCs w:val="false"/>
                <w:sz w:val="20"/>
                <w:szCs w:val="20"/>
              </w:rPr>
              <w:t xml:space="preserve">21:00 – 00:00</w:t>
            </w:r>
          </w:p>
        </w:tc>
      </w:tr>
    </w:tbl>
    <w:p>
      <w:pPr>
        <w:spacing w:after="100"/>
      </w:pPr>
    </w:p>
    <w:p>
      <w:pPr>
        <w:pStyle w:val="ListParagraph"/>
        <w:numPr>
          <w:ilvl w:val="0"/>
          <w:numId w:val="2"/>
        </w:numPr>
        <w:spacing w:after="60"/>
      </w:pPr>
      <w:r>
        <w:t xml:space="preserve">Elk dagdeel wordt per zaak bijgesneden op de open uren (uren met drukte &gt; 0). Een dinner-only zaak krijgt dus geen ochtend/lunch; een lunchroom wél ochtend.</w:t>
      </w:r>
    </w:p>
    <w:p>
      <w:pPr>
        <w:pStyle w:val="ListParagraph"/>
        <w:numPr>
          <w:ilvl w:val="0"/>
          <w:numId w:val="2"/>
        </w:numPr>
        <w:spacing w:after="60"/>
      </w:pPr>
      <w:r>
        <w:t xml:space="preserve">De celwaarde is het gemiddelde per open uur. Een korter open venster (bijv. lunch die om 12:00 begint) verlaagt de waarde niet, want we delen door het aantal open uren, niet door de venstergrootte.</w:t>
      </w:r>
    </w:p>
    <w:p>
      <w:pPr>
        <w:pStyle w:val="ListParagraph"/>
        <w:numPr>
          <w:ilvl w:val="0"/>
          <w:numId w:val="2"/>
        </w:numPr>
        <w:spacing w:after="60"/>
      </w:pPr>
      <w:r>
        <w:t xml:space="preserve">Min-dekking: een dagdeel met te weinig open uren telt niet mee (voorkomt ruis van een sliver van 1 uur).</w:t>
      </w:r>
    </w:p>
    <w:p>
      <w:pPr>
        <w:pStyle w:val="Heading1"/>
        <w:spacing w:after="140" w:before="320"/>
      </w:pPr>
      <w:r>
        <w:rPr>
          <w:b/>
          <w:bCs/>
          <w:color w:val="1F4A2D"/>
        </w:rPr>
        <w:t xml:space="preserve">4. De rekenwijze</w:t>
      </w:r>
    </w:p>
    <w:p>
      <w:pPr>
        <w:spacing w:after="120"/>
      </w:pPr>
      <w:r>
        <w:t xml:space="preserve">Per zaak ontstaat zo een rooster: rijen = weekdagen, kolommen = dagdelen, waarde = gemiddelde drukte per open uur. Daaruit halen we de “verwachting” en de “afwijking”:</w:t>
      </w:r>
    </w:p>
    <w:p>
      <w:pPr>
        <w:pStyle w:val="ListParagraph"/>
        <w:numPr>
          <w:ilvl w:val="0"/>
          <w:numId w:val="3"/>
        </w:numPr>
        <w:spacing w:after="80"/>
      </w:pPr>
      <w:r>
        <w:t xml:space="preserve">Robuuste ontleding (median polish). We splitsen het rooster in: een basisniveau + een effect per weekdag + een effect per dagdeel. Dat gebeurt met medianen (niet met gemiddelden), zodat één uitschieter de baseline niet vervuilt.</w:t>
      </w:r>
    </w:p>
    <w:p>
      <w:pPr>
        <w:pStyle w:val="ListParagraph"/>
        <w:numPr>
          <w:ilvl w:val="0"/>
          <w:numId w:val="3"/>
        </w:numPr>
        <w:spacing w:after="80"/>
      </w:pPr>
      <w:r>
        <w:t xml:space="preserve">Verwachting per cel = basisniveau + weekdag-effect + dagdeel-effect. Dit is wat je </w:t>
      </w:r>
      <w:r>
        <w:rPr>
          <w:i/>
          <w:iCs/>
        </w:rPr>
        <w:t xml:space="preserve">voor deze zaak</w:t>
      </w:r>
      <w:r>
        <w:t xml:space="preserve"> op dat moment zou verwachten — met het weekdag- én dagdeel-effect er al in verrekend.</w:t>
      </w:r>
    </w:p>
    <w:p>
      <w:pPr>
        <w:pStyle w:val="ListParagraph"/>
        <w:numPr>
          <w:ilvl w:val="0"/>
          <w:numId w:val="3"/>
        </w:numPr>
        <w:spacing w:after="80"/>
      </w:pPr>
      <w:r>
        <w:rPr>
          <w:b/>
          <w:bCs/>
        </w:rPr>
        <w:t xml:space="preserve">Afwijking = werkelijk − verwacht.</w:t>
      </w:r>
      <w:r>
        <w:t xml:space="preserve"> Een negatieve afwijking betekent: rustiger dan je zou verwachten voor die weekdag én dat dagdeel.</w:t>
      </w:r>
    </w:p>
    <w:p>
      <w:pPr>
        <w:spacing w:after="120"/>
      </w:pPr>
      <w:r>
        <w:rPr>
          <w:b w:val="false"/>
          <w:bCs w:val="false"/>
        </w:rPr>
        <w:t xml:space="preserve">Voorbeeld (verwachte drukte per dagdeel; illustratief):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500"/>
        <w:gridCol w:w="1500"/>
      </w:tblGrid>
      <w:tr>
        <w:trPr>
          <w:tblHeader/>
        </w:trPr>
        <w:tc>
          <w:tcPr>
            <w:tcW w:type="dxa" w:w="2200"/>
            <w:shd w:fill="1F4A2D" w:color="auto" w:val="clear"/>
            <w:tcMar>
              <w:top w:type="dxa" w:w="60"/>
              <w:left w:type="dxa" w:w="100"/>
              <w:bottom w:type="dxa" w:w="60"/>
              <w:right w:type="dxa" w:w="100"/>
            </w:tcMar>
          </w:tcPr>
          <w:p>
            <w:r>
              <w:rPr>
                <w:b/>
                <w:bCs/>
                <w:color w:val="FFFFFF"/>
                <w:sz w:val="20"/>
                <w:szCs w:val="20"/>
              </w:rPr>
              <w:t xml:space="preserve"/>
            </w:r>
          </w:p>
        </w:tc>
        <w:tc>
          <w:tcPr>
            <w:tcW w:type="dxa" w:w="1500"/>
            <w:shd w:fill="1F4A2D" w:color="auto" w:val="clear"/>
            <w:tcMar>
              <w:top w:type="dxa" w:w="60"/>
              <w:left w:type="dxa" w:w="100"/>
              <w:bottom w:type="dxa" w:w="60"/>
              <w:right w:type="dxa" w:w="100"/>
            </w:tcMar>
          </w:tcPr>
          <w:p>
            <w:r>
              <w:rPr>
                <w:b/>
                <w:bCs/>
                <w:color w:val="FFFFFF"/>
                <w:sz w:val="20"/>
                <w:szCs w:val="20"/>
              </w:rPr>
              <w:t xml:space="preserve">lunch</w:t>
            </w:r>
          </w:p>
        </w:tc>
        <w:tc>
          <w:tcPr>
            <w:tcW w:type="dxa" w:w="1500"/>
            <w:shd w:fill="1F4A2D" w:color="auto" w:val="clear"/>
            <w:tcMar>
              <w:top w:type="dxa" w:w="60"/>
              <w:left w:type="dxa" w:w="100"/>
              <w:bottom w:type="dxa" w:w="60"/>
              <w:right w:type="dxa" w:w="100"/>
            </w:tcMar>
          </w:tcPr>
          <w:p>
            <w:r>
              <w:rPr>
                <w:b/>
                <w:bCs/>
                <w:color w:val="FFFFFF"/>
                <w:sz w:val="20"/>
                <w:szCs w:val="20"/>
              </w:rPr>
              <w:t xml:space="preserve">middag</w:t>
            </w:r>
          </w:p>
        </w:tc>
        <w:tc>
          <w:tcPr>
            <w:tcW w:type="dxa" w:w="1500"/>
            <w:shd w:fill="1F4A2D" w:color="auto" w:val="clear"/>
            <w:tcMar>
              <w:top w:type="dxa" w:w="60"/>
              <w:left w:type="dxa" w:w="100"/>
              <w:bottom w:type="dxa" w:w="60"/>
              <w:right w:type="dxa" w:w="100"/>
            </w:tcMar>
          </w:tcPr>
          <w:p>
            <w:r>
              <w:rPr>
                <w:b/>
                <w:bCs/>
                <w:color w:val="FFFFFF"/>
                <w:sz w:val="20"/>
                <w:szCs w:val="20"/>
              </w:rPr>
              <w:t xml:space="preserve">diner</w:t>
            </w:r>
          </w:p>
        </w:tc>
        <w:tc>
          <w:tcPr>
            <w:tcW w:type="dxa" w:w="1500"/>
            <w:shd w:fill="1F4A2D" w:color="auto" w:val="clear"/>
            <w:tcMar>
              <w:top w:type="dxa" w:w="60"/>
              <w:left w:type="dxa" w:w="100"/>
              <w:bottom w:type="dxa" w:w="60"/>
              <w:right w:type="dxa" w:w="100"/>
            </w:tcMar>
          </w:tcPr>
          <w:p>
            <w:r>
              <w:rPr>
                <w:b/>
                <w:bCs/>
                <w:color w:val="FFFFFF"/>
                <w:sz w:val="20"/>
                <w:szCs w:val="20"/>
              </w:rPr>
              <w:t xml:space="preserve">avond</w:t>
            </w:r>
          </w:p>
        </w:tc>
      </w:tr>
      <w:tr>
        <w:trPr>
          <w:tblHeader w:val="false"/>
        </w:trPr>
        <w:tc>
          <w:tcPr>
            <w:tcW w:type="dxa" w:w="2200"/>
            <w:tcMar>
              <w:top w:type="dxa" w:w="60"/>
              <w:left w:type="dxa" w:w="100"/>
              <w:bottom w:type="dxa" w:w="60"/>
              <w:right w:type="dxa" w:w="100"/>
            </w:tcMar>
          </w:tcPr>
          <w:p>
            <w:r>
              <w:rPr>
                <w:b w:val="false"/>
                <w:bCs w:val="false"/>
                <w:sz w:val="20"/>
                <w:szCs w:val="20"/>
              </w:rPr>
              <w:t xml:space="preserve">maandag</w:t>
            </w:r>
          </w:p>
        </w:tc>
        <w:tc>
          <w:tcPr>
            <w:tcW w:type="dxa" w:w="1500"/>
            <w:tcMar>
              <w:top w:type="dxa" w:w="60"/>
              <w:left w:type="dxa" w:w="100"/>
              <w:bottom w:type="dxa" w:w="60"/>
              <w:right w:type="dxa" w:w="100"/>
            </w:tcMar>
          </w:tcPr>
          <w:p>
            <w:r>
              <w:rPr>
                <w:b w:val="false"/>
                <w:bCs w:val="false"/>
                <w:sz w:val="20"/>
                <w:szCs w:val="20"/>
              </w:rPr>
              <w:t xml:space="preserve">35</w:t>
            </w:r>
          </w:p>
        </w:tc>
        <w:tc>
          <w:tcPr>
            <w:tcW w:type="dxa" w:w="1500"/>
            <w:tcMar>
              <w:top w:type="dxa" w:w="60"/>
              <w:left w:type="dxa" w:w="100"/>
              <w:bottom w:type="dxa" w:w="60"/>
              <w:right w:type="dxa" w:w="100"/>
            </w:tcMar>
          </w:tcPr>
          <w:p>
            <w:r>
              <w:rPr>
                <w:b w:val="false"/>
                <w:bCs w:val="false"/>
                <w:sz w:val="20"/>
                <w:szCs w:val="20"/>
              </w:rPr>
              <w:t xml:space="preserve">30</w:t>
            </w:r>
          </w:p>
        </w:tc>
        <w:tc>
          <w:tcPr>
            <w:tcW w:type="dxa" w:w="1500"/>
            <w:tcMar>
              <w:top w:type="dxa" w:w="60"/>
              <w:left w:type="dxa" w:w="100"/>
              <w:bottom w:type="dxa" w:w="60"/>
              <w:right w:type="dxa" w:w="100"/>
            </w:tcMar>
          </w:tcPr>
          <w:p>
            <w:r>
              <w:rPr>
                <w:b w:val="false"/>
                <w:bCs w:val="false"/>
                <w:sz w:val="20"/>
                <w:szCs w:val="20"/>
              </w:rPr>
              <w:t xml:space="preserve">55</w:t>
            </w:r>
          </w:p>
        </w:tc>
        <w:tc>
          <w:tcPr>
            <w:tcW w:type="dxa" w:w="1500"/>
            <w:tcMar>
              <w:top w:type="dxa" w:w="60"/>
              <w:left w:type="dxa" w:w="100"/>
              <w:bottom w:type="dxa" w:w="60"/>
              <w:right w:type="dxa" w:w="100"/>
            </w:tcMar>
          </w:tcPr>
          <w:p>
            <w:r>
              <w:rPr>
                <w:b w:val="false"/>
                <w:bCs w:val="false"/>
                <w:sz w:val="20"/>
                <w:szCs w:val="20"/>
              </w:rPr>
              <w:t xml:space="preserve">45</w:t>
            </w:r>
          </w:p>
        </w:tc>
      </w:tr>
      <w:tr>
        <w:trPr>
          <w:tblHeader w:val="false"/>
        </w:trPr>
        <w:tc>
          <w:tcPr>
            <w:tcW w:type="dxa" w:w="2200"/>
            <w:tcMar>
              <w:top w:type="dxa" w:w="60"/>
              <w:left w:type="dxa" w:w="100"/>
              <w:bottom w:type="dxa" w:w="60"/>
              <w:right w:type="dxa" w:w="100"/>
            </w:tcMar>
          </w:tcPr>
          <w:p>
            <w:r>
              <w:rPr>
                <w:b w:val="false"/>
                <w:bCs w:val="false"/>
                <w:sz w:val="20"/>
                <w:szCs w:val="20"/>
              </w:rPr>
              <w:t xml:space="preserve">donderdag</w:t>
            </w:r>
          </w:p>
        </w:tc>
        <w:tc>
          <w:tcPr>
            <w:tcW w:type="dxa" w:w="1500"/>
            <w:tcMar>
              <w:top w:type="dxa" w:w="60"/>
              <w:left w:type="dxa" w:w="100"/>
              <w:bottom w:type="dxa" w:w="60"/>
              <w:right w:type="dxa" w:w="100"/>
            </w:tcMar>
          </w:tcPr>
          <w:p>
            <w:r>
              <w:rPr>
                <w:b w:val="false"/>
                <w:bCs w:val="false"/>
                <w:sz w:val="20"/>
                <w:szCs w:val="20"/>
              </w:rPr>
              <w:t xml:space="preserve">45</w:t>
            </w:r>
          </w:p>
        </w:tc>
        <w:tc>
          <w:tcPr>
            <w:tcW w:type="dxa" w:w="1500"/>
            <w:tcMar>
              <w:top w:type="dxa" w:w="60"/>
              <w:left w:type="dxa" w:w="100"/>
              <w:bottom w:type="dxa" w:w="60"/>
              <w:right w:type="dxa" w:w="100"/>
            </w:tcMar>
          </w:tcPr>
          <w:p>
            <w:r>
              <w:rPr>
                <w:b w:val="false"/>
                <w:bCs w:val="false"/>
                <w:sz w:val="20"/>
                <w:szCs w:val="20"/>
              </w:rPr>
              <w:t xml:space="preserve">20</w:t>
            </w:r>
          </w:p>
        </w:tc>
        <w:tc>
          <w:tcPr>
            <w:tcW w:type="dxa" w:w="1500"/>
            <w:tcMar>
              <w:top w:type="dxa" w:w="60"/>
              <w:left w:type="dxa" w:w="100"/>
              <w:bottom w:type="dxa" w:w="60"/>
              <w:right w:type="dxa" w:w="100"/>
            </w:tcMar>
          </w:tcPr>
          <w:p>
            <w:r>
              <w:rPr>
                <w:b w:val="false"/>
                <w:bCs w:val="false"/>
                <w:sz w:val="20"/>
                <w:szCs w:val="20"/>
              </w:rPr>
              <w:t xml:space="preserve">70</w:t>
            </w:r>
          </w:p>
        </w:tc>
        <w:tc>
          <w:tcPr>
            <w:tcW w:type="dxa" w:w="1500"/>
            <w:tcMar>
              <w:top w:type="dxa" w:w="60"/>
              <w:left w:type="dxa" w:w="100"/>
              <w:bottom w:type="dxa" w:w="60"/>
              <w:right w:type="dxa" w:w="100"/>
            </w:tcMar>
          </w:tcPr>
          <w:p>
            <w:r>
              <w:rPr>
                <w:b w:val="false"/>
                <w:bCs w:val="false"/>
                <w:sz w:val="20"/>
                <w:szCs w:val="20"/>
              </w:rPr>
              <w:t xml:space="preserve">55</w:t>
            </w:r>
          </w:p>
        </w:tc>
      </w:tr>
      <w:tr>
        <w:trPr>
          <w:tblHeader w:val="false"/>
        </w:trPr>
        <w:tc>
          <w:tcPr>
            <w:tcW w:type="dxa" w:w="2200"/>
            <w:tcMar>
              <w:top w:type="dxa" w:w="60"/>
              <w:left w:type="dxa" w:w="100"/>
              <w:bottom w:type="dxa" w:w="60"/>
              <w:right w:type="dxa" w:w="100"/>
            </w:tcMar>
          </w:tcPr>
          <w:p>
            <w:r>
              <w:rPr>
                <w:b w:val="false"/>
                <w:bCs w:val="false"/>
                <w:sz w:val="20"/>
                <w:szCs w:val="20"/>
              </w:rPr>
              <w:t xml:space="preserve">zaterdag</w:t>
            </w:r>
          </w:p>
        </w:tc>
        <w:tc>
          <w:tcPr>
            <w:tcW w:type="dxa" w:w="1500"/>
            <w:tcMar>
              <w:top w:type="dxa" w:w="60"/>
              <w:left w:type="dxa" w:w="100"/>
              <w:bottom w:type="dxa" w:w="60"/>
              <w:right w:type="dxa" w:w="100"/>
            </w:tcMar>
          </w:tcPr>
          <w:p>
            <w:r>
              <w:rPr>
                <w:b w:val="false"/>
                <w:bCs w:val="false"/>
                <w:sz w:val="20"/>
                <w:szCs w:val="20"/>
              </w:rPr>
              <w:t xml:space="preserve">55</w:t>
            </w:r>
          </w:p>
        </w:tc>
        <w:tc>
          <w:tcPr>
            <w:tcW w:type="dxa" w:w="1500"/>
            <w:tcMar>
              <w:top w:type="dxa" w:w="60"/>
              <w:left w:type="dxa" w:w="100"/>
              <w:bottom w:type="dxa" w:w="60"/>
              <w:right w:type="dxa" w:w="100"/>
            </w:tcMar>
          </w:tcPr>
          <w:p>
            <w:r>
              <w:rPr>
                <w:b w:val="false"/>
                <w:bCs w:val="false"/>
                <w:sz w:val="20"/>
                <w:szCs w:val="20"/>
              </w:rPr>
              <w:t xml:space="preserve">55</w:t>
            </w:r>
          </w:p>
        </w:tc>
        <w:tc>
          <w:tcPr>
            <w:tcW w:type="dxa" w:w="1500"/>
            <w:tcMar>
              <w:top w:type="dxa" w:w="60"/>
              <w:left w:type="dxa" w:w="100"/>
              <w:bottom w:type="dxa" w:w="60"/>
              <w:right w:type="dxa" w:w="100"/>
            </w:tcMar>
          </w:tcPr>
          <w:p>
            <w:r>
              <w:rPr>
                <w:b w:val="false"/>
                <w:bCs w:val="false"/>
                <w:sz w:val="20"/>
                <w:szCs w:val="20"/>
              </w:rPr>
              <w:t xml:space="preserve">85</w:t>
            </w:r>
          </w:p>
        </w:tc>
        <w:tc>
          <w:tcPr>
            <w:tcW w:type="dxa" w:w="1500"/>
            <w:tcMar>
              <w:top w:type="dxa" w:w="60"/>
              <w:left w:type="dxa" w:w="100"/>
              <w:bottom w:type="dxa" w:w="60"/>
              <w:right w:type="dxa" w:w="100"/>
            </w:tcMar>
          </w:tcPr>
          <w:p>
            <w:r>
              <w:rPr>
                <w:b w:val="false"/>
                <w:bCs w:val="false"/>
                <w:sz w:val="20"/>
                <w:szCs w:val="20"/>
              </w:rPr>
              <w:t xml:space="preserve">75</w:t>
            </w:r>
          </w:p>
        </w:tc>
      </w:tr>
    </w:tbl>
    <w:p>
      <w:pPr>
        <w:spacing w:after="80"/>
      </w:pPr>
    </w:p>
    <w:p>
      <w:pPr>
        <w:spacing w:after="120"/>
      </w:pPr>
      <w:r>
        <w:t xml:space="preserve">Middag is bij deze zaak altijd laag — dat zit al in het dagdeel-effect. De maandagmiddag (30) is precies wat je van een maandagmiddag verwacht, dus geen bijzonderheid. De donderdagmiddag (20) ligt onder wat “donderdag + middag” samen voorspellen: dat is de opvallende afwijking. De ontleding haalt het gewone eruit; de afwijking houdt het bijzondere over.</w:t>
      </w:r>
    </w:p>
    <w:p>
      <w:pPr>
        <w:pStyle w:val="Heading1"/>
        <w:spacing w:after="140" w:before="320"/>
      </w:pPr>
      <w:r>
        <w:rPr>
          <w:b/>
          <w:bCs/>
          <w:color w:val="1F4A2D"/>
        </w:rPr>
        <w:t xml:space="preserve">5. Wanneer telt iets als “rustig”?</w:t>
      </w:r>
    </w:p>
    <w:p>
      <w:pPr>
        <w:spacing w:after="120"/>
      </w:pPr>
      <w:r>
        <w:t xml:space="preserve">Twee voorwaarden samen, plus een plafond:</w:t>
      </w:r>
    </w:p>
    <w:p>
      <w:pPr>
        <w:pStyle w:val="ListParagraph"/>
        <w:numPr>
          <w:ilvl w:val="0"/>
          <w:numId w:val="2"/>
        </w:numPr>
        <w:spacing w:after="60"/>
      </w:pPr>
      <w:r>
        <w:rPr>
          <w:b/>
          <w:bCs/>
        </w:rPr>
        <w:t xml:space="preserve">Onder verwachting én buiten de normale schommeling. </w:t>
      </w:r>
      <w:r>
        <w:t xml:space="preserve">Niet elke afwijking onder nul telt (dat is ~de helft van alles). Een moment telt pas als het duidelijk verder onder de verwachting zit dan de afwijkingen normaal schommelen.</w:t>
      </w:r>
    </w:p>
    <w:p>
      <w:pPr>
        <w:pStyle w:val="ListParagraph"/>
        <w:numPr>
          <w:ilvl w:val="0"/>
          <w:numId w:val="2"/>
        </w:numPr>
        <w:spacing w:after="60"/>
      </w:pPr>
      <w:r>
        <w:rPr>
          <w:b/>
          <w:bCs/>
        </w:rPr>
        <w:t xml:space="preserve">Normale schommeling = robuuste MAD. </w:t>
      </w:r>
      <w:r>
        <w:t xml:space="preserve">We meten de schommeling met de mediane absolute afwijking (MAD), niet met de standaarddeviatie. De MAD raakt niet in de war van één grote dip — juist de dip die we zoeken.</w:t>
      </w:r>
    </w:p>
    <w:p>
      <w:pPr>
        <w:pStyle w:val="ListParagraph"/>
        <w:numPr>
          <w:ilvl w:val="0"/>
          <w:numId w:val="2"/>
        </w:numPr>
        <w:spacing w:after="60"/>
      </w:pPr>
      <w:r>
        <w:rPr>
          <w:b/>
          <w:bCs/>
        </w:rPr>
        <w:t xml:space="preserve">Vulbaarheid als poort. </w:t>
      </w:r>
      <w:r>
        <w:t xml:space="preserve">Een moment moet ook genoeg leegte hebben (gat t.o.v. de eigen piek) om de moeite waard te zijn om te vullen.</w:t>
      </w:r>
    </w:p>
    <w:p>
      <w:pPr>
        <w:pStyle w:val="ListParagraph"/>
        <w:numPr>
          <w:ilvl w:val="0"/>
          <w:numId w:val="2"/>
        </w:numPr>
        <w:spacing w:after="60"/>
      </w:pPr>
      <w:r>
        <w:rPr>
          <w:b/>
          <w:bCs/>
        </w:rPr>
        <w:t xml:space="preserve">Tempo als plafond (instelbaar per zaak). </w:t>
      </w:r>
      <w:r>
        <w:t xml:space="preserve">De ondernemer stelt in hoeveel rustige momenten Filly maximaal per week aandraagt (default 2). Zijn er meer kandidaten, dan tonen we de sterkste; zijn er minder, dan minder. Het wordt nooit opgevuld met momenten die eigenlijk niet rustig zijn.</w:t>
      </w:r>
    </w:p>
    <w:p>
      <w:pPr>
        <w:spacing w:after="120"/>
      </w:pPr>
      <w:r>
        <w:t xml:space="preserve">Het label “ongewoon rustig” vs “vaste rustige stand” volgt uit hoe ver de afwijking onder de normale schommeling ligt — dat bepaalt de toon van Filly's voorstel, niet of het meetelt.</w:t>
      </w:r>
    </w:p>
    <w:p>
      <w:pPr>
        <w:pStyle w:val="Heading1"/>
        <w:spacing w:after="140" w:before="320"/>
      </w:pPr>
      <w:r>
        <w:rPr>
          <w:b/>
          <w:bCs/>
          <w:color w:val="1F4A2D"/>
        </w:rPr>
        <w:t xml:space="preserve">6. Hoe Filly erop inspeelt</w:t>
      </w:r>
    </w:p>
    <w:p>
      <w:pPr>
        <w:spacing w:after="120"/>
      </w:pPr>
      <w:r>
        <w:t xml:space="preserve">Per gedetecteerd moment stemt Filly het voorstel af op het dagdeel: het kanaal, het gastsegment en het verzendmoment. Overdag (lunch/middag) werkt een last-minute zetje via WhatsApp/mail naar vaste gasten; 's avonds eerder op de dag via social/mail. Het dagdeel en de toon (ongewoon vs gewoon) gaan mee in de campagne-generatie.</w:t>
      </w:r>
    </w:p>
    <w:p>
      <w:pPr>
        <w:pStyle w:val="Heading1"/>
        <w:spacing w:after="140" w:before="320"/>
      </w:pPr>
      <w:r>
        <w:rPr>
          <w:b/>
          <w:bCs/>
          <w:color w:val="1F4A2D"/>
        </w:rPr>
        <w:t xml:space="preserve">7. Verantwoording: waarom niet anders?</w:t>
      </w:r>
    </w:p>
    <w:p>
      <w:pPr>
        <w:spacing w:after="120"/>
      </w:pPr>
      <w:r>
        <w:t xml:space="preserve">De volgende alternatieven zijn overwogen en bewust niet (of nog niet) gekozen: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rPr>
          <w:tblHeader/>
        </w:trPr>
        <w:tc>
          <w:tcPr>
            <w:tcW w:type="dxa" w:w="3400"/>
            <w:shd w:fill="1F4A2D" w:color="auto" w:val="clear"/>
            <w:tcMar>
              <w:top w:type="dxa" w:w="60"/>
              <w:left w:type="dxa" w:w="100"/>
              <w:bottom w:type="dxa" w:w="60"/>
              <w:right w:type="dxa" w:w="100"/>
            </w:tcMar>
          </w:tcPr>
          <w:p>
            <w:r>
              <w:rPr>
                <w:b/>
                <w:bCs/>
                <w:color w:val="FFFFFF"/>
                <w:sz w:val="20"/>
                <w:szCs w:val="20"/>
              </w:rPr>
              <w:t xml:space="preserve">Methode</w:t>
            </w:r>
          </w:p>
        </w:tc>
        <w:tc>
          <w:tcPr>
            <w:tcW w:type="dxa" w:w="5400"/>
            <w:shd w:fill="1F4A2D" w:color="auto" w:val="clear"/>
            <w:tcMar>
              <w:top w:type="dxa" w:w="60"/>
              <w:left w:type="dxa" w:w="100"/>
              <w:bottom w:type="dxa" w:w="60"/>
              <w:right w:type="dxa" w:w="100"/>
            </w:tcMar>
          </w:tcPr>
          <w:p>
            <w:r>
              <w:rPr>
                <w:b/>
                <w:bCs/>
                <w:color w:val="FFFFFF"/>
                <w:sz w:val="20"/>
                <w:szCs w:val="20"/>
              </w:rPr>
              <w:t xml:space="preserve">Waarom niet gekozen</w:t>
            </w:r>
          </w:p>
        </w:tc>
      </w:tr>
      <w:tr>
        <w:trPr>
          <w:tblHeader w:val="false"/>
        </w:trPr>
        <w:tc>
          <w:tcPr>
            <w:tcW w:type="dxa" w:w="3400"/>
            <w:tcMar>
              <w:top w:type="dxa" w:w="60"/>
              <w:left w:type="dxa" w:w="100"/>
              <w:bottom w:type="dxa" w:w="60"/>
              <w:right w:type="dxa" w:w="100"/>
            </w:tcMar>
          </w:tcPr>
          <w:p>
            <w:r>
              <w:rPr>
                <w:b w:val="false"/>
                <w:bCs w:val="false"/>
                <w:sz w:val="20"/>
                <w:szCs w:val="20"/>
              </w:rPr>
              <w:t xml:space="preserve">Vaste absolute drempel (bijv. drukte &lt; 50%)</w:t>
            </w:r>
          </w:p>
        </w:tc>
        <w:tc>
          <w:tcPr>
            <w:tcW w:type="dxa" w:w="5400"/>
            <w:tcMar>
              <w:top w:type="dxa" w:w="60"/>
              <w:left w:type="dxa" w:w="100"/>
              <w:bottom w:type="dxa" w:w="60"/>
              <w:right w:type="dxa" w:w="100"/>
            </w:tcMar>
          </w:tcPr>
          <w:p>
            <w:r>
              <w:rPr>
                <w:b w:val="false"/>
                <w:bCs w:val="false"/>
                <w:sz w:val="20"/>
                <w:szCs w:val="20"/>
              </w:rPr>
              <w:t xml:space="preserve">Google's % is per zaak genormaliseerd, dus een vaste drempel betekent bij elke zaak iets anders; bovendien grof en zonder dagdeel-onderscheid.</w:t>
            </w:r>
          </w:p>
        </w:tc>
      </w:tr>
      <w:tr>
        <w:trPr>
          <w:tblHeader w:val="false"/>
        </w:trPr>
        <w:tc>
          <w:tcPr>
            <w:tcW w:type="dxa" w:w="3400"/>
            <w:tcMar>
              <w:top w:type="dxa" w:w="60"/>
              <w:left w:type="dxa" w:w="100"/>
              <w:bottom w:type="dxa" w:w="60"/>
              <w:right w:type="dxa" w:w="100"/>
            </w:tcMar>
          </w:tcPr>
          <w:p>
            <w:r>
              <w:rPr>
                <w:b w:val="false"/>
                <w:bCs w:val="false"/>
                <w:sz w:val="20"/>
                <w:szCs w:val="20"/>
              </w:rPr>
              <w:t xml:space="preserve">Puur relatief t.o.v. weekgemiddelde (dagniveau)</w:t>
            </w:r>
          </w:p>
        </w:tc>
        <w:tc>
          <w:tcPr>
            <w:tcW w:type="dxa" w:w="5400"/>
            <w:tcMar>
              <w:top w:type="dxa" w:w="60"/>
              <w:left w:type="dxa" w:w="100"/>
              <w:bottom w:type="dxa" w:w="60"/>
              <w:right w:type="dxa" w:w="100"/>
            </w:tcMar>
          </w:tcPr>
          <w:p>
            <w:r>
              <w:rPr>
                <w:b w:val="false"/>
                <w:bCs w:val="false"/>
                <w:sz w:val="20"/>
                <w:szCs w:val="20"/>
              </w:rPr>
              <w:t xml:space="preserve">Mist het dagdeel. En “zelfde dagdeel over de week” vergelijken verwart weekend- met doordeweekse middagen (een maandagmiddag hoort rustiger te zijn dan een zaterdagmiddag).</w:t>
            </w:r>
          </w:p>
        </w:tc>
      </w:tr>
      <w:tr>
        <w:trPr>
          <w:tblHeader w:val="false"/>
        </w:trPr>
        <w:tc>
          <w:tcPr>
            <w:tcW w:type="dxa" w:w="3400"/>
            <w:tcMar>
              <w:top w:type="dxa" w:w="60"/>
              <w:left w:type="dxa" w:w="100"/>
              <w:bottom w:type="dxa" w:w="60"/>
              <w:right w:type="dxa" w:w="100"/>
            </w:tcMar>
          </w:tcPr>
          <w:p>
            <w:r>
              <w:rPr>
                <w:b w:val="false"/>
                <w:bCs w:val="false"/>
                <w:sz w:val="20"/>
                <w:szCs w:val="20"/>
              </w:rPr>
              <w:t xml:space="preserve">Peer-benchmark / eenmalige scrape van andere zaken</w:t>
            </w:r>
          </w:p>
        </w:tc>
        <w:tc>
          <w:tcPr>
            <w:tcW w:type="dxa" w:w="5400"/>
            <w:tcMar>
              <w:top w:type="dxa" w:w="60"/>
              <w:left w:type="dxa" w:w="100"/>
              <w:bottom w:type="dxa" w:w="60"/>
              <w:right w:type="dxa" w:w="100"/>
            </w:tcMar>
          </w:tcPr>
          <w:p>
            <w:r>
              <w:rPr>
                <w:b w:val="false"/>
                <w:bCs w:val="false"/>
                <w:sz w:val="20"/>
                <w:szCs w:val="20"/>
              </w:rPr>
              <w:t xml:space="preserve">Kan niet: Google's populaire tijden is genormaliseerd naar de eigen piek, dus absolute niveaus zijn tussen zaken onvergelijkbaar. De databron laat de vergelijking simpelweg niet toe.</w:t>
            </w:r>
          </w:p>
        </w:tc>
      </w:tr>
      <w:tr>
        <w:trPr>
          <w:tblHeader w:val="false"/>
        </w:trPr>
        <w:tc>
          <w:tcPr>
            <w:tcW w:type="dxa" w:w="3400"/>
            <w:tcMar>
              <w:top w:type="dxa" w:w="60"/>
              <w:left w:type="dxa" w:w="100"/>
              <w:bottom w:type="dxa" w:w="60"/>
              <w:right w:type="dxa" w:w="100"/>
            </w:tcMar>
          </w:tcPr>
          <w:p>
            <w:r>
              <w:rPr>
                <w:b w:val="false"/>
                <w:bCs w:val="false"/>
                <w:sz w:val="20"/>
                <w:szCs w:val="20"/>
              </w:rPr>
              <w:t xml:space="preserve">Live-drukte als trigger</w:t>
            </w:r>
          </w:p>
        </w:tc>
        <w:tc>
          <w:tcPr>
            <w:tcW w:type="dxa" w:w="5400"/>
            <w:tcMar>
              <w:top w:type="dxa" w:w="60"/>
              <w:left w:type="dxa" w:w="100"/>
              <w:bottom w:type="dxa" w:w="60"/>
              <w:right w:type="dxa" w:w="100"/>
            </w:tcMar>
          </w:tcPr>
          <w:p>
            <w:r>
              <w:rPr>
                <w:b w:val="false"/>
                <w:bCs w:val="false"/>
                <w:sz w:val="20"/>
                <w:szCs w:val="20"/>
              </w:rPr>
              <w:t xml:space="preserve">Grof (springt tussen 0 en 100) en soms bevroren; en het doel is dagen vooruit plannen, niet reactief op het moment zelf. Live blijft alleen een “nu is het rustiger dan normaal”-signaal.</w:t>
            </w:r>
          </w:p>
        </w:tc>
      </w:tr>
      <w:tr>
        <w:trPr>
          <w:tblHeader w:val="false"/>
        </w:trPr>
        <w:tc>
          <w:tcPr>
            <w:tcW w:type="dxa" w:w="3400"/>
            <w:tcMar>
              <w:top w:type="dxa" w:w="60"/>
              <w:left w:type="dxa" w:w="100"/>
              <w:bottom w:type="dxa" w:w="60"/>
              <w:right w:type="dxa" w:w="100"/>
            </w:tcMar>
          </w:tcPr>
          <w:p>
            <w:r>
              <w:rPr>
                <w:b w:val="false"/>
                <w:bCs w:val="false"/>
                <w:sz w:val="20"/>
                <w:szCs w:val="20"/>
              </w:rPr>
              <w:t xml:space="preserve">Gemiddelde + standaarddeviatie voor baseline/schommeling</w:t>
            </w:r>
          </w:p>
        </w:tc>
        <w:tc>
          <w:tcPr>
            <w:tcW w:type="dxa" w:w="5400"/>
            <w:tcMar>
              <w:top w:type="dxa" w:w="60"/>
              <w:left w:type="dxa" w:w="100"/>
              <w:bottom w:type="dxa" w:w="60"/>
              <w:right w:type="dxa" w:w="100"/>
            </w:tcMar>
          </w:tcPr>
          <w:p>
            <w:r>
              <w:rPr>
                <w:b w:val="false"/>
                <w:bCs w:val="false"/>
                <w:sz w:val="20"/>
                <w:szCs w:val="20"/>
              </w:rPr>
              <w:t xml:space="preserve">De rustige dip die we zoeken trekt zijn eigen baseline omlaag én blaast de standaarddeviatie op, waardoor de anomalie juist onderschat wordt. Vervangen door median polish (baseline) + MAD (schommeling), beide robuust.</w:t>
            </w:r>
          </w:p>
        </w:tc>
      </w:tr>
      <w:tr>
        <w:trPr>
          <w:tblHeader w:val="false"/>
        </w:trPr>
        <w:tc>
          <w:tcPr>
            <w:tcW w:type="dxa" w:w="3400"/>
            <w:tcMar>
              <w:top w:type="dxa" w:w="60"/>
              <w:left w:type="dxa" w:w="100"/>
              <w:bottom w:type="dxa" w:w="60"/>
              <w:right w:type="dxa" w:w="100"/>
            </w:tcMar>
          </w:tcPr>
          <w:p>
            <w:r>
              <w:rPr>
                <w:b w:val="false"/>
                <w:bCs w:val="false"/>
                <w:sz w:val="20"/>
                <w:szCs w:val="20"/>
              </w:rPr>
              <w:t xml:space="preserve">Log- of relatieve residuen (% onder verwacht)</w:t>
            </w:r>
          </w:p>
        </w:tc>
        <w:tc>
          <w:tcPr>
            <w:tcW w:type="dxa" w:w="5400"/>
            <w:tcMar>
              <w:top w:type="dxa" w:w="60"/>
              <w:left w:type="dxa" w:w="100"/>
              <w:bottom w:type="dxa" w:w="60"/>
              <w:right w:type="dxa" w:w="100"/>
            </w:tcMar>
          </w:tcPr>
          <w:p>
            <w:r>
              <w:rPr>
                <w:b w:val="false"/>
                <w:bCs w:val="false"/>
                <w:sz w:val="20"/>
                <w:szCs w:val="20"/>
              </w:rPr>
              <w:t xml:space="preserve">Statistisch netjes tegen niveau-afhankelijke spreiding, maar instabiel bij lage waarden (rustige uren liggen dicht bij 0). Niet als default; eventueel later.</w:t>
            </w:r>
          </w:p>
        </w:tc>
      </w:tr>
      <w:tr>
        <w:trPr>
          <w:tblHeader w:val="false"/>
        </w:trPr>
        <w:tc>
          <w:tcPr>
            <w:tcW w:type="dxa" w:w="3400"/>
            <w:tcMar>
              <w:top w:type="dxa" w:w="60"/>
              <w:left w:type="dxa" w:w="100"/>
              <w:bottom w:type="dxa" w:w="60"/>
              <w:right w:type="dxa" w:w="100"/>
            </w:tcMar>
          </w:tcPr>
          <w:p>
            <w:r>
              <w:rPr>
                <w:b w:val="false"/>
                <w:bCs w:val="false"/>
                <w:sz w:val="20"/>
                <w:szCs w:val="20"/>
              </w:rPr>
              <w:t xml:space="preserve">Tijdreeks-decompositie (STL) met betrouwbaarheidsbanden</w:t>
            </w:r>
          </w:p>
        </w:tc>
        <w:tc>
          <w:tcPr>
            <w:tcW w:type="dxa" w:w="5400"/>
            <w:tcMar>
              <w:top w:type="dxa" w:w="60"/>
              <w:left w:type="dxa" w:w="100"/>
              <w:bottom w:type="dxa" w:w="60"/>
              <w:right w:type="dxa" w:w="100"/>
            </w:tcMar>
          </w:tcPr>
          <w:p>
            <w:r>
              <w:rPr>
                <w:b w:val="false"/>
                <w:bCs w:val="false"/>
                <w:sz w:val="20"/>
                <w:szCs w:val="20"/>
              </w:rPr>
              <w:t xml:space="preserve">De “volwassen” methode, maar die vereist weken eigen historie. Toekomstige stap zodra de live-metingen zich hebben opgebouwd.</w:t>
            </w:r>
          </w:p>
        </w:tc>
      </w:tr>
      <w:tr>
        <w:trPr>
          <w:tblHeader w:val="false"/>
        </w:trPr>
        <w:tc>
          <w:tcPr>
            <w:tcW w:type="dxa" w:w="3400"/>
            <w:tcMar>
              <w:top w:type="dxa" w:w="60"/>
              <w:left w:type="dxa" w:w="100"/>
              <w:bottom w:type="dxa" w:w="60"/>
              <w:right w:type="dxa" w:w="100"/>
            </w:tcMar>
          </w:tcPr>
          <w:p>
            <w:r>
              <w:rPr>
                <w:b w:val="false"/>
                <w:bCs w:val="false"/>
                <w:sz w:val="20"/>
                <w:szCs w:val="20"/>
              </w:rPr>
              <w:t xml:space="preserve">Afwijking alleen, of vulbaarheid alleen</w:t>
            </w:r>
          </w:p>
        </w:tc>
        <w:tc>
          <w:tcPr>
            <w:tcW w:type="dxa" w:w="5400"/>
            <w:tcMar>
              <w:top w:type="dxa" w:w="60"/>
              <w:left w:type="dxa" w:w="100"/>
              <w:bottom w:type="dxa" w:w="60"/>
              <w:right w:type="dxa" w:w="100"/>
            </w:tcMar>
          </w:tcPr>
          <w:p>
            <w:r>
              <w:rPr>
                <w:b w:val="false"/>
                <w:bCs w:val="false"/>
                <w:sz w:val="20"/>
                <w:szCs w:val="20"/>
              </w:rPr>
              <w:t xml:space="preserve">Afwijking alleen levert te weinig momenten; vulbaarheid alleen flagt bijna elke dag iets. Daarom gecombineerd (afwijking bepaalt welke + toon, vulbaarheid is de poort) met een tempo-plafond voor het aantal.</w:t>
            </w:r>
          </w:p>
        </w:tc>
      </w:tr>
    </w:tbl>
    <w:p>
      <w:pPr>
        <w:pStyle w:val="Heading1"/>
        <w:spacing w:after="140" w:before="320"/>
      </w:pPr>
      <w:r>
        <w:rPr>
          <w:b/>
          <w:bCs/>
          <w:color w:val="1F4A2D"/>
        </w:rPr>
        <w:t xml:space="preserve">8. Instellingen en constanten</w:t>
      </w:r>
    </w:p>
    <w:p>
      <w:pPr>
        <w:pStyle w:val="ListParagraph"/>
        <w:numPr>
          <w:ilvl w:val="0"/>
          <w:numId w:val="2"/>
        </w:numPr>
        <w:spacing w:after="60"/>
      </w:pPr>
      <w:r>
        <w:rPr>
          <w:b/>
          <w:bCs/>
        </w:rPr>
        <w:t xml:space="preserve">Tempo (per zaak, instelbaar). </w:t>
      </w:r>
      <w:r>
        <w:t xml:space="preserve">quiet_moments_per_week, default 2, bereik 1–6. Op de account-pagina.</w:t>
      </w:r>
    </w:p>
    <w:p>
      <w:pPr>
        <w:pStyle w:val="ListParagraph"/>
        <w:numPr>
          <w:ilvl w:val="0"/>
          <w:numId w:val="2"/>
        </w:numPr>
        <w:spacing w:after="60"/>
      </w:pPr>
      <w:r>
        <w:rPr>
          <w:b/>
          <w:bCs/>
        </w:rPr>
        <w:t xml:space="preserve">Interne constanten (door ons te tunen, niet zichtbaar voor de ondernemer): </w:t>
      </w:r>
      <w:r>
        <w:t xml:space="preserve">min-dekking (open uren per dagdeel), minimale vulbaarheid, en de multiplier op de normale schommeling voor de rustig- en “ongewoon”-grens.</w:t>
      </w:r>
    </w:p>
    <w:p>
      <w:pPr>
        <w:pStyle w:val="Heading1"/>
        <w:spacing w:after="140" w:before="320"/>
      </w:pPr>
      <w:r>
        <w:rPr>
          <w:b/>
          <w:bCs/>
          <w:color w:val="1F4A2D"/>
        </w:rPr>
        <w:t xml:space="preserve">9. Waar het in de code zit</w:t>
      </w:r>
    </w:p>
    <w:p>
      <w:pPr>
        <w:pStyle w:val="ListParagraph"/>
        <w:numPr>
          <w:ilvl w:val="0"/>
          <w:numId w:val="2"/>
        </w:numPr>
        <w:spacing w:after="60"/>
      </w:pPr>
      <w:r>
        <w:t xml:space="preserve">apps/api/src/busyness/busyness.service.ts — getQuietMoments (het model: rooster, median polish, MAD, selectie + tempo).</w:t>
      </w:r>
    </w:p>
    <w:p>
      <w:pPr>
        <w:pStyle w:val="ListParagraph"/>
        <w:numPr>
          <w:ilvl w:val="0"/>
          <w:numId w:val="2"/>
        </w:numPr>
        <w:spacing w:after="60"/>
      </w:pPr>
      <w:r>
        <w:t xml:space="preserve">apps/api/src/busyness/busyness.controller.ts — endpoint GET /busyness/me/quiet-moments.</w:t>
      </w:r>
    </w:p>
    <w:p>
      <w:pPr>
        <w:pStyle w:val="ListParagraph"/>
        <w:numPr>
          <w:ilvl w:val="0"/>
          <w:numId w:val="2"/>
        </w:numPr>
        <w:spacing w:after="60"/>
      </w:pPr>
      <w:r>
        <w:t xml:space="preserve">apps/api/src/suggestions/suggestions.service.ts — auto-detectie (detectAndGenerateLowOccupancy) op de momenten.</w:t>
      </w:r>
    </w:p>
    <w:p>
      <w:pPr>
        <w:pStyle w:val="ListParagraph"/>
        <w:numPr>
          <w:ilvl w:val="0"/>
          <w:numId w:val="2"/>
        </w:numPr>
        <w:spacing w:after="60"/>
      </w:pPr>
      <w:r>
        <w:t xml:space="preserve">apps/api/src/ai/restaurant-context.service.ts — rustige momenten in Filly's chat-context.</w:t>
      </w:r>
    </w:p>
    <w:p>
      <w:pPr>
        <w:pStyle w:val="ListParagraph"/>
        <w:numPr>
          <w:ilvl w:val="0"/>
          <w:numId w:val="2"/>
        </w:numPr>
        <w:spacing w:after="60"/>
      </w:pPr>
      <w:r>
        <w:t xml:space="preserve">apps/web/src/lib/use-actionable-days.ts + _components/busyness-card.tsx — chat-blokjes + grafiek-markers uit dezelfde bron.</w:t>
      </w:r>
    </w:p>
    <w:p>
      <w:pPr>
        <w:pStyle w:val="ListParagraph"/>
        <w:numPr>
          <w:ilvl w:val="0"/>
          <w:numId w:val="2"/>
        </w:numPr>
        <w:spacing w:after="60"/>
      </w:pPr>
      <w:r>
        <w:t xml:space="preserve">apps/api/supabase/migrations/0065_restaurant_quiet_moments_per_week.sql — de tempo-instelling.</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Detectie van rustige momenten</dc:title>
  <dc:creator>Get-Filly</dc:creator>
  <cp:lastModifiedBy>Un-named</cp:lastModifiedBy>
  <cp:revision>1</cp:revision>
  <dcterms:created xsi:type="dcterms:W3CDTF">2026-07-27T20:46:58.235Z</dcterms:created>
  <dcterms:modified xsi:type="dcterms:W3CDTF">2026-07-27T20:46:58.241Z</dcterms:modified>
</cp:coreProperties>
</file>

<file path=docProps/custom.xml><?xml version="1.0" encoding="utf-8"?>
<Properties xmlns="http://schemas.openxmlformats.org/officeDocument/2006/custom-properties" xmlns:vt="http://schemas.openxmlformats.org/officeDocument/2006/docPropsVTypes"/>
</file>