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Outfit" w:hAnsi="Outfit"/>
          <w:b/>
          <w:color w:val="0F172A"/>
          <w:sz w:val="44"/>
        </w:rPr>
        <w:t>AURA &amp; GeoLibre: Developer &amp; Engineering Reference Manual</w:t>
      </w:r>
    </w:p>
    <w:p>
      <w:pPr>
        <w:spacing w:before="0" w:after="280"/>
      </w:pPr>
      <w:r>
        <w:rPr>
          <w:rFonts w:ascii="Outfit" w:hAnsi="Outfit"/>
          <w:color w:val="0284C7"/>
          <w:sz w:val="26"/>
        </w:rPr>
        <w:t>Client-Side Rendering Specs, Manifest Schemas, Ingestion Pipelines &amp; QA Testing Standards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Document Reference</w:t>
            </w:r>
          </w:p>
        </w:tc>
        <w:tc>
          <w:tcPr>
            <w:tcW w:type="dxa" w:w="64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AURA-ENG-20260907-V2.4</w:t>
            </w:r>
          </w:p>
        </w:tc>
      </w:tr>
      <w:tr>
        <w:tc>
          <w:tcPr>
            <w:tcW w:type="dxa" w:w="3168"/>
            <w:shd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Target Audience</w:t>
            </w:r>
          </w:p>
        </w:tc>
        <w:tc>
          <w:tcPr>
            <w:tcW w:type="dxa" w:w="64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Software Engineers, Open-Source GIS Developers, Data Pipeline Engineers</w:t>
            </w:r>
          </w:p>
        </w:tc>
      </w:tr>
      <w:tr>
        <w:tc>
          <w:tcPr>
            <w:tcW w:type="dxa" w:w="3168"/>
            <w:shd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Core Topics</w:t>
            </w:r>
          </w:p>
        </w:tc>
        <w:tc>
          <w:tcPr>
            <w:tcW w:type="dxa" w:w="64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WebGIS 60fps Optimization, DuckDB-WASM, Manifest Schemas, Zero-Mock AST Verification</w:t>
            </w:r>
          </w:p>
        </w:tc>
      </w:tr>
      <w:tr>
        <w:tc>
          <w:tcPr>
            <w:tcW w:type="dxa" w:w="3168"/>
            <w:shd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Organization</w:t>
            </w:r>
          </w:p>
        </w:tc>
        <w:tc>
          <w:tcPr>
            <w:tcW w:type="dxa" w:w="64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GetBack2Basics Spatial AI Engineering</w:t>
            </w:r>
          </w:p>
        </w:tc>
      </w:tr>
      <w:tr>
        <w:tc>
          <w:tcPr>
            <w:tcW w:type="dxa" w:w="3168"/>
            <w:shd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Code Repository</w:t>
            </w:r>
          </w:p>
        </w:tc>
        <w:tc>
          <w:tcPr>
            <w:tcW w:type="dxa" w:w="64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https://github.com/GetBack2Basics/aura_siting_crafter</w:t>
            </w:r>
          </w:p>
        </w:tc>
      </w:tr>
      <w:tr>
        <w:tc>
          <w:tcPr>
            <w:tcW w:type="dxa" w:w="3168"/>
            <w:shd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Source Materials</w:t>
            </w:r>
          </w:p>
        </w:tc>
        <w:tc>
          <w:tcPr>
            <w:tcW w:type="dxa" w:w="64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docs/engineering/*.md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9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b/>
                <w:color w:val="0284C7"/>
                <w:sz w:val="20"/>
              </w:rPr>
              <w:t>ENGINEERING SPECIFICATION &amp; DEVELOPER GUIDE</w:t>
              <w:br/>
            </w:r>
            <w:r>
              <w:rPr>
                <w:color w:val="1E293B"/>
                <w:sz w:val="19"/>
              </w:rPr>
              <w:t>Comprehensive technical reference for developers, open-source contributors, and spatial engineers. Details client-side GPU shader interpolation, HTTP range-request streaming, multi-project manifest schemas, and zero-mock automated test gates.</w:t>
            </w:r>
          </w:p>
        </w:tc>
      </w:tr>
    </w:tbl>
    <w:p/>
    <w:p>
      <w:pPr>
        <w:pStyle w:val="Heading1"/>
      </w:pPr>
      <w:r>
        <w:t>Visual Portfolio &amp; Interactive System Captures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eolibre_national_view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4748B"/>
          <w:sz w:val="17"/>
        </w:rPr>
        <w:t>Figure 1: High-throughput GeoLibre WebGIS client running DuckDB-WASM.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qa_inspect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4748B"/>
          <w:sz w:val="17"/>
        </w:rPr>
        <w:t>Figure 2: Interactive QA and layer coordinate precision inspector.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geolibre_contribution_proposa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4748B"/>
          <w:sz w:val="17"/>
        </w:rPr>
        <w:t>Figure 3: Modular architecture and upstream PR integration roadmap.</w:t>
      </w:r>
    </w:p>
    <w:p>
      <w:r>
        <w:br w:type="page"/>
      </w:r>
    </w:p>
    <w:p>
      <w:pPr>
        <w:pStyle w:val="Heading1"/>
        <w:keepNext/>
        <w:spacing w:before="320" w:after="120"/>
      </w:pPr>
      <w:r>
        <w:rPr>
          <w:b/>
          <w:color w:val="0F172A"/>
        </w:rPr>
        <w:t>GeoLibre WebGIS Rendering Enhancements Specification</w:t>
      </w:r>
    </w:p>
    <w:p>
      <w:pPr>
        <w:spacing w:before="40" w:after="80" w:line="276" w:lineRule="auto"/>
      </w:pPr>
      <w:r>
        <w:rPr>
          <w:b/>
          <w:color w:val="1E293B"/>
          <w:sz w:val="19"/>
        </w:rPr>
        <w:t>Ecosystem Standard for:</w:t>
      </w:r>
      <w:r>
        <w:rPr>
          <w:color w:val="334155"/>
          <w:sz w:val="19"/>
        </w:rPr>
        <w:t xml:space="preserve"> </w:t>
      </w:r>
      <w:r>
        <w:rPr>
          <w:color w:val="0284C7"/>
          <w:sz w:val="19"/>
          <w:u w:val="single"/>
        </w:rPr>
        <w:t>`opengeos/GeoLibre`</w:t>
      </w:r>
      <w:r>
        <w:rPr>
          <w:color w:val="334155"/>
          <w:sz w:val="19"/>
        </w:rPr>
        <w:t xml:space="preserve"> &amp; </w:t>
      </w:r>
      <w:r>
        <w:rPr>
          <w:color w:val="0284C7"/>
          <w:sz w:val="19"/>
          <w:u w:val="single"/>
        </w:rPr>
        <w:t>`GetBack2Basics/Spatial_Report_Crafter`</w:t>
      </w:r>
    </w:p>
    <w:p>
      <w:pPr>
        <w:spacing w:before="40" w:after="80" w:line="276" w:lineRule="auto"/>
      </w:pPr>
      <w:r>
        <w:rPr>
          <w:b/>
          <w:color w:val="1E293B"/>
          <w:sz w:val="19"/>
        </w:rPr>
        <w:t>Author:</w:t>
      </w:r>
      <w:r>
        <w:rPr>
          <w:color w:val="334155"/>
          <w:sz w:val="19"/>
        </w:rPr>
        <w:t xml:space="preserve"> GetBack2Basics / AURA Siting Crafter</w:t>
      </w:r>
    </w:p>
    <w:p>
      <w:pPr>
        <w:spacing w:before="40" w:after="80" w:line="276" w:lineRule="auto"/>
      </w:pPr>
      <w:r>
        <w:rPr>
          <w:b/>
          <w:color w:val="1E293B"/>
          <w:sz w:val="19"/>
        </w:rPr>
        <w:t>Status:</w:t>
      </w:r>
      <w:r>
        <w:rPr>
          <w:color w:val="334155"/>
          <w:sz w:val="19"/>
        </w:rPr>
        <w:t xml:space="preserve"> Adopted Default Standard (September 2026)</w:t>
      </w:r>
    </w:p>
    <w:p>
      <w:pPr>
        <w:spacing w:before="40" w:after="80" w:line="276" w:lineRule="auto"/>
      </w:pPr>
      <w:r>
        <w:rPr>
          <w:color w:val="334155"/>
          <w:sz w:val="19"/>
        </w:rPr>
        <w:t>---</w:t>
      </w:r>
    </w:p>
    <w:p>
      <w:pPr>
        <w:pStyle w:val="Heading2"/>
        <w:keepNext/>
        <w:spacing w:before="240" w:after="80"/>
      </w:pPr>
      <w:r>
        <w:rPr>
          <w:b/>
          <w:color w:val="0284C7"/>
        </w:rPr>
        <w:t>1. Overview &amp; Objective</w:t>
      </w:r>
    </w:p>
    <w:p>
      <w:pPr>
        <w:spacing w:before="40" w:after="80" w:line="276" w:lineRule="auto"/>
      </w:pPr>
      <w:r>
        <w:rPr>
          <w:color w:val="334155"/>
          <w:sz w:val="19"/>
        </w:rPr>
        <w:t>When rendering large-scale spatial layers (such as 15.4M+ national cadastral parcels, multi-hazard envelopes, and electrical transmission grids) inside browser WebGIS applications, client-side rendering bottlenecks can lead to:</w:t>
      </w:r>
    </w:p>
    <w:p>
      <w:pPr>
        <w:pStyle w:val="ListBullet"/>
        <w:spacing w:before="20" w:after="40"/>
      </w:pPr>
      <w:r>
        <w:rPr>
          <w:color w:val="334155"/>
          <w:sz w:val="19"/>
        </w:rPr>
        <w:t>Excessive WebGL draw calls and dropped frames (&lt; 30 fps).</w:t>
      </w:r>
    </w:p>
    <w:p>
      <w:pPr>
        <w:pStyle w:val="ListBullet"/>
        <w:spacing w:before="20" w:after="40"/>
      </w:pPr>
      <w:r>
        <w:rPr>
          <w:color w:val="334155"/>
          <w:sz w:val="19"/>
        </w:rPr>
        <w:t>Viewport clutter caused by tens of thousands of sub-pixel polygon slivers.</w:t>
      </w:r>
    </w:p>
    <w:p>
      <w:pPr>
        <w:pStyle w:val="ListBullet"/>
        <w:spacing w:before="20" w:after="40"/>
      </w:pPr>
      <w:r>
        <w:rPr>
          <w:color w:val="334155"/>
          <w:sz w:val="19"/>
        </w:rPr>
        <w:t>DOM and memory pressure resulting from bloated GeoJSON transfers.</w:t>
      </w:r>
    </w:p>
    <w:p>
      <w:pPr>
        <w:spacing w:before="40" w:after="80" w:line="276" w:lineRule="auto"/>
      </w:pPr>
      <w:r>
        <w:rPr>
          <w:color w:val="334155"/>
          <w:sz w:val="19"/>
        </w:rPr>
        <w:t xml:space="preserve">This specification defines </w:t>
      </w:r>
      <w:r>
        <w:rPr>
          <w:b/>
          <w:color w:val="1E293B"/>
          <w:sz w:val="19"/>
        </w:rPr>
        <w:t>5 Core Rendering Standards</w:t>
      </w:r>
      <w:r>
        <w:rPr>
          <w:color w:val="334155"/>
          <w:sz w:val="19"/>
        </w:rPr>
        <w:t xml:space="preserve"> to serve as the default behavior across </w:t>
      </w:r>
      <w:r>
        <w:rPr>
          <w:b/>
          <w:color w:val="1E293B"/>
          <w:sz w:val="19"/>
        </w:rPr>
        <w:t>GeoLibre</w:t>
      </w:r>
      <w:r>
        <w:rPr>
          <w:color w:val="334155"/>
          <w:sz w:val="19"/>
        </w:rPr>
        <w:t xml:space="preserve"> client plugins and </w:t>
      </w:r>
      <w:r>
        <w:rPr>
          <w:b/>
          <w:color w:val="1E293B"/>
          <w:sz w:val="19"/>
        </w:rPr>
        <w:t>Spatial_Report_Crafter</w:t>
      </w:r>
      <w:r>
        <w:rPr>
          <w:color w:val="334155"/>
          <w:sz w:val="19"/>
        </w:rPr>
        <w:t xml:space="preserve"> digital twins.</w:t>
      </w:r>
    </w:p>
    <w:p>
      <w:pPr>
        <w:spacing w:before="80" w:after="120"/>
        <w:ind w:left="360"/>
      </w:pPr>
      <w:r>
        <w:rPr>
          <w:rFonts w:ascii="Consolas" w:hAnsi="Consolas"/>
          <w:color w:val="0F172A"/>
          <w:sz w:val="17"/>
        </w:rPr>
        <w:t>flowchart TD</w:t>
        <w:br/>
        <w:t xml:space="preserve">    subgraph DataLayer["Cloud / Native Stream"]</w:t>
        <w:br/>
        <w:t xml:space="preserve">        GPQ["GeoParquet / PMTiles / FlatGeobuf"]</w:t>
        <w:br/>
        <w:t xml:space="preserve">    end</w:t>
        <w:br/>
        <w:br/>
        <w:t xml:space="preserve">    subgraph ClientProcessing["DuckDB-WASM Engine"]</w:t>
        <w:br/>
        <w:t xml:space="preserve">        SQL["Area Sort: ORDER BY ST_Area(geom) DESC&lt;br/&gt;Viewport Limit: LIMIT 500"]</w:t>
        <w:br/>
        <w:t xml:space="preserve">        ATTR["Dynamic Continuous Attribute Normalization"]</w:t>
        <w:br/>
        <w:t xml:space="preserve">    end</w:t>
        <w:br/>
        <w:br/>
        <w:t xml:space="preserve">    subgraph MapLibreRendering["MapLibre GL JS Rendering"]</w:t>
        <w:br/>
        <w:t xml:space="preserve">        CLUST["Point Clustering Source (cluster: true)"]</w:t>
        <w:br/>
        <w:t xml:space="preserve">        RAMP["Dynamic Interpolate Continuous Color Ramps"]</w:t>
        <w:br/>
        <w:t xml:space="preserve">        STREAM["HTTP Byte-Range Sub-Second Streaming"]</w:t>
        <w:br/>
        <w:t xml:space="preserve">        EXPORT["Single-File Zero-Latency Standalone Twin"]</w:t>
        <w:br/>
        <w:t xml:space="preserve">    end</w:t>
        <w:br/>
        <w:br/>
        <w:t xml:space="preserve">    GPQ --&gt; STREAM</w:t>
        <w:br/>
        <w:t xml:space="preserve">    STREAM --&gt; SQL</w:t>
        <w:br/>
        <w:t xml:space="preserve">    SQL --&gt; RAMP</w:t>
        <w:br/>
        <w:t xml:space="preserve">    ATTR --&gt; RAMP</w:t>
        <w:br/>
        <w:t xml:space="preserve">    GPQ --&gt; CLUST</w:t>
      </w:r>
    </w:p>
    <w:p>
      <w:pPr>
        <w:spacing w:before="40" w:after="80" w:line="276" w:lineRule="auto"/>
      </w:pPr>
      <w:r>
        <w:rPr>
          <w:color w:val="334155"/>
          <w:sz w:val="19"/>
        </w:rPr>
        <w:t>---</w:t>
      </w:r>
    </w:p>
    <w:p>
      <w:pPr>
        <w:pStyle w:val="Heading2"/>
        <w:keepNext/>
        <w:spacing w:before="240" w:after="80"/>
      </w:pPr>
      <w:r>
        <w:rPr>
          <w:b/>
          <w:color w:val="0284C7"/>
        </w:rPr>
        <w:t>2. The 5 Core Rendering Standards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Standard 1: Area-Priority Viewport Feature Limiting</w:t>
      </w:r>
    </w:p>
    <w:p>
      <w:pPr>
        <w:pStyle w:val="ListBullet"/>
        <w:spacing w:before="20" w:after="40"/>
      </w:pPr>
      <w:r>
        <w:rPr>
          <w:b/>
          <w:color w:val="1E293B"/>
          <w:sz w:val="19"/>
        </w:rPr>
        <w:t>Default Setting:</w:t>
      </w:r>
      <w:r>
        <w:rPr>
          <w:color w:val="334155"/>
          <w:sz w:val="19"/>
        </w:rPr>
        <w:t xml:space="preserve"> </w:t>
      </w:r>
      <w:r>
        <w:rPr>
          <w:rFonts w:ascii="Consolas" w:hAnsi="Consolas"/>
          <w:color w:val="0E7490"/>
          <w:sz w:val="17"/>
        </w:rPr>
        <w:t>FEATURE_RENDER_LIMIT = 500</w:t>
      </w:r>
    </w:p>
    <w:p>
      <w:pPr>
        <w:pStyle w:val="ListBullet"/>
        <w:spacing w:before="20" w:after="40"/>
      </w:pPr>
      <w:r>
        <w:rPr>
          <w:b/>
          <w:color w:val="1E293B"/>
          <w:sz w:val="19"/>
        </w:rPr>
        <w:t>Behavior:</w:t>
      </w:r>
      <w:r>
        <w:rPr>
          <w:color w:val="334155"/>
          <w:sz w:val="19"/>
        </w:rPr>
        <w:t xml:space="preserve"> When the total matching polygon/multipolygon count within an active viewport bounding box exceeds the limit, query and sort features by descending surface area (</w:t>
      </w:r>
      <w:r>
        <w:rPr>
          <w:rFonts w:ascii="Consolas" w:hAnsi="Consolas"/>
          <w:color w:val="0E7490"/>
          <w:sz w:val="17"/>
        </w:rPr>
        <w:t>ORDER BY ST_Area(geom) DESC</w:t>
      </w:r>
      <w:r>
        <w:rPr>
          <w:color w:val="334155"/>
          <w:sz w:val="19"/>
        </w:rPr>
        <w:t xml:space="preserve"> or bounding box magnitude).</w:t>
      </w:r>
    </w:p>
    <w:p>
      <w:pPr>
        <w:pStyle w:val="ListBullet"/>
        <w:spacing w:before="20" w:after="40"/>
      </w:pPr>
      <w:r>
        <w:rPr>
          <w:b/>
          <w:color w:val="1E293B"/>
          <w:sz w:val="19"/>
        </w:rPr>
        <w:t>Benefit:</w:t>
      </w:r>
      <w:r>
        <w:rPr>
          <w:color w:val="334155"/>
          <w:sz w:val="19"/>
        </w:rPr>
        <w:t xml:space="preserve"> Ensures primary regional land parcels and candidate pads are rendered cleanly without visual occlusion from micro-slivers, while maintaining consistent 60fps frame rates.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Standard 2: Point Clustering &amp; Density Scaling</w:t>
      </w:r>
    </w:p>
    <w:p>
      <w:pPr>
        <w:pStyle w:val="ListBullet"/>
        <w:spacing w:before="20" w:after="40"/>
      </w:pPr>
      <w:r>
        <w:rPr>
          <w:b/>
          <w:color w:val="1E293B"/>
          <w:sz w:val="19"/>
        </w:rPr>
        <w:t>Default Setting:</w:t>
      </w:r>
      <w:r>
        <w:rPr>
          <w:color w:val="334155"/>
          <w:sz w:val="19"/>
        </w:rPr>
        <w:t xml:space="preserve"> </w:t>
      </w:r>
      <w:r>
        <w:rPr>
          <w:rFonts w:ascii="Consolas" w:hAnsi="Consolas"/>
          <w:color w:val="0E7490"/>
          <w:sz w:val="17"/>
        </w:rPr>
        <w:t>cluster: true</w:t>
      </w:r>
      <w:r>
        <w:rPr>
          <w:color w:val="334155"/>
          <w:sz w:val="19"/>
        </w:rPr>
        <w:t xml:space="preserve">, </w:t>
      </w:r>
      <w:r>
        <w:rPr>
          <w:rFonts w:ascii="Consolas" w:hAnsi="Consolas"/>
          <w:color w:val="0E7490"/>
          <w:sz w:val="17"/>
        </w:rPr>
        <w:t>clusterRadius: 50</w:t>
      </w:r>
      <w:r>
        <w:rPr>
          <w:color w:val="334155"/>
          <w:sz w:val="19"/>
        </w:rPr>
        <w:t xml:space="preserve">, </w:t>
      </w:r>
      <w:r>
        <w:rPr>
          <w:rFonts w:ascii="Consolas" w:hAnsi="Consolas"/>
          <w:color w:val="0E7490"/>
          <w:sz w:val="17"/>
        </w:rPr>
        <w:t>clusterMaxZoom: 14</w:t>
      </w:r>
    </w:p>
    <w:p>
      <w:pPr>
        <w:pStyle w:val="ListBullet"/>
        <w:spacing w:before="20" w:after="40"/>
      </w:pPr>
      <w:r>
        <w:rPr>
          <w:b/>
          <w:color w:val="1E293B"/>
          <w:sz w:val="19"/>
        </w:rPr>
        <w:t>Behavior:</w:t>
      </w:r>
      <w:r>
        <w:rPr>
          <w:color w:val="334155"/>
          <w:sz w:val="19"/>
        </w:rPr>
        <w:t xml:space="preserve"> For dense point layers (electrical substations, transmission towers, water boreholes, monitoring points), instantiate MapLibre GL cluster sources.</w:t>
      </w:r>
    </w:p>
    <w:p>
      <w:pPr>
        <w:pStyle w:val="ListBullet"/>
        <w:spacing w:before="20" w:after="40"/>
      </w:pPr>
      <w:r>
        <w:rPr>
          <w:b/>
          <w:color w:val="1E293B"/>
          <w:sz w:val="19"/>
        </w:rPr>
        <w:t>Cluster Badges:</w:t>
      </w:r>
      <w:r>
        <w:rPr>
          <w:color w:val="334155"/>
          <w:sz w:val="19"/>
        </w:rPr>
        <w:t xml:space="preserve"> Tiered circle radii and color steps (e.g., </w:t>
      </w:r>
      <w:r>
        <w:rPr>
          <w:rFonts w:ascii="Consolas" w:hAnsi="Consolas"/>
          <w:color w:val="0E7490"/>
          <w:sz w:val="17"/>
        </w:rPr>
        <w:t>&lt; 10</w:t>
      </w:r>
      <w:r>
        <w:rPr>
          <w:color w:val="334155"/>
          <w:sz w:val="19"/>
        </w:rPr>
        <w:t xml:space="preserve"> points: </w:t>
      </w:r>
      <w:r>
        <w:rPr>
          <w:rFonts w:ascii="Consolas" w:hAnsi="Consolas"/>
          <w:color w:val="0E7490"/>
          <w:sz w:val="17"/>
        </w:rPr>
        <w:t>#3b82f6</w:t>
      </w:r>
      <w:r>
        <w:rPr>
          <w:color w:val="334155"/>
          <w:sz w:val="19"/>
        </w:rPr>
        <w:t xml:space="preserve">, </w:t>
      </w:r>
      <w:r>
        <w:rPr>
          <w:rFonts w:ascii="Consolas" w:hAnsi="Consolas"/>
          <w:color w:val="0E7490"/>
          <w:sz w:val="17"/>
        </w:rPr>
        <w:t>10–50</w:t>
      </w:r>
      <w:r>
        <w:rPr>
          <w:color w:val="334155"/>
          <w:sz w:val="19"/>
        </w:rPr>
        <w:t xml:space="preserve"> points: </w:t>
      </w:r>
      <w:r>
        <w:rPr>
          <w:rFonts w:ascii="Consolas" w:hAnsi="Consolas"/>
          <w:color w:val="0E7490"/>
          <w:sz w:val="17"/>
        </w:rPr>
        <w:t>#f59e0b</w:t>
      </w:r>
      <w:r>
        <w:rPr>
          <w:color w:val="334155"/>
          <w:sz w:val="19"/>
        </w:rPr>
        <w:t xml:space="preserve">, </w:t>
      </w:r>
      <w:r>
        <w:rPr>
          <w:rFonts w:ascii="Consolas" w:hAnsi="Consolas"/>
          <w:color w:val="0E7490"/>
          <w:sz w:val="17"/>
        </w:rPr>
        <w:t>&gt; 50</w:t>
      </w:r>
      <w:r>
        <w:rPr>
          <w:color w:val="334155"/>
          <w:sz w:val="19"/>
        </w:rPr>
        <w:t xml:space="preserve"> points: </w:t>
      </w:r>
      <w:r>
        <w:rPr>
          <w:rFonts w:ascii="Consolas" w:hAnsi="Consolas"/>
          <w:color w:val="0E7490"/>
          <w:sz w:val="17"/>
        </w:rPr>
        <w:t>#ef4444</w:t>
      </w:r>
      <w:r>
        <w:rPr>
          <w:color w:val="334155"/>
          <w:sz w:val="19"/>
        </w:rPr>
        <w:t>). Clicking a cluster executes bounding-box zoom expansion or spiderfying.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Standard 3: Dynamic MapLibre Continuous Color Ramps</w:t>
      </w:r>
    </w:p>
    <w:p>
      <w:pPr>
        <w:pStyle w:val="ListBullet"/>
        <w:spacing w:before="20" w:after="40"/>
      </w:pPr>
      <w:r>
        <w:rPr>
          <w:b/>
          <w:color w:val="1E293B"/>
          <w:sz w:val="19"/>
        </w:rPr>
        <w:t>Default Setting:</w:t>
      </w:r>
      <w:r>
        <w:rPr>
          <w:color w:val="334155"/>
          <w:sz w:val="19"/>
        </w:rPr>
        <w:t xml:space="preserve"> GPU-driven continuous expression interpolation</w:t>
      </w:r>
    </w:p>
    <w:p>
      <w:pPr>
        <w:pStyle w:val="ListBullet"/>
        <w:spacing w:before="20" w:after="40"/>
      </w:pPr>
      <w:r>
        <w:rPr>
          <w:b/>
          <w:color w:val="1E293B"/>
          <w:sz w:val="19"/>
        </w:rPr>
        <w:t>Syntax:</w:t>
      </w:r>
    </w:p>
    <w:p>
      <w:pPr>
        <w:spacing w:before="80" w:after="120"/>
        <w:ind w:left="360"/>
      </w:pPr>
      <w:r>
        <w:rPr>
          <w:rFonts w:ascii="Consolas" w:hAnsi="Consolas"/>
          <w:color w:val="0F172A"/>
          <w:sz w:val="17"/>
        </w:rPr>
        <w:t xml:space="preserve">  'fill-color': [</w:t>
        <w:br/>
        <w:t xml:space="preserve">    'interpolate',</w:t>
        <w:br/>
        <w:t xml:space="preserve">    ['linear'],</w:t>
        <w:br/>
        <w:t xml:space="preserve">    ['get', 'suitability_score'],</w:t>
        <w:br/>
        <w:t xml:space="preserve">    0.0, '#3b82f6',   // Blue (Low / Moderate)</w:t>
        <w:br/>
        <w:t xml:space="preserve">    0.5, '#f59e0b',   // Amber (Viable)</w:t>
        <w:br/>
        <w:t xml:space="preserve">    0.8, '#10b981',   // Emerald (High)</w:t>
        <w:br/>
        <w:t xml:space="preserve">    1.0, '#06b6d4'    // Cyan (Optimal Tier-1)</w:t>
        <w:br/>
        <w:t xml:space="preserve">  ]</w:t>
      </w:r>
    </w:p>
    <w:p>
      <w:pPr>
        <w:pStyle w:val="ListBullet"/>
        <w:spacing w:before="20" w:after="40"/>
      </w:pPr>
      <w:r>
        <w:rPr>
          <w:b/>
          <w:color w:val="1E293B"/>
          <w:sz w:val="19"/>
        </w:rPr>
        <w:t>Benefit:</w:t>
      </w:r>
      <w:r>
        <w:rPr>
          <w:color w:val="334155"/>
          <w:sz w:val="19"/>
        </w:rPr>
        <w:t xml:space="preserve"> Parameter adjustments in client-side DuckDB-WASM immediately recolor map polygons via WebGL shaders without re-allocating layers or textures.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Standard 4: Sub-Second Web-Native Vector Streaming</w:t>
      </w:r>
    </w:p>
    <w:p>
      <w:pPr>
        <w:pStyle w:val="ListBullet"/>
        <w:spacing w:before="20" w:after="40"/>
      </w:pPr>
      <w:r>
        <w:rPr>
          <w:b/>
          <w:color w:val="1E293B"/>
          <w:sz w:val="19"/>
        </w:rPr>
        <w:t>Default Formats:</w:t>
      </w:r>
      <w:r>
        <w:rPr>
          <w:color w:val="334155"/>
          <w:sz w:val="19"/>
        </w:rPr>
        <w:t xml:space="preserve"> </w:t>
      </w:r>
      <w:r>
        <w:rPr>
          <w:b/>
          <w:color w:val="1E293B"/>
          <w:sz w:val="19"/>
        </w:rPr>
        <w:t>PMTiles</w:t>
      </w:r>
      <w:r>
        <w:rPr>
          <w:color w:val="334155"/>
          <w:sz w:val="19"/>
        </w:rPr>
        <w:t xml:space="preserve">, </w:t>
      </w:r>
      <w:r>
        <w:rPr>
          <w:b/>
          <w:color w:val="1E293B"/>
          <w:sz w:val="19"/>
        </w:rPr>
        <w:t>FlatGeobuf</w:t>
      </w:r>
      <w:r>
        <w:rPr>
          <w:color w:val="334155"/>
          <w:sz w:val="19"/>
        </w:rPr>
        <w:t xml:space="preserve">, </w:t>
      </w:r>
      <w:r>
        <w:rPr>
          <w:b/>
          <w:color w:val="1E293B"/>
          <w:sz w:val="19"/>
        </w:rPr>
        <w:t>GeoParquet</w:t>
      </w:r>
    </w:p>
    <w:p>
      <w:pPr>
        <w:pStyle w:val="ListBullet"/>
        <w:spacing w:before="20" w:after="40"/>
      </w:pPr>
      <w:r>
        <w:rPr>
          <w:b/>
          <w:color w:val="1E293B"/>
          <w:sz w:val="19"/>
        </w:rPr>
        <w:t>Behavior:</w:t>
      </w:r>
      <w:r>
        <w:rPr>
          <w:color w:val="334155"/>
          <w:sz w:val="19"/>
        </w:rPr>
        <w:t xml:space="preserve"> Client requests only the required spatial partitions or tile bytes using HTTP Range headers (</w:t>
      </w:r>
      <w:r>
        <w:rPr>
          <w:rFonts w:ascii="Consolas" w:hAnsi="Consolas"/>
          <w:color w:val="0E7490"/>
          <w:sz w:val="17"/>
        </w:rPr>
        <w:t>Range: bytes=start-end</w:t>
      </w:r>
      <w:r>
        <w:rPr>
          <w:color w:val="334155"/>
          <w:sz w:val="19"/>
        </w:rPr>
        <w:t>), eliminating multi-megabyte GeoJSON payload downloads.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Standard 5: Zero-Latency Standalone Digital Twins</w:t>
      </w:r>
    </w:p>
    <w:p>
      <w:pPr>
        <w:pStyle w:val="ListBullet"/>
        <w:spacing w:before="20" w:after="40"/>
      </w:pPr>
      <w:r>
        <w:rPr>
          <w:b/>
          <w:color w:val="1E293B"/>
          <w:sz w:val="19"/>
        </w:rPr>
        <w:t>Default Output:</w:t>
      </w:r>
      <w:r>
        <w:rPr>
          <w:color w:val="334155"/>
          <w:sz w:val="19"/>
        </w:rPr>
        <w:t xml:space="preserve"> Self-contained, single-file HTML apps</w:t>
      </w:r>
    </w:p>
    <w:p>
      <w:pPr>
        <w:pStyle w:val="ListBullet"/>
        <w:spacing w:before="20" w:after="40"/>
      </w:pPr>
      <w:r>
        <w:rPr>
          <w:b/>
          <w:color w:val="1E293B"/>
          <w:sz w:val="19"/>
        </w:rPr>
        <w:t>Behavior:</w:t>
      </w:r>
      <w:r>
        <w:rPr>
          <w:color w:val="334155"/>
          <w:sz w:val="19"/>
        </w:rPr>
        <w:t xml:space="preserve"> </w:t>
      </w:r>
      <w:r>
        <w:rPr>
          <w:rFonts w:ascii="Consolas" w:hAnsi="Consolas"/>
          <w:color w:val="0E7490"/>
          <w:sz w:val="17"/>
        </w:rPr>
        <w:t>Spatial_Report_Crafter</w:t>
      </w:r>
      <w:r>
        <w:rPr>
          <w:color w:val="334155"/>
          <w:sz w:val="19"/>
        </w:rPr>
        <w:t xml:space="preserve"> and GeoLibre exporters embed essential micro-layers (e.g. project boundaries, Net Developable Pads, infrastructure corridors) directly into the HTML document, allowing stakeholders to execute full spatial queries and slider re-scoring completely offline.</w:t>
      </w:r>
    </w:p>
    <w:p>
      <w:pPr>
        <w:spacing w:before="40" w:after="80" w:line="276" w:lineRule="auto"/>
      </w:pPr>
      <w:r>
        <w:rPr>
          <w:color w:val="334155"/>
          <w:sz w:val="19"/>
        </w:rPr>
        <w:t>---</w:t>
      </w:r>
    </w:p>
    <w:p>
      <w:pPr>
        <w:pStyle w:val="Heading2"/>
        <w:keepNext/>
        <w:spacing w:before="240" w:after="80"/>
      </w:pPr>
      <w:r>
        <w:rPr>
          <w:b/>
          <w:color w:val="0284C7"/>
        </w:rPr>
        <w:t>3. Integration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8FAFC"/>
                <w:sz w:val="18"/>
              </w:rPr>
              <w:t>Component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8FAFC"/>
                <w:sz w:val="18"/>
              </w:rPr>
              <w:t>GeoLibre (`opengeos/GeoLibre`)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8FAFC"/>
                <w:sz w:val="18"/>
              </w:rPr>
              <w:t>Spatial Report Crafter (`Spatial_Report_Crafter`)</w:t>
            </w:r>
          </w:p>
        </w:tc>
      </w:tr>
      <w:tr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**Area-Priority Limiter**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Core Layer Rendering Pipeline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Default Project Map Template</w:t>
            </w:r>
          </w:p>
        </w:tc>
      </w:tr>
      <w:tr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**Point Clustering**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Default on Point Ingestion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Infrastructure Layer Presets</w:t>
            </w:r>
          </w:p>
        </w:tc>
      </w:tr>
      <w:tr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**Continuous Color Ramps**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`geolibre-siting` Plugin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Live Suitability Explorer</w:t>
            </w:r>
          </w:p>
        </w:tc>
      </w:tr>
      <w:tr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**Byte-Range Streaming**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Cloud Catalog Connectors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Remote Lakehouse Layer Bridge</w:t>
            </w:r>
          </w:p>
        </w:tc>
      </w:tr>
      <w:tr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**Standalone HTML Export**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`geolibre-export-report` Action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`tools/build_project_package.py`</w:t>
            </w:r>
          </w:p>
        </w:tc>
      </w:tr>
    </w:tbl>
    <w:p/>
    <w:p>
      <w:pPr>
        <w:spacing w:before="40" w:after="80" w:line="276" w:lineRule="auto"/>
      </w:pPr>
      <w:r>
        <w:rPr>
          <w:color w:val="334155"/>
          <w:sz w:val="19"/>
        </w:rPr>
        <w:t>---</w:t>
      </w:r>
    </w:p>
    <w:p>
      <w:pPr>
        <w:pStyle w:val="Heading2"/>
        <w:keepNext/>
        <w:spacing w:before="240" w:after="80"/>
      </w:pPr>
      <w:r>
        <w:rPr>
          <w:b/>
          <w:color w:val="0284C7"/>
        </w:rPr>
        <w:t>4. Cross-Repository References</w:t>
      </w:r>
    </w:p>
    <w:p>
      <w:pPr>
        <w:pStyle w:val="ListBullet"/>
        <w:spacing w:before="20" w:after="40"/>
      </w:pPr>
      <w:r>
        <w:rPr>
          <w:b/>
          <w:color w:val="1E293B"/>
          <w:sz w:val="19"/>
        </w:rPr>
        <w:t>Spatial Report Crafter:</w:t>
      </w:r>
      <w:r>
        <w:rPr>
          <w:color w:val="334155"/>
          <w:sz w:val="19"/>
        </w:rPr>
        <w:t xml:space="preserve"> </w:t>
      </w:r>
      <w:r>
        <w:rPr>
          <w:color w:val="0284C7"/>
          <w:sz w:val="19"/>
          <w:u w:val="single"/>
        </w:rPr>
        <w:t>https://github.com/GetBack2Basics/Spatial_Report_Crafter</w:t>
      </w:r>
    </w:p>
    <w:p>
      <w:pPr>
        <w:pStyle w:val="ListBullet"/>
        <w:spacing w:before="20" w:after="40"/>
      </w:pPr>
      <w:r>
        <w:rPr>
          <w:b/>
          <w:color w:val="1E293B"/>
          <w:sz w:val="19"/>
        </w:rPr>
        <w:t>GeoLibre Upstream:</w:t>
      </w:r>
      <w:r>
        <w:rPr>
          <w:color w:val="334155"/>
          <w:sz w:val="19"/>
        </w:rPr>
        <w:t xml:space="preserve"> </w:t>
      </w:r>
      <w:r>
        <w:rPr>
          <w:color w:val="0284C7"/>
          <w:sz w:val="19"/>
          <w:u w:val="single"/>
        </w:rPr>
        <w:t>https://github.com/opengeos/GeoLibre</w:t>
      </w:r>
    </w:p>
    <w:p>
      <w:pPr>
        <w:pStyle w:val="ListBullet"/>
        <w:spacing w:before="20" w:after="40"/>
      </w:pPr>
      <w:r>
        <w:rPr>
          <w:b/>
          <w:color w:val="1E293B"/>
          <w:sz w:val="19"/>
        </w:rPr>
        <w:t>AURA Siting Crafter:</w:t>
      </w:r>
      <w:r>
        <w:rPr>
          <w:color w:val="334155"/>
          <w:sz w:val="19"/>
        </w:rPr>
        <w:t xml:space="preserve"> </w:t>
      </w:r>
      <w:r>
        <w:rPr>
          <w:color w:val="0284C7"/>
          <w:sz w:val="19"/>
          <w:u w:val="single"/>
        </w:rPr>
        <w:t>https://github.com/GetBack2Basics/aura_siting_crafter</w:t>
      </w:r>
    </w:p>
    <w:p>
      <w:r>
        <w:br w:type="page"/>
      </w:r>
    </w:p>
    <w:p>
      <w:pPr>
        <w:pStyle w:val="Heading1"/>
      </w:pPr>
      <w:r>
        <w:t>Multi-Project Ingestion Pipeline &amp; Schema Blueprint</w:t>
      </w:r>
    </w:p>
    <w:p>
      <w:pPr>
        <w:pStyle w:val="Heading1"/>
        <w:keepNext/>
        <w:spacing w:before="320" w:after="120"/>
      </w:pPr>
      <w:r>
        <w:rPr>
          <w:b/>
          <w:color w:val="0F172A"/>
        </w:rPr>
        <w:t>Multi-Project Ingestion Pipeline &amp; Schema Specifications</w:t>
      </w:r>
    </w:p>
    <w:p>
      <w:pPr>
        <w:spacing w:before="40" w:after="80" w:line="276" w:lineRule="auto"/>
      </w:pPr>
      <w:r>
        <w:rPr>
          <w:b/>
          <w:color w:val="1E293B"/>
          <w:sz w:val="19"/>
        </w:rPr>
        <w:t>Module:</w:t>
      </w:r>
      <w:r>
        <w:rPr>
          <w:color w:val="334155"/>
          <w:sz w:val="19"/>
        </w:rPr>
        <w:t xml:space="preserve"> Multi-Project Siting &amp; Package Generator</w:t>
      </w:r>
    </w:p>
    <w:p>
      <w:pPr>
        <w:spacing w:before="40" w:after="80" w:line="276" w:lineRule="auto"/>
      </w:pPr>
      <w:r>
        <w:rPr>
          <w:b/>
          <w:color w:val="1E293B"/>
          <w:sz w:val="19"/>
        </w:rPr>
        <w:t>Maintainer:</w:t>
      </w:r>
      <w:r>
        <w:rPr>
          <w:color w:val="334155"/>
          <w:sz w:val="19"/>
        </w:rPr>
        <w:t xml:space="preserve"> GetBack2Basics Spatial AI Engineering</w:t>
      </w:r>
    </w:p>
    <w:p>
      <w:pPr>
        <w:spacing w:before="40" w:after="80" w:line="276" w:lineRule="auto"/>
      </w:pPr>
      <w:r>
        <w:rPr>
          <w:b/>
          <w:color w:val="1E293B"/>
          <w:sz w:val="19"/>
        </w:rPr>
        <w:t>Version:</w:t>
      </w:r>
      <w:r>
        <w:rPr>
          <w:color w:val="334155"/>
          <w:sz w:val="19"/>
        </w:rPr>
        <w:t xml:space="preserve"> 2.0 (September 2026)</w:t>
      </w:r>
    </w:p>
    <w:p>
      <w:pPr>
        <w:spacing w:before="40" w:after="80" w:line="276" w:lineRule="auto"/>
      </w:pPr>
      <w:r>
        <w:rPr>
          <w:color w:val="334155"/>
          <w:sz w:val="19"/>
        </w:rPr>
        <w:t>---</w:t>
      </w:r>
    </w:p>
    <w:p>
      <w:pPr>
        <w:pStyle w:val="Heading2"/>
        <w:keepNext/>
        <w:spacing w:before="240" w:after="80"/>
      </w:pPr>
      <w:r>
        <w:rPr>
          <w:b/>
          <w:color w:val="0284C7"/>
        </w:rPr>
        <w:t>1. System Architecture &amp; Technical Data Flow</w:t>
      </w:r>
    </w:p>
    <w:p>
      <w:pPr>
        <w:spacing w:before="40" w:after="80" w:line="276" w:lineRule="auto"/>
      </w:pPr>
      <w:r>
        <w:rPr>
          <w:color w:val="334155"/>
          <w:sz w:val="19"/>
        </w:rPr>
        <w:t>The Multi-Project Ingestion Pipeline establishes a repeatable, schema-validated workflow for compiling localized proponent spatial studies into standalone, high-performance web artifacts and statutory assessment reports.</w:t>
      </w:r>
    </w:p>
    <w:p>
      <w:pPr>
        <w:spacing w:before="80" w:after="120"/>
        <w:ind w:left="360"/>
      </w:pPr>
      <w:r>
        <w:rPr>
          <w:rFonts w:ascii="Consolas" w:hAnsi="Consolas"/>
          <w:color w:val="0F172A"/>
          <w:sz w:val="17"/>
        </w:rPr>
        <w:t>flowchart TD</w:t>
        <w:br/>
        <w:t xml:space="preserve">    subgraph Ingestion["1. Proponent Ingestion &amp; Schema Gate"]</w:t>
        <w:br/>
        <w:t xml:space="preserve">        M1["Project Manifest (config/projects/{Project_ID}.json)"] --&gt; V1["Schema Validator (schema_project_manifest.json)"]</w:t>
        <w:br/>
        <w:t xml:space="preserve">        G1["Spatial Layers (data/projects/{Project_ID}/*.geojson)"] --&gt; V2["Zero-Mock &amp; Coordinate Precision Scanner"]</w:t>
        <w:br/>
        <w:t xml:space="preserve">    end</w:t>
        <w:br/>
        <w:br/>
        <w:t xml:space="preserve">    subgraph Pipeline["2. Package Generator (tools/build_project_package.py)"]</w:t>
        <w:br/>
        <w:t xml:space="preserve">        V1 &amp; V2 --&gt; B1["Spatial Ingest &amp; Topology Calculator"]</w:t>
        <w:br/>
        <w:t xml:space="preserve">        B1 --&gt; B2["Client HTML Bundle Compiler"]</w:t>
        <w:br/>
        <w:t xml:space="preserve">        B1 --&gt; B3["Statutory Report HTML Generator"]</w:t>
        <w:br/>
        <w:t xml:space="preserve">    end</w:t>
        <w:br/>
        <w:br/>
        <w:t xml:space="preserve">    subgraph Output["3. Production Artifacts"]</w:t>
        <w:br/>
        <w:t xml:space="preserve">        B2 --&gt; P1["Project WebGIS Viewer (src/geolibre_frontend/projects/index_{Project_ID}.html)"]</w:t>
        <w:br/>
        <w:t xml:space="preserve">        B3 --&gt; P2["Statutory Site Assessment (runner/projects/report_{Project_ID}.html)"]</w:t>
        <w:br/>
        <w:t xml:space="preserve">        P1 &amp; P2 --&gt; D1["DuckDB-WASM In-Memory Siting Engine"]</w:t>
        <w:br/>
        <w:t xml:space="preserve">    end</w:t>
        <w:br/>
        <w:br/>
        <w:t xml:space="preserve">    style Ingestion fill:#1e293b,stroke:#3b82f6,color:#f8fafc</w:t>
        <w:br/>
        <w:t xml:space="preserve">    style Pipeline fill:#1e1b4b,stroke:#818cf8,color:#ffffff,stroke-width:2px</w:t>
        <w:br/>
        <w:t xml:space="preserve">    style Output fill:#065f46,stroke:#34d399,color:#ffffff,stroke-width:2px</w:t>
      </w:r>
    </w:p>
    <w:p>
      <w:pPr>
        <w:spacing w:before="40" w:after="80" w:line="276" w:lineRule="auto"/>
      </w:pPr>
      <w:r>
        <w:rPr>
          <w:color w:val="334155"/>
          <w:sz w:val="19"/>
        </w:rPr>
        <w:t>---</w:t>
      </w:r>
    </w:p>
    <w:p>
      <w:pPr>
        <w:pStyle w:val="Heading2"/>
        <w:keepNext/>
        <w:spacing w:before="240" w:after="80"/>
      </w:pPr>
      <w:r>
        <w:rPr>
          <w:b/>
          <w:color w:val="0284C7"/>
        </w:rPr>
        <w:t>2. Project Directory Structure</w:t>
      </w:r>
    </w:p>
    <w:p>
      <w:pPr>
        <w:spacing w:before="80" w:after="120"/>
        <w:ind w:left="360"/>
      </w:pPr>
      <w:r>
        <w:rPr>
          <w:rFonts w:ascii="Consolas" w:hAnsi="Consolas"/>
          <w:color w:val="0F172A"/>
          <w:sz w:val="17"/>
        </w:rPr>
        <w:t>aura_siting_crafter/</w:t>
        <w:br/>
        <w:t>├── config/</w:t>
        <w:br/>
        <w:t>│   └── projects/</w:t>
        <w:br/>
        <w:t>│       ├── schema_project_manifest.json           [Manifest JSON Schema specification]</w:t>
        <w:br/>
        <w:t>│       └── LMCC_MacquarieCoal.json               [Site-specific project manifest]</w:t>
        <w:br/>
        <w:t>├── data/</w:t>
        <w:br/>
        <w:t>│   └── projects/</w:t>
        <w:br/>
        <w:t>│       └── LMCC_MacquarieCoal/                   [Site-specific spatial layers]</w:t>
        <w:br/>
        <w:t>│           ├── developable_pads_v1.geojson</w:t>
        <w:br/>
        <w:t>│           ├── staging_phases_v1.geojson</w:t>
        <w:br/>
        <w:t>│           ├── substation_phes_layout.geojson</w:t>
        <w:br/>
        <w:t>│           ├── rail_haulroad_spine.geojson</w:t>
        <w:br/>
        <w:t>│           ├── subsidence_zones_g1_g3.geojson</w:t>
        <w:br/>
        <w:t>│           ├── koala_biolink_corridor.geojson</w:t>
        <w:br/>
        <w:t>│           └── acoustic_bunds_buffers.geojson</w:t>
        <w:br/>
        <w:t>├── src/</w:t>
        <w:br/>
        <w:t>│   └── geolibre_frontend/</w:t>
        <w:br/>
        <w:t>│       ├── projects/</w:t>
        <w:br/>
        <w:t>│       │   └── index_LMCC_MacquarieCoal.html      [Interactive site WebGIS viewer]</w:t>
        <w:br/>
        <w:t>│       └── index.html                             [National viewer with project deep-links]</w:t>
        <w:br/>
        <w:t>├── runner/</w:t>
        <w:br/>
        <w:t>│   ├── projects/</w:t>
        <w:br/>
        <w:t>│   │   └── report_LMCC_MacquarieCoal.html         [Dedicated statutory site report]</w:t>
        <w:br/>
        <w:t>│   └── build_project_package.py                   [CLI package compilation tool]</w:t>
        <w:br/>
        <w:t>└── docs/</w:t>
        <w:br/>
        <w:t xml:space="preserve">    ├── business/                                  [Executive &amp; Institutional Dossiers]</w:t>
        <w:br/>
        <w:t xml:space="preserve">    └── engineering/                               [Developer Specifications &amp; Schemas]</w:t>
      </w:r>
    </w:p>
    <w:p>
      <w:pPr>
        <w:spacing w:before="40" w:after="80" w:line="276" w:lineRule="auto"/>
      </w:pPr>
      <w:r>
        <w:rPr>
          <w:color w:val="334155"/>
          <w:sz w:val="19"/>
        </w:rPr>
        <w:t>---</w:t>
      </w:r>
    </w:p>
    <w:p>
      <w:pPr>
        <w:pStyle w:val="Heading2"/>
        <w:keepNext/>
        <w:spacing w:before="240" w:after="80"/>
      </w:pPr>
      <w:r>
        <w:rPr>
          <w:b/>
          <w:color w:val="0284C7"/>
        </w:rPr>
        <w:t>3. Project Manifest JSON Schema (`schema_project_manifest.json`)</w:t>
      </w:r>
    </w:p>
    <w:p>
      <w:pPr>
        <w:spacing w:before="80" w:after="120"/>
        <w:ind w:left="360"/>
      </w:pPr>
      <w:r>
        <w:rPr>
          <w:rFonts w:ascii="Consolas" w:hAnsi="Consolas"/>
          <w:color w:val="0F172A"/>
          <w:sz w:val="17"/>
        </w:rPr>
        <w:t>{</w:t>
        <w:br/>
        <w:t xml:space="preserve">  "$schema": "http://json-schema.org/draft-07/schema#",</w:t>
        <w:br/>
        <w:t xml:space="preserve">  "title": "AURA Project Manifest Schema",</w:t>
        <w:br/>
        <w:t xml:space="preserve">  "type": "object",</w:t>
        <w:br/>
        <w:t xml:space="preserve">  "required": ["project_id", "project_name", "proponent", "lga", "coordinates", "layers"],</w:t>
        <w:br/>
        <w:t xml:space="preserve">  "properties": {</w:t>
        <w:br/>
        <w:t xml:space="preserve">    "project_id": { "type": "string", "pattern": "^[A-Za-z0-9_]+$" },</w:t>
        <w:br/>
        <w:t xml:space="preserve">    "project_name": { "type": "string" },</w:t>
        <w:br/>
        <w:t xml:space="preserve">    "proponent": { "type": "string" },</w:t>
        <w:br/>
        <w:t xml:space="preserve">    "lga": { "type": "string" },</w:t>
        <w:br/>
        <w:t xml:space="preserve">    "coordinates": {</w:t>
        <w:br/>
        <w:t xml:space="preserve">      "type": "object",</w:t>
        <w:br/>
        <w:t xml:space="preserve">      "required": ["lat", "lng", "zoom"],</w:t>
        <w:br/>
        <w:t xml:space="preserve">      "properties": {</w:t>
        <w:br/>
        <w:t xml:space="preserve">        "lat": { "type": "number" },</w:t>
        <w:br/>
        <w:t xml:space="preserve">        "lng": { "type": "number" },</w:t>
        <w:br/>
        <w:t xml:space="preserve">        "zoom": { "type": "number" }</w:t>
        <w:br/>
        <w:t xml:space="preserve">      }</w:t>
        <w:br/>
        <w:t xml:space="preserve">    },</w:t>
        <w:br/>
        <w:t xml:space="preserve">    "engineering_baseline": {</w:t>
        <w:br/>
        <w:t xml:space="preserve">      "type": "object",</w:t>
        <w:br/>
        <w:t xml:space="preserve">      "properties": {</w:t>
        <w:br/>
        <w:t xml:space="preserve">        "gross_site_area_ha": { "type": "number" },</w:t>
        <w:br/>
        <w:t xml:space="preserve">        "target_nda_ha": { "type": "number" },</w:t>
        <w:br/>
        <w:t xml:space="preserve">        "power_capacity_mva": { "type": "number" },</w:t>
        <w:br/>
        <w:t xml:space="preserve">        "water_savings_gl_yr": { "type": "number" }</w:t>
        <w:br/>
        <w:t xml:space="preserve">      }</w:t>
        <w:br/>
        <w:t xml:space="preserve">    },</w:t>
        <w:br/>
        <w:t xml:space="preserve">    "layers": {</w:t>
        <w:br/>
        <w:t xml:space="preserve">      "type": "array",</w:t>
        <w:br/>
        <w:t xml:space="preserve">      "items": {</w:t>
        <w:br/>
        <w:t xml:space="preserve">        "type": "object",</w:t>
        <w:br/>
        <w:t xml:space="preserve">        "required": ["id", "name", "file", "type"],</w:t>
        <w:br/>
        <w:t xml:space="preserve">        "properties": {</w:t>
        <w:br/>
        <w:t xml:space="preserve">          "id": { "type": "string" },</w:t>
        <w:br/>
        <w:t xml:space="preserve">          "name": { "type": "string" },</w:t>
        <w:br/>
        <w:t xml:space="preserve">          "file": { "type": "string" },</w:t>
        <w:br/>
        <w:t xml:space="preserve">          "type": { "type": "string", "enum": ["polygon", "line", "point"] },</w:t>
        <w:br/>
        <w:t xml:space="preserve">          "color": { "type": "string" }</w:t>
        <w:br/>
        <w:t xml:space="preserve">        }</w:t>
        <w:br/>
        <w:t xml:space="preserve">      }</w:t>
        <w:br/>
        <w:t xml:space="preserve">    }</w:t>
        <w:br/>
        <w:t xml:space="preserve">  }</w:t>
        <w:br/>
        <w:t>}</w:t>
      </w:r>
    </w:p>
    <w:p>
      <w:pPr>
        <w:spacing w:before="40" w:after="80" w:line="276" w:lineRule="auto"/>
      </w:pPr>
      <w:r>
        <w:rPr>
          <w:color w:val="334155"/>
          <w:sz w:val="19"/>
        </w:rPr>
        <w:t>---</w:t>
      </w:r>
    </w:p>
    <w:p>
      <w:pPr>
        <w:pStyle w:val="Heading2"/>
        <w:keepNext/>
        <w:spacing w:before="240" w:after="80"/>
      </w:pPr>
      <w:r>
        <w:rPr>
          <w:b/>
          <w:color w:val="0284C7"/>
        </w:rPr>
        <w:t>4. Execution &amp; Testing Commands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Build Project Package CLI</w:t>
      </w:r>
    </w:p>
    <w:p>
      <w:pPr>
        <w:spacing w:before="80" w:after="120"/>
        <w:ind w:left="360"/>
      </w:pPr>
      <w:r>
        <w:rPr>
          <w:rFonts w:ascii="Consolas" w:hAnsi="Consolas"/>
          <w:color w:val="0F172A"/>
          <w:sz w:val="17"/>
        </w:rPr>
        <w:t>python tools/build_project_package.py --project LMCC_MacquarieCoal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Automated Validation Suite</w:t>
      </w:r>
    </w:p>
    <w:p>
      <w:pPr>
        <w:spacing w:before="80" w:after="120"/>
        <w:ind w:left="360"/>
      </w:pPr>
      <w:r>
        <w:rPr>
          <w:rFonts w:ascii="Consolas" w:hAnsi="Consolas"/>
          <w:color w:val="0F172A"/>
          <w:sz w:val="17"/>
        </w:rPr>
        <w:t># Run all lint checks and zero-mock AST scanning</w:t>
        <w:br/>
        <w:t>pytest tests/lint/ -v</w:t>
        <w:br/>
        <w:br/>
        <w:t># Validate project manifest schema compliance</w:t>
        <w:br/>
        <w:t>pytest tests/test_project_manifest_schema.py -v</w:t>
        <w:br/>
        <w:br/>
        <w:t># Run full project package integration tests</w:t>
        <w:br/>
        <w:t>pytest tests/test_project_package_builder.py -v</w:t>
      </w:r>
    </w:p>
    <w:p>
      <w:r>
        <w:br w:type="page"/>
      </w:r>
    </w:p>
    <w:p>
      <w:pPr>
        <w:pStyle w:val="Heading1"/>
      </w:pPr>
      <w:r>
        <w:t>GeoLibre Upstream PR Contribution Proposals</w:t>
      </w:r>
    </w:p>
    <w:p>
      <w:pPr>
        <w:pStyle w:val="Heading1"/>
        <w:keepNext/>
        <w:spacing w:before="320" w:after="120"/>
      </w:pPr>
      <w:r>
        <w:rPr>
          <w:b/>
          <w:color w:val="0F172A"/>
        </w:rPr>
        <w:t>GeoLibre Upstream Contribution Proposals &amp; Architecture</w:t>
      </w:r>
    </w:p>
    <w:p>
      <w:pPr>
        <w:spacing w:before="40" w:after="80" w:line="276" w:lineRule="auto"/>
      </w:pPr>
      <w:r>
        <w:rPr>
          <w:b/>
          <w:color w:val="1E293B"/>
          <w:sz w:val="19"/>
        </w:rPr>
        <w:t>Target Upstream Repository:</w:t>
      </w:r>
      <w:r>
        <w:rPr>
          <w:color w:val="334155"/>
          <w:sz w:val="19"/>
        </w:rPr>
        <w:t xml:space="preserve"> </w:t>
      </w:r>
      <w:r>
        <w:rPr>
          <w:color w:val="0284C7"/>
          <w:sz w:val="19"/>
          <w:u w:val="single"/>
        </w:rPr>
        <w:t>`opengeos/GeoLibre`</w:t>
      </w:r>
    </w:p>
    <w:p>
      <w:pPr>
        <w:spacing w:before="40" w:after="80" w:line="276" w:lineRule="auto"/>
      </w:pPr>
      <w:r>
        <w:rPr>
          <w:b/>
          <w:color w:val="1E293B"/>
          <w:sz w:val="19"/>
        </w:rPr>
        <w:t>Contributing Organization:</w:t>
      </w:r>
      <w:r>
        <w:rPr>
          <w:color w:val="334155"/>
          <w:sz w:val="19"/>
        </w:rPr>
        <w:t xml:space="preserve"> GetBack2Basics Spatial AI Engineering</w:t>
      </w:r>
    </w:p>
    <w:p>
      <w:pPr>
        <w:spacing w:before="40" w:after="80" w:line="276" w:lineRule="auto"/>
      </w:pPr>
      <w:r>
        <w:rPr>
          <w:b/>
          <w:color w:val="1E293B"/>
          <w:sz w:val="19"/>
        </w:rPr>
        <w:t>Status:</w:t>
      </w:r>
      <w:r>
        <w:rPr>
          <w:color w:val="334155"/>
          <w:sz w:val="19"/>
        </w:rPr>
        <w:t xml:space="preserve"> Structured RFC &amp; Upstream Integration Proposals</w:t>
      </w:r>
    </w:p>
    <w:p>
      <w:pPr>
        <w:spacing w:before="40" w:after="80" w:line="276" w:lineRule="auto"/>
      </w:pPr>
      <w:r>
        <w:rPr>
          <w:color w:val="334155"/>
          <w:sz w:val="19"/>
        </w:rPr>
        <w:t>---</w:t>
      </w:r>
    </w:p>
    <w:p>
      <w:pPr>
        <w:pStyle w:val="Heading2"/>
        <w:keepNext/>
        <w:spacing w:before="240" w:after="80"/>
      </w:pPr>
      <w:r>
        <w:rPr>
          <w:b/>
          <w:color w:val="0284C7"/>
        </w:rPr>
        <w:t>Executive Summary</w:t>
      </w:r>
    </w:p>
    <w:p>
      <w:pPr>
        <w:spacing w:before="40" w:after="80" w:line="276" w:lineRule="auto"/>
      </w:pPr>
      <w:r>
        <w:rPr>
          <w:color w:val="334155"/>
          <w:sz w:val="19"/>
        </w:rPr>
        <w:t xml:space="preserve">This specification outlines five modular Pull Request (PR) proposals designed to contribute high-performance WebGIS features developed in AURA Siting Crafter directly to the upstream </w:t>
      </w:r>
      <w:r>
        <w:rPr>
          <w:rFonts w:ascii="Consolas" w:hAnsi="Consolas"/>
          <w:color w:val="0E7490"/>
          <w:sz w:val="17"/>
        </w:rPr>
        <w:t>opengeos/GeoLibre</w:t>
      </w:r>
      <w:r>
        <w:rPr>
          <w:color w:val="334155"/>
          <w:sz w:val="19"/>
        </w:rPr>
        <w:t xml:space="preserve"> open-source ecosystem.</w:t>
      </w:r>
    </w:p>
    <w:p>
      <w:pPr>
        <w:spacing w:before="80" w:after="120"/>
        <w:ind w:left="360"/>
      </w:pPr>
      <w:r>
        <w:rPr>
          <w:rFonts w:ascii="Consolas" w:hAnsi="Consolas"/>
          <w:color w:val="0F172A"/>
          <w:sz w:val="17"/>
        </w:rPr>
        <w:t>flowchart TD</w:t>
        <w:br/>
        <w:t xml:space="preserve">    subgraph GeoLibreUpstream["opengeos/GeoLibre Core Architecture"]</w:t>
        <w:br/>
        <w:t xml:space="preserve">        Core["GeoLibre Core Map Engine (MapLibre GL Wrapper)"]</w:t>
        <w:br/>
        <w:t xml:space="preserve">    end</w:t>
        <w:br/>
        <w:br/>
        <w:t xml:space="preserve">    subgraph Proposals["5 Modular Contribution Proposals"]</w:t>
        <w:br/>
        <w:t xml:space="preserve">        PR1["PR 1: DuckDB-WASM In-Memory Spatial SQL Engine"]</w:t>
        <w:br/>
        <w:t xml:space="preserve">        PR2["PR 2: Area-Priority Viewport Polygon Limiter"]</w:t>
        <w:br/>
        <w:t xml:space="preserve">        PR3["PR 3: Dynamic Expression Continuous Color Ramps"]</w:t>
        <w:br/>
        <w:t xml:space="preserve">        PR4["PR 4: Standalone Zero-Latency Digital Twin Exporter"]</w:t>
        <w:br/>
        <w:t xml:space="preserve">        PR5["PR 5: Cryptographic Data Lineage &amp; Provenance Auditor"]</w:t>
        <w:br/>
        <w:t xml:space="preserve">    end</w:t>
        <w:br/>
        <w:br/>
        <w:t xml:space="preserve">    PR1 --&gt; Core</w:t>
        <w:br/>
        <w:t xml:space="preserve">    PR2 --&gt; Core</w:t>
        <w:br/>
        <w:t xml:space="preserve">    PR3 --&gt; Core</w:t>
        <w:br/>
        <w:t xml:space="preserve">    PR4 --&gt; Core</w:t>
        <w:br/>
        <w:t xml:space="preserve">    PR5 --&gt; Core</w:t>
        <w:br/>
        <w:br/>
        <w:t xml:space="preserve">    style GeoLibreUpstream fill:#0f172a,stroke:#38bdf8,color:#ffffff,stroke-width:2px</w:t>
        <w:br/>
        <w:t xml:space="preserve">    style Proposals fill:#1e293b,stroke:#818cf8,color:#f8fafc</w:t>
      </w:r>
    </w:p>
    <w:p>
      <w:pPr>
        <w:spacing w:before="40" w:after="80" w:line="276" w:lineRule="auto"/>
      </w:pPr>
      <w:r>
        <w:rPr>
          <w:color w:val="334155"/>
          <w:sz w:val="19"/>
        </w:rPr>
        <w:t>---</w:t>
      </w:r>
    </w:p>
    <w:p>
      <w:pPr>
        <w:pStyle w:val="Heading2"/>
        <w:keepNext/>
        <w:spacing w:before="240" w:after="80"/>
      </w:pPr>
      <w:r>
        <w:rPr>
          <w:b/>
          <w:color w:val="0284C7"/>
        </w:rPr>
        <w:t>1. Modular PR Specifications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Proposal 1: In-Memory DuckDB-WASM Siting Plugin (`geolibre-plugin-duckdb`)</w:t>
      </w:r>
    </w:p>
    <w:p>
      <w:pPr>
        <w:pStyle w:val="ListBullet"/>
        <w:spacing w:before="20" w:after="40"/>
      </w:pPr>
      <w:r>
        <w:rPr>
          <w:b/>
          <w:color w:val="1E293B"/>
          <w:sz w:val="19"/>
        </w:rPr>
        <w:t>Objective</w:t>
      </w:r>
      <w:r>
        <w:rPr>
          <w:color w:val="334155"/>
          <w:sz w:val="19"/>
        </w:rPr>
        <w:t>: Embed DuckDB-WASM directly into GeoLibre map instances to execute high-throughput spatial joins, multi-criteria weighted scoring, and polygon area calculations locally in browser memory (&lt;15ms latency).</w:t>
      </w:r>
    </w:p>
    <w:p>
      <w:pPr>
        <w:pStyle w:val="ListBullet"/>
        <w:spacing w:before="20" w:after="40"/>
      </w:pPr>
      <w:r>
        <w:rPr>
          <w:b/>
          <w:color w:val="1E293B"/>
          <w:sz w:val="19"/>
        </w:rPr>
        <w:t>API Surface</w:t>
      </w:r>
      <w:r>
        <w:rPr>
          <w:color w:val="334155"/>
          <w:sz w:val="19"/>
        </w:rPr>
        <w:t>:</w:t>
      </w:r>
    </w:p>
    <w:p>
      <w:pPr>
        <w:spacing w:before="80" w:after="120"/>
        <w:ind w:left="360"/>
      </w:pPr>
      <w:r>
        <w:rPr>
          <w:rFonts w:ascii="Consolas" w:hAnsi="Consolas"/>
          <w:color w:val="0F172A"/>
          <w:sz w:val="17"/>
        </w:rPr>
        <w:t xml:space="preserve">  map.use(new DuckDBSpatialPlugin({</w:t>
        <w:br/>
        <w:t xml:space="preserve">    parquetUrl: 'https://cdn.example.com/parcels.parquet',</w:t>
        <w:br/>
        <w:t xml:space="preserve">    initialQuery: 'SELECT * FROM parcels WHERE suitability_score &gt;= 0.7'</w:t>
        <w:br/>
        <w:t xml:space="preserve">  }));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Proposal 2: Area-Priority Viewport Feature Limiter (`geolibre-layer-limiter`)</w:t>
      </w:r>
    </w:p>
    <w:p>
      <w:pPr>
        <w:pStyle w:val="ListBullet"/>
        <w:spacing w:before="20" w:after="40"/>
      </w:pPr>
      <w:r>
        <w:rPr>
          <w:b/>
          <w:color w:val="1E293B"/>
          <w:sz w:val="19"/>
        </w:rPr>
        <w:t>Objective</w:t>
      </w:r>
      <w:r>
        <w:rPr>
          <w:color w:val="334155"/>
          <w:sz w:val="19"/>
        </w:rPr>
        <w:t>: Prevent WebGL draw call bottlenecks when panning large cadastre layers (&gt;50k features) by ordering by descending bounding box / polygon area and capping rendering to top $N$ features.</w:t>
      </w:r>
    </w:p>
    <w:p>
      <w:pPr>
        <w:pStyle w:val="ListBullet"/>
        <w:spacing w:before="20" w:after="40"/>
      </w:pPr>
      <w:r>
        <w:rPr>
          <w:b/>
          <w:color w:val="1E293B"/>
          <w:sz w:val="19"/>
        </w:rPr>
        <w:t>API Surface</w:t>
      </w:r>
      <w:r>
        <w:rPr>
          <w:color w:val="334155"/>
          <w:sz w:val="19"/>
        </w:rPr>
        <w:t>:</w:t>
      </w:r>
    </w:p>
    <w:p>
      <w:pPr>
        <w:spacing w:before="80" w:after="120"/>
        <w:ind w:left="360"/>
      </w:pPr>
      <w:r>
        <w:rPr>
          <w:rFonts w:ascii="Consolas" w:hAnsi="Consolas"/>
          <w:color w:val="0F172A"/>
          <w:sz w:val="17"/>
        </w:rPr>
        <w:t xml:space="preserve">  layer.setRenderOptimizer({</w:t>
        <w:br/>
        <w:t xml:space="preserve">    maxFeatures: 500,</w:t>
        <w:br/>
        <w:t xml:space="preserve">    sortProperty: 'area_ha',</w:t>
        <w:br/>
        <w:t xml:space="preserve">    sortOrder: 'desc'</w:t>
        <w:br/>
        <w:t xml:space="preserve">  });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Proposal 3: Dynamic Expression Continuous Color Ramps</w:t>
      </w:r>
    </w:p>
    <w:p>
      <w:pPr>
        <w:pStyle w:val="ListBullet"/>
        <w:spacing w:before="20" w:after="40"/>
      </w:pPr>
      <w:r>
        <w:rPr>
          <w:b/>
          <w:color w:val="1E293B"/>
          <w:sz w:val="19"/>
        </w:rPr>
        <w:t>Objective</w:t>
      </w:r>
      <w:r>
        <w:rPr>
          <w:color w:val="334155"/>
          <w:sz w:val="19"/>
        </w:rPr>
        <w:t>: Provide a high-level JS helper that dynamically generates MapLibre GL interpolation expressions from arbitrary numeric data columns without rebuilding GL style sheets.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Proposal 4: Single-File HTML Digital Twin Exporter</w:t>
      </w:r>
    </w:p>
    <w:p>
      <w:pPr>
        <w:pStyle w:val="ListBullet"/>
        <w:spacing w:before="20" w:after="40"/>
      </w:pPr>
      <w:r>
        <w:rPr>
          <w:b/>
          <w:color w:val="1E293B"/>
          <w:sz w:val="19"/>
        </w:rPr>
        <w:t>Objective</w:t>
      </w:r>
      <w:r>
        <w:rPr>
          <w:color w:val="334155"/>
          <w:sz w:val="19"/>
        </w:rPr>
        <w:t>: Export the current map view, active vector micro-layers, and embedded DuckDB-WASM engine into a self-contained, air-gapped HTML file for offline stakeholder distribution.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Proposal 5: Cryptographic Lineage &amp; Audit Inspector</w:t>
      </w:r>
    </w:p>
    <w:p>
      <w:pPr>
        <w:pStyle w:val="ListBullet"/>
        <w:spacing w:before="20" w:after="40"/>
      </w:pPr>
      <w:r>
        <w:rPr>
          <w:b/>
          <w:color w:val="1E293B"/>
          <w:sz w:val="19"/>
        </w:rPr>
        <w:t>Objective</w:t>
      </w:r>
      <w:r>
        <w:rPr>
          <w:color w:val="334155"/>
          <w:sz w:val="19"/>
        </w:rPr>
        <w:t>: Embed SHA-256 layer checksums and Apache Sedona transform recipes into the map metadata UI, providing instant provenance verification.</w:t>
      </w:r>
    </w:p>
    <w:p>
      <w:pPr>
        <w:spacing w:before="40" w:after="80" w:line="276" w:lineRule="auto"/>
      </w:pPr>
      <w:r>
        <w:rPr>
          <w:color w:val="334155"/>
          <w:sz w:val="19"/>
        </w:rPr>
        <w:t>---</w:t>
      </w:r>
    </w:p>
    <w:p>
      <w:pPr>
        <w:pStyle w:val="Heading2"/>
        <w:keepNext/>
        <w:spacing w:before="240" w:after="80"/>
      </w:pPr>
      <w:r>
        <w:rPr>
          <w:b/>
          <w:color w:val="0284C7"/>
        </w:rPr>
        <w:t>2. Upstream Submission Workflow</w:t>
      </w:r>
    </w:p>
    <w:p>
      <w:pPr>
        <w:pStyle w:val="ListNumber"/>
        <w:spacing w:before="20" w:after="40"/>
      </w:pPr>
      <w:r>
        <w:rPr>
          <w:color w:val="334155"/>
          <w:sz w:val="19"/>
        </w:rPr>
        <w:t xml:space="preserve">Fork </w:t>
      </w:r>
      <w:r>
        <w:rPr>
          <w:rFonts w:ascii="Consolas" w:hAnsi="Consolas"/>
          <w:color w:val="0E7490"/>
          <w:sz w:val="17"/>
        </w:rPr>
        <w:t>opengeos/GeoLibre</w:t>
      </w:r>
      <w:r>
        <w:rPr>
          <w:color w:val="334155"/>
          <w:sz w:val="19"/>
        </w:rPr>
        <w:t>.</w:t>
      </w:r>
    </w:p>
    <w:p>
      <w:pPr>
        <w:pStyle w:val="ListNumber"/>
        <w:spacing w:before="20" w:after="40"/>
      </w:pPr>
      <w:r>
        <w:rPr>
          <w:color w:val="334155"/>
          <w:sz w:val="19"/>
        </w:rPr>
        <w:t>Create dedicated feature branches (</w:t>
      </w:r>
      <w:r>
        <w:rPr>
          <w:rFonts w:ascii="Consolas" w:hAnsi="Consolas"/>
          <w:color w:val="0E7490"/>
          <w:sz w:val="17"/>
        </w:rPr>
        <w:t>feature/duckdb-wasm-core</w:t>
      </w:r>
      <w:r>
        <w:rPr>
          <w:color w:val="334155"/>
          <w:sz w:val="19"/>
        </w:rPr>
        <w:t xml:space="preserve">, </w:t>
      </w:r>
      <w:r>
        <w:rPr>
          <w:rFonts w:ascii="Consolas" w:hAnsi="Consolas"/>
          <w:color w:val="0E7490"/>
          <w:sz w:val="17"/>
        </w:rPr>
        <w:t>feature/viewport-limiter</w:t>
      </w:r>
      <w:r>
        <w:rPr>
          <w:color w:val="334155"/>
          <w:sz w:val="19"/>
        </w:rPr>
        <w:t>).</w:t>
      </w:r>
    </w:p>
    <w:p>
      <w:pPr>
        <w:pStyle w:val="ListNumber"/>
        <w:spacing w:before="20" w:after="40"/>
      </w:pPr>
      <w:r>
        <w:rPr>
          <w:color w:val="334155"/>
          <w:sz w:val="19"/>
        </w:rPr>
        <w:t>Implement unit tests using Vitest and Playwright.</w:t>
      </w:r>
    </w:p>
    <w:p>
      <w:pPr>
        <w:pStyle w:val="ListNumber"/>
        <w:spacing w:before="20" w:after="40"/>
      </w:pPr>
      <w:r>
        <w:rPr>
          <w:color w:val="334155"/>
          <w:sz w:val="19"/>
        </w:rPr>
        <w:t>Submit PRs with reference benchmarks demonstrating 60fps rendering under 15M parcel loads.</w:t>
      </w:r>
    </w:p>
    <w:p>
      <w:r>
        <w:br w:type="page"/>
      </w:r>
    </w:p>
    <w:p>
      <w:pPr>
        <w:pStyle w:val="Heading1"/>
      </w:pPr>
      <w:r>
        <w:t>Spatial QA, Telemetry &amp; Zero-Mock Test Standards</w:t>
      </w:r>
    </w:p>
    <w:p>
      <w:pPr>
        <w:pStyle w:val="Heading1"/>
        <w:keepNext/>
        <w:spacing w:before="320" w:after="120"/>
      </w:pPr>
      <w:r>
        <w:rPr>
          <w:b/>
          <w:color w:val="0F172A"/>
        </w:rPr>
        <w:t>Spatial Quality Assurance, Telemetry &amp; Zero-Mock Standards</w:t>
      </w:r>
    </w:p>
    <w:p>
      <w:pPr>
        <w:spacing w:before="40" w:after="80" w:line="276" w:lineRule="auto"/>
      </w:pPr>
      <w:r>
        <w:rPr>
          <w:b/>
          <w:color w:val="1E293B"/>
          <w:sz w:val="19"/>
        </w:rPr>
        <w:t>Standard:</w:t>
      </w:r>
      <w:r>
        <w:rPr>
          <w:color w:val="334155"/>
          <w:sz w:val="19"/>
        </w:rPr>
        <w:t xml:space="preserve"> AURA Quality Assurance &amp; Zero-Mock Integrity</w:t>
      </w:r>
    </w:p>
    <w:p>
      <w:pPr>
        <w:spacing w:before="40" w:after="80" w:line="276" w:lineRule="auto"/>
      </w:pPr>
      <w:r>
        <w:rPr>
          <w:b/>
          <w:color w:val="1E293B"/>
          <w:sz w:val="19"/>
        </w:rPr>
        <w:t>Organization:</w:t>
      </w:r>
      <w:r>
        <w:rPr>
          <w:color w:val="334155"/>
          <w:sz w:val="19"/>
        </w:rPr>
        <w:t xml:space="preserve"> GetBack2Basics Spatial AI Engineering</w:t>
      </w:r>
    </w:p>
    <w:p>
      <w:pPr>
        <w:spacing w:before="40" w:after="80" w:line="276" w:lineRule="auto"/>
      </w:pPr>
      <w:r>
        <w:rPr>
          <w:b/>
          <w:color w:val="1E293B"/>
          <w:sz w:val="19"/>
        </w:rPr>
        <w:t>Enforcement:</w:t>
      </w:r>
      <w:r>
        <w:rPr>
          <w:color w:val="334155"/>
          <w:sz w:val="19"/>
        </w:rPr>
        <w:t xml:space="preserve"> Mandatory Pre-Commit &amp; CI Test Gates</w:t>
      </w:r>
    </w:p>
    <w:p>
      <w:pPr>
        <w:spacing w:before="40" w:after="80" w:line="276" w:lineRule="auto"/>
      </w:pPr>
      <w:r>
        <w:rPr>
          <w:color w:val="334155"/>
          <w:sz w:val="19"/>
        </w:rPr>
        <w:t>---</w:t>
      </w:r>
    </w:p>
    <w:p>
      <w:pPr>
        <w:pStyle w:val="Heading2"/>
        <w:keepNext/>
        <w:spacing w:before="240" w:after="80"/>
      </w:pPr>
      <w:r>
        <w:rPr>
          <w:b/>
          <w:color w:val="0284C7"/>
        </w:rPr>
        <w:t>1. Zero-Mock Data Integrity Protocol</w:t>
      </w:r>
    </w:p>
    <w:p>
      <w:pPr>
        <w:spacing w:before="40" w:after="80" w:line="276" w:lineRule="auto"/>
      </w:pPr>
      <w:r>
        <w:rPr>
          <w:color w:val="334155"/>
          <w:sz w:val="19"/>
        </w:rPr>
        <w:t>In mission-critical geospatial engineering, synthetic coordinates or fake mock arrays (</w:t>
      </w:r>
      <w:r>
        <w:rPr>
          <w:rFonts w:ascii="Consolas" w:hAnsi="Consolas"/>
          <w:color w:val="0E7490"/>
          <w:sz w:val="17"/>
        </w:rPr>
        <w:t>sampleFeatures = [...]</w:t>
      </w:r>
      <w:r>
        <w:rPr>
          <w:color w:val="334155"/>
          <w:sz w:val="19"/>
        </w:rPr>
        <w:t>) corrupt spatial analysis and introduce catastrophic legal liability.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Strict Enforcement Rules</w:t>
      </w:r>
    </w:p>
    <w:p>
      <w:pPr>
        <w:pStyle w:val="ListNumber"/>
        <w:spacing w:before="20" w:after="40"/>
      </w:pPr>
      <w:r>
        <w:rPr>
          <w:b/>
          <w:color w:val="1E293B"/>
          <w:sz w:val="19"/>
        </w:rPr>
        <w:t>AST Scanner Gate</w:t>
      </w:r>
      <w:r>
        <w:rPr>
          <w:color w:val="334155"/>
          <w:sz w:val="19"/>
        </w:rPr>
        <w:t>: All pull requests must pass the Python AST scanner (</w:t>
      </w:r>
      <w:r>
        <w:rPr>
          <w:rFonts w:ascii="Consolas" w:hAnsi="Consolas"/>
          <w:color w:val="0E7490"/>
          <w:sz w:val="17"/>
        </w:rPr>
        <w:t>tests/lint/test_no_mock_data.py</w:t>
      </w:r>
      <w:r>
        <w:rPr>
          <w:color w:val="334155"/>
          <w:sz w:val="19"/>
        </w:rPr>
        <w:t>), which traverses the abstract syntax tree to detect mock dictionaries, synthetic coordinate lists, and placeholder bounding boxes.</w:t>
      </w:r>
    </w:p>
    <w:p>
      <w:pPr>
        <w:pStyle w:val="ListNumber"/>
        <w:spacing w:before="20" w:after="40"/>
      </w:pPr>
      <w:r>
        <w:rPr>
          <w:b/>
          <w:color w:val="1E293B"/>
          <w:sz w:val="19"/>
        </w:rPr>
        <w:t>Dynamic Manifest Loading</w:t>
      </w:r>
      <w:r>
        <w:rPr>
          <w:color w:val="334155"/>
          <w:sz w:val="19"/>
        </w:rPr>
        <w:t>: UI viewers and inspection docks must load genuine data from live endpoints or verified JSON/GeoParquet assets (</w:t>
      </w:r>
      <w:r>
        <w:rPr>
          <w:rFonts w:ascii="Consolas" w:hAnsi="Consolas"/>
          <w:color w:val="0E7490"/>
          <w:sz w:val="17"/>
        </w:rPr>
        <w:t>config/dataset_manifest_v2.json</w:t>
      </w:r>
      <w:r>
        <w:rPr>
          <w:color w:val="334155"/>
          <w:sz w:val="19"/>
        </w:rPr>
        <w:t>).</w:t>
      </w:r>
    </w:p>
    <w:p>
      <w:pPr>
        <w:pStyle w:val="ListNumber"/>
        <w:spacing w:before="20" w:after="40"/>
      </w:pPr>
      <w:r>
        <w:rPr>
          <w:b/>
          <w:color w:val="1E293B"/>
          <w:sz w:val="19"/>
        </w:rPr>
        <w:t>Explicit Connection Failure Handling</w:t>
      </w:r>
      <w:r>
        <w:rPr>
          <w:color w:val="334155"/>
          <w:sz w:val="19"/>
        </w:rPr>
        <w:t>: If an external data source is offline, the interface must display genuine connection status or error boundaries—never synthetic fallback records.</w:t>
      </w:r>
    </w:p>
    <w:p>
      <w:pPr>
        <w:spacing w:before="40" w:after="80" w:line="276" w:lineRule="auto"/>
      </w:pPr>
      <w:r>
        <w:rPr>
          <w:color w:val="334155"/>
          <w:sz w:val="19"/>
        </w:rPr>
        <w:t>---</w:t>
      </w:r>
    </w:p>
    <w:p>
      <w:pPr>
        <w:pStyle w:val="Heading2"/>
        <w:keepNext/>
        <w:spacing w:before="240" w:after="80"/>
      </w:pPr>
      <w:r>
        <w:rPr>
          <w:b/>
          <w:color w:val="0284C7"/>
        </w:rPr>
        <w:t>2. Compute Lifecycle &amp; Resource Teardown</w:t>
      </w:r>
    </w:p>
    <w:p>
      <w:pPr>
        <w:spacing w:before="40" w:after="80" w:line="276" w:lineRule="auto"/>
      </w:pPr>
      <w:r>
        <w:rPr>
          <w:color w:val="334155"/>
          <w:sz w:val="19"/>
        </w:rPr>
        <w:t>To protect against cloud resource leaks and billing blowouts:</w:t>
      </w:r>
    </w:p>
    <w:p>
      <w:pPr>
        <w:pStyle w:val="ListNumber"/>
        <w:spacing w:before="20" w:after="40"/>
      </w:pPr>
      <w:r>
        <w:rPr>
          <w:b/>
          <w:color w:val="1E293B"/>
          <w:sz w:val="19"/>
        </w:rPr>
        <w:t>Apache Sedona Session Teardown</w:t>
      </w:r>
      <w:r>
        <w:rPr>
          <w:color w:val="334155"/>
          <w:sz w:val="19"/>
        </w:rPr>
        <w:t xml:space="preserve">: Every SedonaContext script must explicitly execute </w:t>
      </w:r>
      <w:r>
        <w:rPr>
          <w:rFonts w:ascii="Consolas" w:hAnsi="Consolas"/>
          <w:color w:val="0E7490"/>
          <w:sz w:val="17"/>
        </w:rPr>
        <w:t>sedona.stop()</w:t>
      </w:r>
      <w:r>
        <w:rPr>
          <w:color w:val="334155"/>
          <w:sz w:val="19"/>
        </w:rPr>
        <w:t xml:space="preserve"> in </w:t>
      </w:r>
      <w:r>
        <w:rPr>
          <w:rFonts w:ascii="Consolas" w:hAnsi="Consolas"/>
          <w:color w:val="0E7490"/>
          <w:sz w:val="17"/>
        </w:rPr>
        <w:t>finally:</w:t>
      </w:r>
      <w:r>
        <w:rPr>
          <w:color w:val="334155"/>
          <w:sz w:val="19"/>
        </w:rPr>
        <w:t xml:space="preserve"> blocks.</w:t>
      </w:r>
    </w:p>
    <w:p>
      <w:pPr>
        <w:pStyle w:val="ListNumber"/>
        <w:spacing w:before="20" w:after="40"/>
      </w:pPr>
      <w:r>
        <w:rPr>
          <w:b/>
          <w:color w:val="1E293B"/>
          <w:sz w:val="19"/>
        </w:rPr>
        <w:t>Headless Cluster Lifecycle</w:t>
      </w:r>
      <w:r>
        <w:rPr>
          <w:color w:val="334155"/>
          <w:sz w:val="19"/>
        </w:rPr>
        <w:t>: Headless Wherobots Cloud runtimes are spawned per batch and terminated immediately upon GeoParquet asset compilation.</w:t>
      </w:r>
    </w:p>
    <w:p>
      <w:pPr>
        <w:pStyle w:val="ListNumber"/>
        <w:spacing w:before="20" w:after="40"/>
      </w:pPr>
      <w:r>
        <w:rPr>
          <w:b/>
          <w:color w:val="1E293B"/>
          <w:sz w:val="19"/>
        </w:rPr>
        <w:t>Automated Verification</w:t>
      </w:r>
      <w:r>
        <w:rPr>
          <w:color w:val="334155"/>
          <w:sz w:val="19"/>
        </w:rPr>
        <w:t>:</w:t>
      </w:r>
    </w:p>
    <w:p>
      <w:pPr>
        <w:spacing w:before="80" w:after="120"/>
        <w:ind w:left="360"/>
      </w:pPr>
      <w:r>
        <w:rPr>
          <w:rFonts w:ascii="Consolas" w:hAnsi="Consolas"/>
          <w:color w:val="0F172A"/>
          <w:sz w:val="17"/>
        </w:rPr>
        <w:t xml:space="preserve">   pytest tests/lint/ -v</w:t>
        <w:br/>
        <w:t xml:space="preserve">   pytest tests/test_hazard_scoring.py -v</w:t>
      </w:r>
    </w:p>
    <w:p>
      <w:pPr>
        <w:spacing w:before="40" w:after="80" w:line="276" w:lineRule="auto"/>
      </w:pPr>
      <w:r>
        <w:rPr>
          <w:color w:val="334155"/>
          <w:sz w:val="19"/>
        </w:rPr>
        <w:t>---</w:t>
      </w:r>
    </w:p>
    <w:p>
      <w:pPr>
        <w:pStyle w:val="Heading2"/>
        <w:keepNext/>
        <w:spacing w:before="240" w:after="80"/>
      </w:pPr>
      <w:r>
        <w:rPr>
          <w:b/>
          <w:color w:val="0284C7"/>
        </w:rPr>
        <w:t>3. Spatial ETL Telemetry &amp; Performance Benchmarks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8FAFC"/>
                <w:sz w:val="18"/>
              </w:rPr>
              <w:t>Metric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8FAFC"/>
                <w:sz w:val="18"/>
              </w:rPr>
              <w:t>Target Standard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8FAFC"/>
                <w:sz w:val="18"/>
              </w:rPr>
              <w:t>Production Benchmark</w:t>
            </w:r>
          </w:p>
        </w:tc>
      </w:tr>
      <w:tr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**Cadastre Ingestion Throughput**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&gt; 200,000 parcels/sec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~310,000 parcels/sec (Sedona medium runtime)</w:t>
            </w:r>
          </w:p>
        </w:tc>
      </w:tr>
      <w:tr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**GDA2020 CRS Projection Precision**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Sub-millimetre ($\le 0.001\text{m}$)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Exact EPSG:7844 ellipsoidal transformation</w:t>
            </w:r>
          </w:p>
        </w:tc>
      </w:tr>
      <w:tr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**DuckDB-WASM In-Memory Scoring Latency**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&lt; 50ms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12–15ms (10,000 parcels)</w:t>
            </w:r>
          </w:p>
        </w:tc>
      </w:tr>
      <w:tr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**WebGL Render Frame Rate**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60 fps continuous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60 fps (Area-Priority Limiter enabled)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Outfit" w:hAnsi="Outfit"/>
        <w:color w:val="94A3B8"/>
        <w:sz w:val="16"/>
      </w:rPr>
      <w:t>©® 2026 GetBack2Basics • https://aura.getback2basics.net • Commercial Open-Source First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Outfit" w:hAnsi="Outfit"/>
        <w:color w:val="94A3B8"/>
        <w:sz w:val="16"/>
      </w:rPr>
      <w:t>AURA Engineering | Developer Reference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