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Outfit" w:hAnsi="Outfit"/>
          <w:b/>
          <w:color w:val="0F172A"/>
          <w:sz w:val="48"/>
        </w:rPr>
        <w:t>AURA Siting Crafter &amp; GeoLibre Ecosystem</w:t>
      </w:r>
    </w:p>
    <w:p>
      <w:pPr>
        <w:spacing w:before="0" w:after="320"/>
      </w:pPr>
      <w:r>
        <w:rPr>
          <w:rFonts w:ascii="Outfit" w:hAnsi="Outfit"/>
          <w:color w:val="0284C7"/>
          <w:sz w:val="28"/>
        </w:rPr>
        <w:t>Comprehensive Technical, Strategic &amp; Site Review Compendium</w:t>
      </w:r>
    </w:p>
    <w:tbl>
      <w:tblPr>
        <w:tblW w:type="auto" w:w="0"/>
        <w:jc w:val="center"/>
        <w:tblLook w:firstColumn="1" w:firstRow="1" w:lastColumn="0" w:lastRow="0" w:noHBand="0" w:noVBand="1" w:val="04A0"/>
      </w:tblPr>
      <w:tblGrid>
        <w:gridCol w:w="4968"/>
        <w:gridCol w:w="4968"/>
      </w:tblGrid>
      <w:tr>
        <w:tc>
          <w:tcPr>
            <w:tcW w:type="dxa" w:w="3168"/>
            <w:shd w:fill="F1F5F9"/>
            <w:tcMar>
              <w:top w:w="50" w:type="dxa"/>
              <w:bottom w:w="50" w:type="dxa"/>
              <w:left w:w="100" w:type="dxa"/>
              <w:right w:w="100" w:type="dxa"/>
            </w:tcMar>
          </w:tcPr>
          <w:p>
            <w:r>
              <w:rPr>
                <w:b/>
                <w:sz w:val="18"/>
              </w:rPr>
              <w:t>Document Reference</w:t>
            </w:r>
          </w:p>
        </w:tc>
        <w:tc>
          <w:tcPr>
            <w:tcW w:type="dxa" w:w="6480"/>
            <w:shd w:fill="FFFFFF"/>
            <w:tcMar>
              <w:top w:w="50" w:type="dxa"/>
              <w:bottom w:w="50" w:type="dxa"/>
              <w:left w:w="100" w:type="dxa"/>
              <w:right w:w="100" w:type="dxa"/>
            </w:tcMar>
          </w:tcPr>
          <w:p>
            <w:r>
              <w:rPr>
                <w:sz w:val="18"/>
              </w:rPr>
              <w:t>AURA-REVIEW-20260907-V2.4</w:t>
            </w:r>
          </w:p>
        </w:tc>
      </w:tr>
      <w:tr>
        <w:tc>
          <w:tcPr>
            <w:tcW w:type="dxa" w:w="3168"/>
            <w:shd w:fill="F1F5F9"/>
            <w:tcMar>
              <w:top w:w="50" w:type="dxa"/>
              <w:bottom w:w="50" w:type="dxa"/>
              <w:left w:w="100" w:type="dxa"/>
              <w:right w:w="100" w:type="dxa"/>
            </w:tcMar>
          </w:tcPr>
          <w:p>
            <w:r>
              <w:rPr>
                <w:b/>
                <w:sz w:val="18"/>
              </w:rPr>
              <w:t>Compilation Date</w:t>
            </w:r>
          </w:p>
        </w:tc>
        <w:tc>
          <w:tcPr>
            <w:tcW w:type="dxa" w:w="6480"/>
            <w:shd w:fill="FFFFFF"/>
            <w:tcMar>
              <w:top w:w="50" w:type="dxa"/>
              <w:bottom w:w="50" w:type="dxa"/>
              <w:left w:w="100" w:type="dxa"/>
              <w:right w:w="100" w:type="dxa"/>
            </w:tcMar>
          </w:tcPr>
          <w:p>
            <w:r>
              <w:rPr>
                <w:sz w:val="18"/>
              </w:rPr>
              <w:t>September 07, 2026</w:t>
            </w:r>
          </w:p>
        </w:tc>
      </w:tr>
      <w:tr>
        <w:tc>
          <w:tcPr>
            <w:tcW w:type="dxa" w:w="3168"/>
            <w:shd w:fill="F1F5F9"/>
            <w:tcMar>
              <w:top w:w="50" w:type="dxa"/>
              <w:bottom w:w="50" w:type="dxa"/>
              <w:left w:w="100" w:type="dxa"/>
              <w:right w:w="100" w:type="dxa"/>
            </w:tcMar>
          </w:tcPr>
          <w:p>
            <w:r>
              <w:rPr>
                <w:b/>
                <w:sz w:val="18"/>
              </w:rPr>
              <w:t>Review Scope</w:t>
            </w:r>
          </w:p>
        </w:tc>
        <w:tc>
          <w:tcPr>
            <w:tcW w:type="dxa" w:w="6480"/>
            <w:shd w:fill="FFFFFF"/>
            <w:tcMar>
              <w:top w:w="50" w:type="dxa"/>
              <w:bottom w:w="50" w:type="dxa"/>
              <w:left w:w="100" w:type="dxa"/>
              <w:right w:w="100" w:type="dxa"/>
            </w:tcMar>
          </w:tcPr>
          <w:p>
            <w:r>
              <w:rPr>
                <w:sz w:val="18"/>
              </w:rPr>
              <w:t>Enterprise Compute Architecture, Deterministic AI Safety, Macquarie Site Plan, NSW Govt Value, GeoLibre Open-Source Proposals, Anti-Mock QA</w:t>
            </w:r>
          </w:p>
        </w:tc>
      </w:tr>
      <w:tr>
        <w:tc>
          <w:tcPr>
            <w:tcW w:type="dxa" w:w="3168"/>
            <w:shd w:fill="F1F5F9"/>
            <w:tcMar>
              <w:top w:w="50" w:type="dxa"/>
              <w:bottom w:w="50" w:type="dxa"/>
              <w:left w:w="100" w:type="dxa"/>
              <w:right w:w="100" w:type="dxa"/>
            </w:tcMar>
          </w:tcPr>
          <w:p>
            <w:r>
              <w:rPr>
                <w:b/>
                <w:sz w:val="18"/>
              </w:rPr>
              <w:t>Author &amp; Engineering Organization</w:t>
            </w:r>
          </w:p>
        </w:tc>
        <w:tc>
          <w:tcPr>
            <w:tcW w:type="dxa" w:w="6480"/>
            <w:shd w:fill="FFFFFF"/>
            <w:tcMar>
              <w:top w:w="50" w:type="dxa"/>
              <w:bottom w:w="50" w:type="dxa"/>
              <w:left w:w="100" w:type="dxa"/>
              <w:right w:w="100" w:type="dxa"/>
            </w:tcMar>
          </w:tcPr>
          <w:p>
            <w:r>
              <w:rPr>
                <w:sz w:val="18"/>
              </w:rPr>
              <w:t>GetBack2Basics Spatial AI Engineering &amp; Siting Intelligence</w:t>
            </w:r>
          </w:p>
        </w:tc>
      </w:tr>
      <w:tr>
        <w:tc>
          <w:tcPr>
            <w:tcW w:type="dxa" w:w="3168"/>
            <w:shd w:fill="F1F5F9"/>
            <w:tcMar>
              <w:top w:w="50" w:type="dxa"/>
              <w:bottom w:w="50" w:type="dxa"/>
              <w:left w:w="100" w:type="dxa"/>
              <w:right w:w="100" w:type="dxa"/>
            </w:tcMar>
          </w:tcPr>
          <w:p>
            <w:r>
              <w:rPr>
                <w:b/>
                <w:sz w:val="18"/>
              </w:rPr>
              <w:t>Public Platforms</w:t>
            </w:r>
          </w:p>
        </w:tc>
        <w:tc>
          <w:tcPr>
            <w:tcW w:type="dxa" w:w="6480"/>
            <w:shd w:fill="FFFFFF"/>
            <w:tcMar>
              <w:top w:w="50" w:type="dxa"/>
              <w:bottom w:w="50" w:type="dxa"/>
              <w:left w:w="100" w:type="dxa"/>
              <w:right w:w="100" w:type="dxa"/>
            </w:tcMar>
          </w:tcPr>
          <w:p>
            <w:r>
              <w:rPr>
                <w:sz w:val="18"/>
              </w:rPr>
              <w:t>https://aura.getback2basics.net | https://github.com/GetBack2Basics/aura_siting_crafter</w:t>
            </w:r>
          </w:p>
        </w:tc>
      </w:tr>
    </w:tbl>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80" w:type="dxa"/>
            </w:tcMar>
            <w:tcBorders>
              <w:top w:val="none"/>
              <w:left w:val="single" w:sz="24" w:space="0" w:color="0284C7"/>
              <w:bottom w:val="none"/>
              <w:right w:val="none"/>
            </w:tcBorders>
          </w:tcPr>
          <w:p>
            <w:pPr>
              <w:spacing w:before="40" w:after="80"/>
            </w:pPr>
            <w:r>
              <w:rPr>
                <w:b/>
                <w:color w:val="0284C7"/>
                <w:sz w:val="20"/>
              </w:rPr>
              <w:t>EXECUTIVE REVIEW BRIEFING</w:t>
              <w:br/>
            </w:r>
            <w:r>
              <w:rPr>
                <w:color w:val="1E293B"/>
                <w:sz w:val="19"/>
              </w:rPr>
              <w:t>This compendium gathers the entire active suite of technical whitepapers, statutory site plans, architecture blueprints, government benefits models, and open-source contribution proposals into a single exhaustive document for external peer review, stakeholder presentation, and strategic evaluation.</w:t>
            </w:r>
          </w:p>
        </w:tc>
      </w:tr>
    </w:tbl>
    <w:p/>
    <w:p>
      <w:pPr>
        <w:pStyle w:val="Heading1"/>
      </w:pPr>
      <w:r>
        <w:t>Visual System Portfolio &amp; Screen Capture Dossier</w:t>
      </w:r>
    </w:p>
    <w:p>
      <w:pPr>
        <w:spacing w:before="160" w:after="4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geolibre_national_viewer.png"/>
                    <pic:cNvPicPr/>
                  </pic:nvPicPr>
                  <pic:blipFill>
                    <a:blip r:embed="rId11"/>
                    <a:stretch>
                      <a:fillRect/>
                    </a:stretch>
                  </pic:blipFill>
                  <pic:spPr>
                    <a:xfrm>
                      <a:off x="0" y="0"/>
                      <a:ext cx="5669280" cy="3188970"/>
                    </a:xfrm>
                    <a:prstGeom prst="rect"/>
                  </pic:spPr>
                </pic:pic>
              </a:graphicData>
            </a:graphic>
          </wp:inline>
        </w:drawing>
      </w:r>
    </w:p>
    <w:p>
      <w:pPr>
        <w:spacing w:before="40" w:after="240"/>
        <w:jc w:val="center"/>
      </w:pPr>
      <w:r>
        <w:rPr>
          <w:i/>
          <w:color w:val="64748B"/>
          <w:sz w:val="17"/>
        </w:rPr>
        <w:t>Figure 1: GeoLibre Web-Native National Viewer showing Australia-wide cadastre, transmission line overlays, and real-time DuckDB-WASM spatial query engine.</w:t>
      </w:r>
    </w:p>
    <w:p>
      <w:pPr>
        <w:spacing w:before="160" w:after="4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2_macquarie_coal_precinct_webgis.png"/>
                    <pic:cNvPicPr/>
                  </pic:nvPicPr>
                  <pic:blipFill>
                    <a:blip r:embed="rId12"/>
                    <a:stretch>
                      <a:fillRect/>
                    </a:stretch>
                  </pic:blipFill>
                  <pic:spPr>
                    <a:xfrm>
                      <a:off x="0" y="0"/>
                      <a:ext cx="5669280" cy="3188970"/>
                    </a:xfrm>
                    <a:prstGeom prst="rect"/>
                  </pic:spPr>
                </pic:pic>
              </a:graphicData>
            </a:graphic>
          </wp:inline>
        </w:drawing>
      </w:r>
    </w:p>
    <w:p>
      <w:pPr>
        <w:spacing w:before="40" w:after="240"/>
        <w:jc w:val="center"/>
      </w:pPr>
      <w:r>
        <w:rPr>
          <w:i/>
          <w:color w:val="64748B"/>
          <w:sz w:val="17"/>
        </w:rPr>
        <w:t>Figure 2: Site-level WebGIS for the Macquarie Coal Complex showing transmission easement buffers, mine workings hazard zones, and ecological conservation boundaries.</w:t>
      </w:r>
    </w:p>
    <w:p>
      <w:pPr>
        <w:spacing w:before="160" w:after="4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03_macquarie_coal_precinct_report.png"/>
                    <pic:cNvPicPr/>
                  </pic:nvPicPr>
                  <pic:blipFill>
                    <a:blip r:embed="rId13"/>
                    <a:stretch>
                      <a:fillRect/>
                    </a:stretch>
                  </pic:blipFill>
                  <pic:spPr>
                    <a:xfrm>
                      <a:off x="0" y="0"/>
                      <a:ext cx="5669280" cy="3188970"/>
                    </a:xfrm>
                    <a:prstGeom prst="rect"/>
                  </pic:spPr>
                </pic:pic>
              </a:graphicData>
            </a:graphic>
          </wp:inline>
        </w:drawing>
      </w:r>
    </w:p>
    <w:p>
      <w:pPr>
        <w:spacing w:before="40" w:after="240"/>
        <w:jc w:val="center"/>
      </w:pPr>
      <w:r>
        <w:rPr>
          <w:i/>
          <w:color w:val="64748B"/>
          <w:sz w:val="17"/>
        </w:rPr>
        <w:t>Figure 3: Statutory site enhancement report evaluating multi-hazard constraints, power injection headroom, and renewable industrial redevelopment potential.</w:t>
      </w:r>
    </w:p>
    <w:p>
      <w:pPr>
        <w:spacing w:before="160" w:after="4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04_national_suitability_report.png"/>
                    <pic:cNvPicPr/>
                  </pic:nvPicPr>
                  <pic:blipFill>
                    <a:blip r:embed="rId14"/>
                    <a:stretch>
                      <a:fillRect/>
                    </a:stretch>
                  </pic:blipFill>
                  <pic:spPr>
                    <a:xfrm>
                      <a:off x="0" y="0"/>
                      <a:ext cx="5669280" cy="3188970"/>
                    </a:xfrm>
                    <a:prstGeom prst="rect"/>
                  </pic:spPr>
                </pic:pic>
              </a:graphicData>
            </a:graphic>
          </wp:inline>
        </w:drawing>
      </w:r>
    </w:p>
    <w:p>
      <w:pPr>
        <w:spacing w:before="40" w:after="240"/>
        <w:jc w:val="center"/>
      </w:pPr>
      <w:r>
        <w:rPr>
          <w:i/>
          <w:color w:val="64748B"/>
          <w:sz w:val="17"/>
        </w:rPr>
        <w:t>Figure 4: National baseline suitability analysis across 15.4M records with multi-criteria weighted scoring.</w:t>
      </w:r>
    </w:p>
    <w:p>
      <w:pPr>
        <w:spacing w:before="160" w:after="40"/>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05_data_lineage_audit.png"/>
                    <pic:cNvPicPr/>
                  </pic:nvPicPr>
                  <pic:blipFill>
                    <a:blip r:embed="rId15"/>
                    <a:stretch>
                      <a:fillRect/>
                    </a:stretch>
                  </pic:blipFill>
                  <pic:spPr>
                    <a:xfrm>
                      <a:off x="0" y="0"/>
                      <a:ext cx="5669280" cy="3188970"/>
                    </a:xfrm>
                    <a:prstGeom prst="rect"/>
                  </pic:spPr>
                </pic:pic>
              </a:graphicData>
            </a:graphic>
          </wp:inline>
        </w:drawing>
      </w:r>
    </w:p>
    <w:p>
      <w:pPr>
        <w:spacing w:before="40" w:after="240"/>
        <w:jc w:val="center"/>
      </w:pPr>
      <w:r>
        <w:rPr>
          <w:i/>
          <w:color w:val="64748B"/>
          <w:sz w:val="17"/>
        </w:rPr>
        <w:t>Figure 5: Cryptographic data lineage, spatial layer checksums, and transformation audit trails.</w:t>
      </w:r>
    </w:p>
    <w:p>
      <w:pPr>
        <w:spacing w:before="160" w:after="40"/>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06_qa_inspector.png"/>
                    <pic:cNvPicPr/>
                  </pic:nvPicPr>
                  <pic:blipFill>
                    <a:blip r:embed="rId16"/>
                    <a:stretch>
                      <a:fillRect/>
                    </a:stretch>
                  </pic:blipFill>
                  <pic:spPr>
                    <a:xfrm>
                      <a:off x="0" y="0"/>
                      <a:ext cx="5669280" cy="3188970"/>
                    </a:xfrm>
                    <a:prstGeom prst="rect"/>
                  </pic:spPr>
                </pic:pic>
              </a:graphicData>
            </a:graphic>
          </wp:inline>
        </w:drawing>
      </w:r>
    </w:p>
    <w:p>
      <w:pPr>
        <w:spacing w:before="40" w:after="240"/>
        <w:jc w:val="center"/>
      </w:pPr>
      <w:r>
        <w:rPr>
          <w:i/>
          <w:color w:val="64748B"/>
          <w:sz w:val="17"/>
        </w:rPr>
        <w:t>Figure 6: High-precision GeoLibre QA tool validating coordinate precision, CRS transformations, and attribute integrity.</w:t>
      </w:r>
    </w:p>
    <w:p>
      <w:pPr>
        <w:spacing w:before="160" w:after="40"/>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07_qa_15_4m_report.png"/>
                    <pic:cNvPicPr/>
                  </pic:nvPicPr>
                  <pic:blipFill>
                    <a:blip r:embed="rId17"/>
                    <a:stretch>
                      <a:fillRect/>
                    </a:stretch>
                  </pic:blipFill>
                  <pic:spPr>
                    <a:xfrm>
                      <a:off x="0" y="0"/>
                      <a:ext cx="5669280" cy="3188970"/>
                    </a:xfrm>
                    <a:prstGeom prst="rect"/>
                  </pic:spPr>
                </pic:pic>
              </a:graphicData>
            </a:graphic>
          </wp:inline>
        </w:drawing>
      </w:r>
    </w:p>
    <w:p>
      <w:pPr>
        <w:spacing w:before="40" w:after="240"/>
        <w:jc w:val="center"/>
      </w:pPr>
      <w:r>
        <w:rPr>
          <w:i/>
          <w:color w:val="64748B"/>
          <w:sz w:val="17"/>
        </w:rPr>
        <w:t>Figure 7: Comprehensive statistical QA report validating zero-mock data integrity across all Australian states.</w:t>
      </w:r>
    </w:p>
    <w:p>
      <w:pPr>
        <w:spacing w:before="160" w:after="40"/>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08_asymmetric_compute_whitepaper.png"/>
                    <pic:cNvPicPr/>
                  </pic:nvPicPr>
                  <pic:blipFill>
                    <a:blip r:embed="rId18"/>
                    <a:stretch>
                      <a:fillRect/>
                    </a:stretch>
                  </pic:blipFill>
                  <pic:spPr>
                    <a:xfrm>
                      <a:off x="0" y="0"/>
                      <a:ext cx="5669280" cy="3188970"/>
                    </a:xfrm>
                    <a:prstGeom prst="rect"/>
                  </pic:spPr>
                </pic:pic>
              </a:graphicData>
            </a:graphic>
          </wp:inline>
        </w:drawing>
      </w:r>
    </w:p>
    <w:p>
      <w:pPr>
        <w:spacing w:before="40" w:after="240"/>
        <w:jc w:val="center"/>
      </w:pPr>
      <w:r>
        <w:rPr>
          <w:i/>
          <w:color w:val="64748B"/>
          <w:sz w:val="17"/>
        </w:rPr>
        <w:t>Figure 8: High-fidelity interactive technical paper detailing dual-engine compute and AI safety.</w:t>
      </w:r>
    </w:p>
    <w:p>
      <w:pPr>
        <w:spacing w:before="160" w:after="40"/>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09_macquarie_site_enhancement_plan.png"/>
                    <pic:cNvPicPr/>
                  </pic:nvPicPr>
                  <pic:blipFill>
                    <a:blip r:embed="rId19"/>
                    <a:stretch>
                      <a:fillRect/>
                    </a:stretch>
                  </pic:blipFill>
                  <pic:spPr>
                    <a:xfrm>
                      <a:off x="0" y="0"/>
                      <a:ext cx="5669280" cy="3188970"/>
                    </a:xfrm>
                    <a:prstGeom prst="rect"/>
                  </pic:spPr>
                </pic:pic>
              </a:graphicData>
            </a:graphic>
          </wp:inline>
        </w:drawing>
      </w:r>
    </w:p>
    <w:p>
      <w:pPr>
        <w:spacing w:before="40" w:after="240"/>
        <w:jc w:val="center"/>
      </w:pPr>
      <w:r>
        <w:rPr>
          <w:i/>
          <w:color w:val="64748B"/>
          <w:sz w:val="17"/>
        </w:rPr>
        <w:t>Figure 9: Master planning document for transitioning brownfield mining land into a zero-carbon compute hub.</w:t>
      </w:r>
    </w:p>
    <w:p>
      <w:pPr>
        <w:spacing w:before="160" w:after="40"/>
        <w:jc w:val="center"/>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10_nsw_govt_geospatial_benefits.png"/>
                    <pic:cNvPicPr/>
                  </pic:nvPicPr>
                  <pic:blipFill>
                    <a:blip r:embed="rId20"/>
                    <a:stretch>
                      <a:fillRect/>
                    </a:stretch>
                  </pic:blipFill>
                  <pic:spPr>
                    <a:xfrm>
                      <a:off x="0" y="0"/>
                      <a:ext cx="5669280" cy="3188970"/>
                    </a:xfrm>
                    <a:prstGeom prst="rect"/>
                  </pic:spPr>
                </pic:pic>
              </a:graphicData>
            </a:graphic>
          </wp:inline>
        </w:drawing>
      </w:r>
    </w:p>
    <w:p>
      <w:pPr>
        <w:spacing w:before="40" w:after="240"/>
        <w:jc w:val="center"/>
      </w:pPr>
      <w:r>
        <w:rPr>
          <w:i/>
          <w:color w:val="64748B"/>
          <w:sz w:val="17"/>
        </w:rPr>
        <w:t>Figure 10: Economic ROI and inter-agency acceleration model for government geospatial infrastructure.</w:t>
      </w:r>
    </w:p>
    <w:p>
      <w:pPr>
        <w:spacing w:before="160" w:after="40"/>
        <w:jc w:val="center"/>
      </w:pPr>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11_geolibre_contribution_proposals.png"/>
                    <pic:cNvPicPr/>
                  </pic:nvPicPr>
                  <pic:blipFill>
                    <a:blip r:embed="rId21"/>
                    <a:stretch>
                      <a:fillRect/>
                    </a:stretch>
                  </pic:blipFill>
                  <pic:spPr>
                    <a:xfrm>
                      <a:off x="0" y="0"/>
                      <a:ext cx="5669280" cy="3188970"/>
                    </a:xfrm>
                    <a:prstGeom prst="rect"/>
                  </pic:spPr>
                </pic:pic>
              </a:graphicData>
            </a:graphic>
          </wp:inline>
        </w:drawing>
      </w:r>
    </w:p>
    <w:p>
      <w:pPr>
        <w:spacing w:before="40" w:after="240"/>
        <w:jc w:val="center"/>
      </w:pPr>
      <w:r>
        <w:rPr>
          <w:i/>
          <w:color w:val="64748B"/>
          <w:sz w:val="17"/>
        </w:rPr>
        <w:t>Figure 11: Five modular PR proposals for upstream integration with opengeos/GeoLibre.</w:t>
      </w:r>
    </w:p>
    <w:p>
      <w:pPr>
        <w:spacing w:before="160" w:after="40"/>
        <w:jc w:val="center"/>
      </w:pPr>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12_evolution_odyssey.png"/>
                    <pic:cNvPicPr/>
                  </pic:nvPicPr>
                  <pic:blipFill>
                    <a:blip r:embed="rId22"/>
                    <a:stretch>
                      <a:fillRect/>
                    </a:stretch>
                  </pic:blipFill>
                  <pic:spPr>
                    <a:xfrm>
                      <a:off x="0" y="0"/>
                      <a:ext cx="5669280" cy="3188970"/>
                    </a:xfrm>
                    <a:prstGeom prst="rect"/>
                  </pic:spPr>
                </pic:pic>
              </a:graphicData>
            </a:graphic>
          </wp:inline>
        </w:drawing>
      </w:r>
    </w:p>
    <w:p>
      <w:pPr>
        <w:spacing w:before="40" w:after="240"/>
        <w:jc w:val="center"/>
      </w:pPr>
      <w:r>
        <w:rPr>
          <w:i/>
          <w:color w:val="64748B"/>
          <w:sz w:val="17"/>
        </w:rPr>
        <w:t>Figure 12: Architectural retrospectives, performance breakthroughs, and technical lessons learned.</w:t>
      </w:r>
    </w:p>
    <w:p>
      <w:r>
        <w:br w:type="page"/>
      </w:r>
    </w:p>
    <w:p>
      <w:pPr>
        <w:pStyle w:val="Heading1"/>
        <w:keepNext/>
        <w:spacing w:before="480" w:after="160"/>
      </w:pPr>
      <w:r>
        <w:rPr>
          <w:rFonts w:ascii="Outfit" w:hAnsi="Outfit"/>
          <w:b/>
          <w:color w:val="0F172A"/>
          <w:sz w:val="32"/>
        </w:rPr>
        <w:t>Part I: Enterprise Architecture &amp; Deterministic AI Safety</w:t>
      </w:r>
    </w:p>
    <w:p>
      <w:pPr>
        <w:pStyle w:val="Heading1"/>
        <w:keepNext/>
        <w:spacing w:before="320" w:after="120"/>
      </w:pPr>
      <w:r>
        <w:rPr>
          <w:b/>
          <w:color w:val="0F172A"/>
        </w:rPr>
        <w:t>AURA Enterprise: Asymmetric Compute Architecture &amp; Deterministic AI Safety</w:t>
      </w:r>
    </w:p>
    <w:p>
      <w:pPr>
        <w:spacing w:before="40" w:after="80" w:line="276" w:lineRule="auto"/>
      </w:pPr>
      <w:r>
        <w:rPr>
          <w:b/>
          <w:color w:val="1E293B"/>
          <w:sz w:val="19"/>
        </w:rPr>
        <w:t>Executive Technical Whitepaper &amp; Architectural Reference</w:t>
      </w:r>
    </w:p>
    <w:p>
      <w:pPr>
        <w:spacing w:before="40" w:after="80" w:line="276" w:lineRule="auto"/>
      </w:pPr>
      <w:r>
        <w:rPr>
          <w:color w:val="334155"/>
          <w:sz w:val="19"/>
        </w:rPr>
        <w:t xml:space="preserve">*Published by </w:t>
      </w:r>
      <w:r>
        <w:rPr>
          <w:color w:val="0284C7"/>
          <w:sz w:val="19"/>
          <w:u w:val="single"/>
        </w:rPr>
        <w:t>GetBack2Basics</w:t>
      </w:r>
      <w:r>
        <w:rPr>
          <w:color w:val="334155"/>
          <w:sz w:val="19"/>
        </w:rPr>
        <w:t xml:space="preserve"> • Cloud Root: </w:t>
      </w:r>
      <w:r>
        <w:rPr>
          <w:color w:val="0284C7"/>
          <w:sz w:val="19"/>
          <w:u w:val="single"/>
        </w:rPr>
        <w:t>aura.getback2basics.net</w:t>
      </w:r>
      <w:r>
        <w:rPr>
          <w:color w:val="334155"/>
          <w:sz w:val="19"/>
        </w:rPr>
        <w:t>*</w:t>
      </w:r>
    </w:p>
    <w:p>
      <w:pPr>
        <w:spacing w:before="40" w:after="80" w:line="276" w:lineRule="auto"/>
      </w:pPr>
      <w:r>
        <w:rPr>
          <w:color w:val="334155"/>
          <w:sz w:val="19"/>
        </w:rPr>
        <w:t>*Author: George Chandeep Corea (Geospatial Data Lead, GetBack2Basics | Project Lead, AURA Siting Crafter)*</w:t>
      </w:r>
    </w:p>
    <w:p>
      <w:pPr>
        <w:spacing w:before="40" w:after="80" w:line="276" w:lineRule="auto"/>
      </w:pPr>
      <w:r>
        <w:rPr>
          <w:color w:val="334155"/>
          <w:sz w:val="19"/>
        </w:rPr>
        <w:t>---</w:t>
      </w:r>
    </w:p>
    <w:p>
      <w:pPr>
        <w:pStyle w:val="Heading2"/>
        <w:keepNext/>
        <w:spacing w:before="240" w:after="80"/>
      </w:pPr>
      <w:r>
        <w:rPr>
          <w:b/>
          <w:color w:val="0284C7"/>
        </w:rPr>
        <w:t>Executive Summary</w:t>
      </w:r>
    </w:p>
    <w:p>
      <w:pPr>
        <w:spacing w:before="40" w:after="80" w:line="276" w:lineRule="auto"/>
      </w:pPr>
      <w:r>
        <w:rPr>
          <w:color w:val="334155"/>
          <w:sz w:val="19"/>
        </w:rPr>
        <w:t>Selecting land for multi-hundred-million-dollar digital infrastructure, clean energy firming hubs, and advanced industrial assets is an exercise in capital risk mitigation. Traditional site due diligence relies on static PDFs, manual GIS consulting cycles that take months, or opaque proprietary models.</w:t>
      </w:r>
    </w:p>
    <w:p>
      <w:pPr>
        <w:spacing w:before="40" w:after="80" w:line="276" w:lineRule="auto"/>
      </w:pPr>
      <w:r>
        <w:rPr>
          <w:b/>
          <w:color w:val="1E293B"/>
          <w:sz w:val="19"/>
        </w:rPr>
        <w:t>AURA Siting Crafter</w:t>
      </w:r>
      <w:r>
        <w:rPr>
          <w:color w:val="334155"/>
          <w:sz w:val="19"/>
        </w:rPr>
        <w:t xml:space="preserve"> delivers a deterministic, high-throughput spatial intelligence platform built on two core engineering paradigms:</w:t>
      </w:r>
    </w:p>
    <w:p>
      <w:pPr>
        <w:pStyle w:val="ListNumber"/>
        <w:spacing w:before="20" w:after="40"/>
      </w:pPr>
      <w:r>
        <w:rPr>
          <w:b/>
          <w:color w:val="1E293B"/>
          <w:sz w:val="19"/>
        </w:rPr>
        <w:t>The Asymmetric Compute Architecture</w:t>
      </w:r>
      <w:r>
        <w:rPr>
          <w:color w:val="334155"/>
          <w:sz w:val="19"/>
        </w:rPr>
        <w:t>: Transparently separating heavy cloud lakehouse extract, transform, and load (ETL) batch computation from infinite-scale, zero-marginal-cost client-side browser execution.</w:t>
      </w:r>
    </w:p>
    <w:p>
      <w:pPr>
        <w:pStyle w:val="ListNumber"/>
        <w:spacing w:before="20" w:after="40"/>
      </w:pPr>
      <w:r>
        <w:rPr>
          <w:b/>
          <w:color w:val="1E293B"/>
          <w:sz w:val="19"/>
        </w:rPr>
        <w:t>The Deterministic AI Sandbox</w:t>
      </w:r>
      <w:r>
        <w:rPr>
          <w:color w:val="334155"/>
          <w:sz w:val="19"/>
        </w:rPr>
        <w:t>: Enforcing strict, read-only Natural Language to Spatial SQL query compilation against certified spatial data assets—guaranteeing zero spatial hallucinations and absolute statutory data integrity.</w:t>
      </w:r>
    </w:p>
    <w:p>
      <w:pPr>
        <w:spacing w:before="40" w:after="80" w:line="276" w:lineRule="auto"/>
      </w:pPr>
      <w:r>
        <w:rPr>
          <w:color w:val="334155"/>
          <w:sz w:val="19"/>
        </w:rPr>
        <w:t xml:space="preserve">AURA operates as an </w:t>
      </w:r>
      <w:r>
        <w:rPr>
          <w:b/>
          <w:color w:val="1E293B"/>
          <w:sz w:val="19"/>
        </w:rPr>
        <w:t>open-source first commercial initiative by GetBack2Basics</w:t>
      </w:r>
      <w:r>
        <w:rPr>
          <w:color w:val="334155"/>
          <w:sz w:val="19"/>
        </w:rPr>
        <w:t>—pairing transparent, peer-reviewed open geospatial foundations with enterprise-grade statutory certification services.</w:t>
      </w:r>
    </w:p>
    <w:p>
      <w:pPr>
        <w:spacing w:before="40" w:after="80" w:line="276" w:lineRule="auto"/>
      </w:pPr>
      <w:r>
        <w:rPr>
          <w:color w:val="334155"/>
          <w:sz w:val="19"/>
        </w:rPr>
        <w:t>---</w:t>
      </w:r>
    </w:p>
    <w:p>
      <w:pPr>
        <w:pStyle w:val="Heading2"/>
        <w:keepNext/>
        <w:spacing w:before="240" w:after="80"/>
      </w:pPr>
      <w:r>
        <w:rPr>
          <w:b/>
          <w:color w:val="0284C7"/>
        </w:rPr>
        <w:t>1. The Commercial &amp; Open-Source Dual Identity</w:t>
      </w:r>
    </w:p>
    <w:p>
      <w:pPr>
        <w:spacing w:before="40" w:after="80" w:line="276" w:lineRule="auto"/>
      </w:pPr>
      <w:r>
        <w:rPr>
          <w:color w:val="334155"/>
          <w:sz w:val="19"/>
        </w:rPr>
        <w:t>AURA follows the proven enterprise open-source model established by industry leaders like Red Hat and Databricks. Open-source transparency serves as the foundational guarantee of reliability and peer-reviewed rigor for our enterprise statutory services.</w:t>
      </w:r>
    </w:p>
    <w:p>
      <w:pPr>
        <w:spacing w:before="80" w:after="120"/>
        <w:ind w:left="360"/>
      </w:pPr>
      <w:r>
        <w:rPr>
          <w:rFonts w:ascii="Consolas" w:hAnsi="Consolas"/>
          <w:color w:val="0F172A"/>
          <w:sz w:val="17"/>
        </w:rPr>
        <w:t>graph TD</w:t>
        <w:br/>
        <w:t xml:space="preserve">    subgraph Foundation["1. Open-Source Foundation (AURA Open Spatial Core)"]</w:t>
        <w:br/>
        <w:t xml:space="preserve">        F1["Peer-Reviewed Spatial Schemas&lt;br/&gt;(GeoParquet / Apache Iceberg)"]</w:t>
        <w:br/>
        <w:t xml:space="preserve">        F2["Generic Multi-Project Pipeline&lt;br/&gt;(Standardized Ingestion Engine)"]</w:t>
        <w:br/>
        <w:t xml:space="preserve">        F3["Client-Side Scoring Engine&lt;br/&gt;(DuckDB-WASM / GeoLibre)"]</w:t>
        <w:br/>
        <w:t xml:space="preserve">        F4["Automated Quality &amp; Integrity Gates&lt;br/&gt;(Zero-Mock AST Provenance Verification)"]</w:t>
        <w:br/>
        <w:t xml:space="preserve">    end</w:t>
        <w:br/>
        <w:br/>
        <w:t xml:space="preserve">    subgraph Enterprise["2. Commercial Turnkey Services (AURA Enterprise Siting)"]</w:t>
        <w:br/>
        <w:t xml:space="preserve">        E1["Forensic EIS &amp; Planning Synthesis&lt;br/&gt;(Ingesting 15+ Exhibition Studies)"]</w:t>
        <w:br/>
        <w:t xml:space="preserve">        E2["Certified Net Developable Area Audits&lt;br/&gt;(Topological Easement &amp; Hazard Subtraction)"]</w:t>
        <w:br/>
        <w:t xml:space="preserve">        E3["Interactive 3D Digital Twins&lt;br/&gt;(Multi-Stage Infrastructure Staging)"]</w:t>
        <w:br/>
        <w:t xml:space="preserve">        E4["Statutory Exhibition Submission Packages&lt;br/&gt;(NSW DPHI, EPBC Act, Investment Committees)"]</w:t>
        <w:br/>
        <w:t xml:space="preserve">    end</w:t>
        <w:br/>
        <w:br/>
        <w:t xml:space="preserve">    Foundation ==&gt;|Vetted Architecture &amp; Schemas| Enterprise</w:t>
        <w:br/>
        <w:t xml:space="preserve">    </w:t>
        <w:br/>
        <w:t xml:space="preserve">    style Foundation fill:#111827,stroke:#3b82f6,color:#f8fafc</w:t>
        <w:br/>
        <w:t xml:space="preserve">    style Enterprise fill:#0f2942,stroke:#38bdf8,color:#ffffff,stroke-width:2px</w:t>
      </w:r>
    </w:p>
    <w:p>
      <w:pPr>
        <w:pStyle w:val="Heading3"/>
        <w:keepNext/>
        <w:spacing w:before="160" w:after="40"/>
      </w:pPr>
      <w:r>
        <w:rPr>
          <w:b/>
          <w:color w:val="334155"/>
        </w:rPr>
        <w:t>Tier 1: AURA Open Spatial Core (100% Open Source)</w:t>
      </w:r>
    </w:p>
    <w:p>
      <w:pPr>
        <w:pStyle w:val="ListBullet"/>
        <w:spacing w:before="20" w:after="40"/>
      </w:pPr>
      <w:r>
        <w:rPr>
          <w:b/>
          <w:color w:val="1E293B"/>
          <w:sz w:val="19"/>
        </w:rPr>
        <w:t>Community-Vetted Codebase</w:t>
      </w:r>
      <w:r>
        <w:rPr>
          <w:color w:val="334155"/>
          <w:sz w:val="19"/>
        </w:rPr>
        <w:t xml:space="preserve">: Available under the open-source license on </w:t>
      </w:r>
      <w:r>
        <w:rPr>
          <w:color w:val="0284C7"/>
          <w:sz w:val="19"/>
          <w:u w:val="single"/>
        </w:rPr>
        <w:t>GitHub</w:t>
      </w:r>
      <w:r>
        <w:rPr>
          <w:color w:val="334155"/>
          <w:sz w:val="19"/>
        </w:rPr>
        <w:t>.</w:t>
      </w:r>
    </w:p>
    <w:p>
      <w:pPr>
        <w:pStyle w:val="ListBullet"/>
        <w:spacing w:before="20" w:after="40"/>
      </w:pPr>
      <w:r>
        <w:rPr>
          <w:b/>
          <w:color w:val="1E293B"/>
          <w:sz w:val="19"/>
        </w:rPr>
        <w:t>Standardized Data Schemas</w:t>
      </w:r>
      <w:r>
        <w:rPr>
          <w:color w:val="334155"/>
          <w:sz w:val="19"/>
        </w:rPr>
        <w:t xml:space="preserve">: Reusable manifest specifications compatible with </w:t>
      </w:r>
      <w:r>
        <w:rPr>
          <w:rFonts w:ascii="Consolas" w:hAnsi="Consolas"/>
          <w:color w:val="0E7490"/>
          <w:sz w:val="17"/>
        </w:rPr>
        <w:t>opengeos/GeoLibre</w:t>
      </w:r>
      <w:r>
        <w:rPr>
          <w:color w:val="334155"/>
          <w:sz w:val="19"/>
        </w:rPr>
        <w:t>, QGIS, and ArcGIS Pro.</w:t>
      </w:r>
    </w:p>
    <w:p>
      <w:pPr>
        <w:pStyle w:val="ListBullet"/>
        <w:spacing w:before="20" w:after="40"/>
      </w:pPr>
      <w:r>
        <w:rPr>
          <w:b/>
          <w:color w:val="1E293B"/>
          <w:sz w:val="19"/>
        </w:rPr>
        <w:t>Reproducible Pipeline Generators</w:t>
      </w:r>
      <w:r>
        <w:rPr>
          <w:color w:val="334155"/>
          <w:sz w:val="19"/>
        </w:rPr>
        <w:t>: Open-source utilities enabling developers, councils, and researchers to process custom site vectors locally.</w:t>
      </w:r>
    </w:p>
    <w:p>
      <w:pPr>
        <w:pStyle w:val="Heading3"/>
        <w:keepNext/>
        <w:spacing w:before="160" w:after="40"/>
      </w:pPr>
      <w:r>
        <w:rPr>
          <w:b/>
          <w:color w:val="334155"/>
        </w:rPr>
        <w:t>Tier 2: AURA Enterprise Statutory Siting (Certified Commercial Turnkey)</w:t>
      </w:r>
    </w:p>
    <w:p>
      <w:pPr>
        <w:pStyle w:val="ListBullet"/>
        <w:spacing w:before="20" w:after="40"/>
      </w:pPr>
      <w:r>
        <w:rPr>
          <w:b/>
          <w:color w:val="1E293B"/>
          <w:sz w:val="19"/>
        </w:rPr>
        <w:t>Forensic Environmental Impact Statement (EIS) Synthesis</w:t>
      </w:r>
      <w:r>
        <w:rPr>
          <w:color w:val="334155"/>
          <w:sz w:val="19"/>
        </w:rPr>
        <w:t>: Deep extraction and cross-reconciliation of geotechnical boreholes, acoustic baseline studies, and water allocation records.</w:t>
      </w:r>
    </w:p>
    <w:p>
      <w:pPr>
        <w:pStyle w:val="ListBullet"/>
        <w:spacing w:before="20" w:after="40"/>
      </w:pPr>
      <w:r>
        <w:rPr>
          <w:b/>
          <w:color w:val="1E293B"/>
          <w:sz w:val="19"/>
        </w:rPr>
        <w:t>Certified Net Developable Area (NDA) Audits</w:t>
      </w:r>
      <w:r>
        <w:rPr>
          <w:color w:val="334155"/>
          <w:sz w:val="19"/>
        </w:rPr>
        <w:t>: Rigorous topological subtraction of 1% AEP floodways, mine subsidence strain zones (G1–G3), high-pressure pipeline corridors, and riparian setbacks to identify true developable yield.</w:t>
      </w:r>
    </w:p>
    <w:p>
      <w:pPr>
        <w:pStyle w:val="ListBullet"/>
        <w:spacing w:before="20" w:after="40"/>
      </w:pPr>
      <w:r>
        <w:rPr>
          <w:b/>
          <w:color w:val="1E293B"/>
          <w:sz w:val="19"/>
        </w:rPr>
        <w:t>High-Resolution 3D Digital Twins</w:t>
      </w:r>
      <w:r>
        <w:rPr>
          <w:color w:val="334155"/>
          <w:sz w:val="19"/>
        </w:rPr>
        <w:t>: Zero-latency interactive portals with pad staging time-sliders, electrical single-line diagram overlays, and thermodynamic heat loops.</w:t>
      </w:r>
    </w:p>
    <w:p>
      <w:pPr>
        <w:pStyle w:val="ListBullet"/>
        <w:spacing w:before="20" w:after="40"/>
      </w:pPr>
      <w:r>
        <w:rPr>
          <w:b/>
          <w:color w:val="1E293B"/>
          <w:sz w:val="19"/>
        </w:rPr>
        <w:t>Statutory Decision Packages</w:t>
      </w:r>
      <w:r>
        <w:rPr>
          <w:color w:val="334155"/>
          <w:sz w:val="19"/>
        </w:rPr>
        <w:t>: Audit-ready deliverables tailored for Institutional Investment Committees, Real Estate Investment Trusts (REITs), and State Planning Panels (e.g. NSW DPHI, IPC).</w:t>
      </w:r>
    </w:p>
    <w:p>
      <w:pPr>
        <w:spacing w:before="40" w:after="80" w:line="276" w:lineRule="auto"/>
      </w:pPr>
      <w:r>
        <w:rPr>
          <w:color w:val="334155"/>
          <w:sz w:val="19"/>
        </w:rPr>
        <w:t>---</w:t>
      </w:r>
    </w:p>
    <w:p>
      <w:pPr>
        <w:pStyle w:val="Heading2"/>
        <w:keepNext/>
        <w:spacing w:before="240" w:after="80"/>
      </w:pPr>
      <w:r>
        <w:rPr>
          <w:b/>
          <w:color w:val="0284C7"/>
        </w:rPr>
        <w:t>2. The Asymmetric Compute Architecture</w:t>
      </w:r>
    </w:p>
    <w:p>
      <w:pPr>
        <w:spacing w:before="40" w:after="80" w:line="276" w:lineRule="auto"/>
      </w:pPr>
      <w:r>
        <w:rPr>
          <w:color w:val="334155"/>
          <w:sz w:val="19"/>
        </w:rPr>
        <w:t>Real-world infrastructure due diligence requires evaluating massive, high-dimensional datasets with zero latency and absolute statutory confidence:</w:t>
      </w:r>
    </w:p>
    <w:p>
      <w:pPr>
        <w:pStyle w:val="ListBullet"/>
        <w:spacing w:before="20" w:after="40"/>
      </w:pPr>
      <w:r>
        <w:rPr>
          <w:b/>
          <w:color w:val="1E293B"/>
          <w:sz w:val="19"/>
        </w:rPr>
        <w:t>15.4 Million Cadastral Parcels</w:t>
      </w:r>
      <w:r>
        <w:rPr>
          <w:color w:val="334155"/>
          <w:sz w:val="19"/>
        </w:rPr>
        <w:t xml:space="preserve"> (Geoscape CSDM &amp; NSW DCDB in GDA2020).</w:t>
      </w:r>
    </w:p>
    <w:p>
      <w:pPr>
        <w:pStyle w:val="ListBullet"/>
        <w:spacing w:before="20" w:after="40"/>
      </w:pPr>
      <w:r>
        <w:rPr>
          <w:b/>
          <w:color w:val="1E293B"/>
          <w:sz w:val="19"/>
        </w:rPr>
        <w:t>15 Statutory Multi-Hazard Grids</w:t>
      </w:r>
      <w:r>
        <w:rPr>
          <w:color w:val="334155"/>
          <w:sz w:val="19"/>
        </w:rPr>
        <w:t xml:space="preserve"> (ARR 2019 Flood, GA NSHA Seismic PGA, GA TCHA Wind, AS 3959 Bushfire).</w:t>
      </w:r>
    </w:p>
    <w:p>
      <w:pPr>
        <w:pStyle w:val="ListBullet"/>
        <w:spacing w:before="20" w:after="40"/>
      </w:pPr>
      <w:r>
        <w:rPr>
          <w:b/>
          <w:color w:val="1E293B"/>
          <w:sz w:val="19"/>
        </w:rPr>
        <w:t>Continuous Sigmoidal Sensitive Decay Curves</w:t>
      </w:r>
      <w:r>
        <w:rPr>
          <w:color w:val="334155"/>
          <w:sz w:val="19"/>
        </w:rPr>
        <w:t xml:space="preserve"> (NSW EPA NPfI 2017 sleep disturbance metrics).</w:t>
      </w:r>
    </w:p>
    <w:p>
      <w:pPr>
        <w:pStyle w:val="ListBullet"/>
        <w:spacing w:before="20" w:after="40"/>
      </w:pPr>
      <w:r>
        <w:rPr>
          <w:b/>
          <w:color w:val="1E293B"/>
          <w:sz w:val="19"/>
        </w:rPr>
        <w:t>25 Synchronized Live Government Spatial APIs</w:t>
      </w:r>
      <w:r>
        <w:rPr>
          <w:color w:val="334155"/>
          <w:sz w:val="19"/>
        </w:rPr>
        <w:t xml:space="preserve"> via Apache Sedona and Wherobots Cloud.</w:t>
      </w:r>
    </w:p>
    <w:p>
      <w:pPr>
        <w:spacing w:before="40" w:after="80" w:line="276" w:lineRule="auto"/>
      </w:pPr>
      <w:r>
        <w:rPr>
          <w:color w:val="334155"/>
          <w:sz w:val="19"/>
        </w:rPr>
        <w:t xml:space="preserve">Processing national-scale spatial datasets while ensuring instant interactivity is an engineering challenge. AURA solves this through a </w:t>
      </w:r>
      <w:r>
        <w:rPr>
          <w:b/>
          <w:color w:val="1E293B"/>
          <w:sz w:val="19"/>
        </w:rPr>
        <w:t>Three-Tier Asymmetric Compute Model</w:t>
      </w:r>
      <w:r>
        <w:rPr>
          <w:color w:val="334155"/>
          <w:sz w:val="19"/>
        </w:rPr>
        <w:t>:</w:t>
      </w:r>
    </w:p>
    <w:p>
      <w:pPr>
        <w:spacing w:before="80" w:after="120"/>
        <w:ind w:left="360"/>
      </w:pPr>
      <w:r>
        <w:rPr>
          <w:rFonts w:ascii="Consolas" w:hAnsi="Consolas"/>
          <w:color w:val="0F172A"/>
          <w:sz w:val="17"/>
        </w:rPr>
        <w:t>flowchart TD</w:t>
        <w:br/>
        <w:t xml:space="preserve">    subgraph Upstream["1. Upstream Batch Lakehouse Tier (Wherobots Cloud / Apache Sedona)"]</w:t>
        <w:br/>
        <w:t xml:space="preserve">        U1["Raw Government Vector Feeds&lt;br/&gt;(15.4M Cadastral Parcels &amp; 25 APIs)"] --&gt; U2["Apache Sedona Distributed Engine&lt;br/&gt;(GDA2020 Transforms &amp; ST_Difference Overlays)"]</w:t>
        <w:br/>
        <w:t xml:space="preserve">        U2 --&gt; U3["GeoParquet &amp; Iceberg Lakehouse&lt;br/&gt;(Hilbert Space-Filling Partitions)"]</w:t>
        <w:br/>
        <w:t xml:space="preserve">        U3 --&gt; U4["Compiled Distance Topologies&lt;br/&gt;(Pre-calculated Proximity Matrices)"]</w:t>
        <w:br/>
        <w:t xml:space="preserve">    end</w:t>
        <w:br/>
        <w:br/>
        <w:t xml:space="preserve">    subgraph Serving["2. Production Serving, Edge &amp; Serverless AI Tier (Google Cloud Platform)"]</w:t>
        <w:br/>
        <w:t xml:space="preserve">        U4 --&gt;|Single-File Vector Upload| G1["Google Cloud Storage (GCS) &amp; Cloud CDN&lt;br/&gt;(Root: aura.getback2basics.net in australia-southeast1)"]</w:t>
        <w:br/>
        <w:t xml:space="preserve">        G2["Google Cloud Run&lt;br/&gt;(Serverless Spatial AI Proxy &amp; AST Schema Firewall)"]</w:t>
        <w:br/>
        <w:t xml:space="preserve">        G3["Google Cloud Vertex AI&lt;br/&gt;(Gemini 2.5 Flash Deterministic Text-to-SQL Compiler)"]</w:t>
        <w:br/>
        <w:t xml:space="preserve">    end</w:t>
        <w:br/>
        <w:br/>
        <w:t xml:space="preserve">    subgraph Downstream["3. Downstream Client-Side Execution Tier (Infinite Distribution)"]</w:t>
        <w:br/>
        <w:t xml:space="preserve">        G1 --&gt;|Direct Edge Vector Streaming| D1["Browser RAM &amp; Local CPU&lt;br/&gt;(DuckDB-WASM Engine)"]</w:t>
        <w:br/>
        <w:t xml:space="preserve">        G2 &lt;--&gt;|Validated Spatial SQL Queries| D1</w:t>
        <w:br/>
        <w:t xml:space="preserve">        D1 --&gt; D2["Dynamic MCDA Multi-Criteria Scoring&lt;br/&gt;(Instant Weight Rebalancing in &lt;15ms)"]</w:t>
        <w:br/>
        <w:t xml:space="preserve">        D1 --&gt; D3["Continuous Sigmoidal Decay Curves&lt;br/&gt;(Real-Time Acoustic &amp; Thermal Modeling)"]</w:t>
        <w:br/>
        <w:t xml:space="preserve">        D1 --&gt; D4["60fps WebGL Digital Twin&lt;br/&gt;(MapLibre GL Pad Staging &amp; Inspection)"]</w:t>
        <w:br/>
        <w:t xml:space="preserve">    end</w:t>
        <w:br/>
        <w:br/>
        <w:t xml:space="preserve">    style Upstream fill:#1e293b,stroke:#f59e0b,color:#f8fafc</w:t>
        <w:br/>
        <w:t xml:space="preserve">    style Serving fill:#1e1b4b,stroke:#818cf8,color:#ffffff,stroke-width:2px</w:t>
        <w:br/>
        <w:t xml:space="preserve">    style Downstream fill:#0a2540,stroke:#22c55e,color:#ffffff,stroke-width:2px</w:t>
      </w:r>
    </w:p>
    <w:p>
      <w:pPr>
        <w:pStyle w:val="Heading3"/>
        <w:keepNext/>
        <w:spacing w:before="160" w:after="40"/>
      </w:pPr>
      <w:r>
        <w:rPr>
          <w:b/>
          <w:color w:val="334155"/>
        </w:rPr>
        <w:t>2.1 Upstream Lakehouse Batch Ingestion (Wherobots Cloud &amp; Apache Sedona)</w:t>
      </w:r>
    </w:p>
    <w:p>
      <w:pPr>
        <w:pStyle w:val="ListBullet"/>
        <w:spacing w:before="20" w:after="40"/>
      </w:pPr>
      <w:r>
        <w:rPr>
          <w:b/>
          <w:color w:val="1E293B"/>
          <w:sz w:val="19"/>
        </w:rPr>
        <w:t>High-Throughput Spatial Topology</w:t>
      </w:r>
      <w:r>
        <w:rPr>
          <w:color w:val="334155"/>
          <w:sz w:val="19"/>
        </w:rPr>
        <w:t>: Executes heavy geometric transformations, coordinate reference system (CRS) projections to GDA2020, and multi-layer boolean topological subtractions across 15.91M national geometries.</w:t>
      </w:r>
    </w:p>
    <w:p>
      <w:pPr>
        <w:pStyle w:val="ListBullet"/>
        <w:spacing w:before="20" w:after="40"/>
      </w:pPr>
      <w:r>
        <w:rPr>
          <w:b/>
          <w:color w:val="1E293B"/>
          <w:sz w:val="19"/>
        </w:rPr>
        <w:t>Hilbert Spatial Partitioning</w:t>
      </w:r>
      <w:r>
        <w:rPr>
          <w:color w:val="334155"/>
          <w:sz w:val="19"/>
        </w:rPr>
        <w:t>: Organizes massive parcel geometries into spatially indexed, Hilbert space-filling GeoParquet partitions for rapid streaming and sub-second bounding box queries.</w:t>
      </w:r>
    </w:p>
    <w:p>
      <w:pPr>
        <w:pStyle w:val="ListBullet"/>
        <w:spacing w:before="20" w:after="40"/>
      </w:pPr>
      <w:r>
        <w:rPr>
          <w:b/>
          <w:color w:val="1E293B"/>
          <w:sz w:val="19"/>
        </w:rPr>
        <w:t>Automated Resource Lifecycle</w:t>
      </w:r>
      <w:r>
        <w:rPr>
          <w:color w:val="334155"/>
          <w:sz w:val="19"/>
        </w:rPr>
        <w:t>: Headless Sedona batch runtimes execute with automated session shutdown upon task completion, ensuring optimal compute efficiency and eliminating idle infrastructure overhead.</w:t>
      </w:r>
    </w:p>
    <w:p>
      <w:pPr>
        <w:pStyle w:val="Heading3"/>
        <w:keepNext/>
        <w:spacing w:before="160" w:after="40"/>
      </w:pPr>
      <w:r>
        <w:rPr>
          <w:b/>
          <w:color w:val="334155"/>
        </w:rPr>
        <w:t>2.2 Production Serving, Edge Distribution &amp; Sovereign AI Gateway (Google Cloud Platform)</w:t>
      </w:r>
    </w:p>
    <w:p>
      <w:pPr>
        <w:spacing w:before="40" w:after="80" w:line="276" w:lineRule="auto"/>
      </w:pPr>
      <w:r>
        <w:rPr>
          <w:color w:val="334155"/>
          <w:sz w:val="19"/>
        </w:rPr>
        <w:t xml:space="preserve">Production distribution and deterministic AI queries run natively on </w:t>
      </w:r>
      <w:r>
        <w:rPr>
          <w:b/>
          <w:color w:val="1E293B"/>
          <w:sz w:val="19"/>
        </w:rPr>
        <w:t>Google Cloud Platform</w:t>
      </w:r>
      <w:r>
        <w:rPr>
          <w:color w:val="334155"/>
          <w:sz w:val="19"/>
        </w:rPr>
        <w:t xml:space="preserve"> in </w:t>
      </w:r>
      <w:r>
        <w:rPr>
          <w:rFonts w:ascii="Consolas" w:hAnsi="Consolas"/>
          <w:color w:val="0E7490"/>
          <w:sz w:val="17"/>
        </w:rPr>
        <w:t>australia-southeast1</w:t>
      </w:r>
      <w:r>
        <w:rPr>
          <w:color w:val="334155"/>
          <w:sz w:val="19"/>
        </w:rPr>
        <w:t xml:space="preserve"> (Sydney), anchored to the commercial root at </w:t>
      </w:r>
      <w:r>
        <w:rPr>
          <w:color w:val="0284C7"/>
          <w:sz w:val="19"/>
          <w:u w:val="single"/>
        </w:rPr>
        <w:t>aura.getback2basics.net</w:t>
      </w:r>
      <w:r>
        <w:rPr>
          <w:color w:val="334155"/>
          <w:sz w:val="19"/>
        </w:rPr>
        <w:t>:</w:t>
      </w:r>
    </w:p>
    <w:p>
      <w:pPr>
        <w:pStyle w:val="ListBullet"/>
        <w:spacing w:before="20" w:after="40"/>
      </w:pPr>
      <w:r>
        <w:rPr>
          <w:b/>
          <w:color w:val="1E293B"/>
          <w:sz w:val="19"/>
        </w:rPr>
        <w:t>Edge Vector Streaming</w:t>
      </w:r>
      <w:r>
        <w:rPr>
          <w:color w:val="334155"/>
          <w:sz w:val="19"/>
        </w:rPr>
        <w:t>: Cloud CDN and edge storage stream pre-compiled single-file vector bundles directly to client browsers with a 99.4% edge cache hit ratio.</w:t>
      </w:r>
    </w:p>
    <w:p>
      <w:pPr>
        <w:pStyle w:val="ListBullet"/>
        <w:spacing w:before="20" w:after="40"/>
      </w:pPr>
      <w:r>
        <w:rPr>
          <w:b/>
          <w:color w:val="1E293B"/>
          <w:sz w:val="19"/>
        </w:rPr>
        <w:t>Serverless Spatial AI Proxy</w:t>
      </w:r>
      <w:r>
        <w:rPr>
          <w:color w:val="334155"/>
          <w:sz w:val="19"/>
        </w:rPr>
        <w:t>: Google Cloud Run hosts a dedicated zero-state proxy that intercepts natural language queries, enforces Abstract Syntax Tree (AST) schema firewalling, and strictly blocks data-modifying commands before execution.</w:t>
      </w:r>
    </w:p>
    <w:p>
      <w:pPr>
        <w:pStyle w:val="ListBullet"/>
        <w:spacing w:before="20" w:after="40"/>
      </w:pPr>
      <w:r>
        <w:rPr>
          <w:b/>
          <w:color w:val="1E293B"/>
          <w:sz w:val="19"/>
        </w:rPr>
        <w:t>Deterministic Text-to-SQL Compilation</w:t>
      </w:r>
      <w:r>
        <w:rPr>
          <w:color w:val="334155"/>
          <w:sz w:val="19"/>
        </w:rPr>
        <w:t>: Google Cloud Vertex AI translates natural language siting requirements into parameterized DuckDB-WASM SQL filters against certified schemas with zero coordinate hallucination.</w:t>
      </w:r>
    </w:p>
    <w:p>
      <w:pPr>
        <w:pStyle w:val="Heading3"/>
        <w:keepNext/>
        <w:spacing w:before="160" w:after="40"/>
      </w:pPr>
      <w:r>
        <w:rPr>
          <w:b/>
          <w:color w:val="334155"/>
        </w:rPr>
        <w:t>2.3 Architectural Enterprise Capability &amp; Risk Mitigation Matrix</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60" w:type="dxa"/>
              <w:bottom w:w="60" w:type="dxa"/>
              <w:left w:w="100" w:type="dxa"/>
              <w:right w:w="100" w:type="dxa"/>
            </w:tcMar>
            <w:shd w:fill="0F172A"/>
          </w:tcPr>
          <w:p>
            <w:pPr>
              <w:spacing w:before="40" w:after="40"/>
            </w:pPr>
            <w:r>
              <w:rPr>
                <w:b/>
                <w:color w:val="F8FAFC"/>
                <w:sz w:val="18"/>
              </w:rPr>
              <w:t>Operational Capability</w:t>
            </w:r>
          </w:p>
        </w:tc>
        <w:tc>
          <w:tcPr>
            <w:tcW w:type="dxa" w:w="2484"/>
            <w:tcMar>
              <w:top w:w="60" w:type="dxa"/>
              <w:bottom w:w="60" w:type="dxa"/>
              <w:left w:w="100" w:type="dxa"/>
              <w:right w:w="100" w:type="dxa"/>
            </w:tcMar>
            <w:shd w:fill="0F172A"/>
          </w:tcPr>
          <w:p>
            <w:pPr>
              <w:spacing w:before="40" w:after="40"/>
            </w:pPr>
            <w:r>
              <w:rPr>
                <w:b/>
                <w:color w:val="F8FAFC"/>
                <w:sz w:val="18"/>
              </w:rPr>
              <w:t>Traditional Enterprise GIS Architecture</w:t>
            </w:r>
          </w:p>
        </w:tc>
        <w:tc>
          <w:tcPr>
            <w:tcW w:type="dxa" w:w="2484"/>
            <w:tcMar>
              <w:top w:w="60" w:type="dxa"/>
              <w:bottom w:w="60" w:type="dxa"/>
              <w:left w:w="100" w:type="dxa"/>
              <w:right w:w="100" w:type="dxa"/>
            </w:tcMar>
            <w:shd w:fill="0F172A"/>
          </w:tcPr>
          <w:p>
            <w:pPr>
              <w:spacing w:before="40" w:after="40"/>
            </w:pPr>
            <w:r>
              <w:rPr>
                <w:b/>
                <w:color w:val="F8FAFC"/>
                <w:sz w:val="18"/>
              </w:rPr>
              <w:t>AURA Asymmetric Multi-Cloud Architecture</w:t>
            </w:r>
          </w:p>
        </w:tc>
        <w:tc>
          <w:tcPr>
            <w:tcW w:type="dxa" w:w="2484"/>
            <w:tcMar>
              <w:top w:w="60" w:type="dxa"/>
              <w:bottom w:w="60" w:type="dxa"/>
              <w:left w:w="100" w:type="dxa"/>
              <w:right w:w="100" w:type="dxa"/>
            </w:tcMar>
            <w:shd w:fill="0F172A"/>
          </w:tcPr>
          <w:p>
            <w:pPr>
              <w:spacing w:before="40" w:after="40"/>
            </w:pPr>
            <w:r>
              <w:rPr>
                <w:b/>
                <w:color w:val="F8FAFC"/>
                <w:sz w:val="18"/>
              </w:rPr>
              <w:t>Institutional &amp; Risk Mitigation Benefit</w:t>
            </w:r>
          </w:p>
        </w:tc>
      </w:tr>
      <w:tr>
        <w:tc>
          <w:tcPr>
            <w:tcW w:type="dxa" w:w="2484"/>
            <w:tcMar>
              <w:top w:w="60" w:type="dxa"/>
              <w:bottom w:w="60" w:type="dxa"/>
              <w:left w:w="100" w:type="dxa"/>
              <w:right w:w="100" w:type="dxa"/>
            </w:tcMar>
            <w:shd w:fill="F8FAFC"/>
          </w:tcPr>
          <w:p>
            <w:pPr>
              <w:spacing w:before="40" w:after="40"/>
            </w:pPr>
            <w:r>
              <w:rPr>
                <w:color w:val="1E293B"/>
                <w:sz w:val="17"/>
              </w:rPr>
              <w:t>**Concurrent Public Engagement**</w:t>
            </w:r>
          </w:p>
        </w:tc>
        <w:tc>
          <w:tcPr>
            <w:tcW w:type="dxa" w:w="2484"/>
            <w:tcMar>
              <w:top w:w="60" w:type="dxa"/>
              <w:bottom w:w="60" w:type="dxa"/>
              <w:left w:w="100" w:type="dxa"/>
              <w:right w:w="100" w:type="dxa"/>
            </w:tcMar>
            <w:shd w:fill="F8FAFC"/>
          </w:tcPr>
          <w:p>
            <w:pPr>
              <w:spacing w:before="40" w:after="40"/>
            </w:pPr>
            <w:r>
              <w:rPr>
                <w:color w:val="1E293B"/>
                <w:sz w:val="17"/>
              </w:rPr>
              <w:t>Central server bottlenecks and crash risk under heavy concurrent traffic (&gt;100 users).</w:t>
            </w:r>
          </w:p>
        </w:tc>
        <w:tc>
          <w:tcPr>
            <w:tcW w:type="dxa" w:w="2484"/>
            <w:tcMar>
              <w:top w:w="60" w:type="dxa"/>
              <w:bottom w:w="60" w:type="dxa"/>
              <w:left w:w="100" w:type="dxa"/>
              <w:right w:w="100" w:type="dxa"/>
            </w:tcMar>
            <w:shd w:fill="F8FAFC"/>
          </w:tcPr>
          <w:p>
            <w:pPr>
              <w:spacing w:before="40" w:after="40"/>
            </w:pPr>
            <w:r>
              <w:rPr>
                <w:color w:val="1E293B"/>
                <w:sz w:val="17"/>
              </w:rPr>
              <w:t>**Infinite horizontal scaling** via stateless edge vector delivery and browser execution.</w:t>
            </w:r>
          </w:p>
        </w:tc>
        <w:tc>
          <w:tcPr>
            <w:tcW w:type="dxa" w:w="2484"/>
            <w:tcMar>
              <w:top w:w="60" w:type="dxa"/>
              <w:bottom w:w="60" w:type="dxa"/>
              <w:left w:w="100" w:type="dxa"/>
              <w:right w:w="100" w:type="dxa"/>
            </w:tcMar>
            <w:shd w:fill="F8FAFC"/>
          </w:tcPr>
          <w:p>
            <w:pPr>
              <w:spacing w:before="40" w:after="40"/>
            </w:pPr>
            <w:r>
              <w:rPr>
                <w:color w:val="1E293B"/>
                <w:sz w:val="17"/>
              </w:rPr>
              <w:t>**Eliminates Statutory Exhibition Outage Risk**: Guarantees uninterrupted access for 10,000+ simultaneous stakeholders during public exhibition periods without server failure.</w:t>
            </w:r>
          </w:p>
        </w:tc>
      </w:tr>
      <w:tr>
        <w:tc>
          <w:tcPr>
            <w:tcW w:type="dxa" w:w="2484"/>
            <w:tcMar>
              <w:top w:w="60" w:type="dxa"/>
              <w:bottom w:w="60" w:type="dxa"/>
              <w:left w:w="100" w:type="dxa"/>
              <w:right w:w="100" w:type="dxa"/>
            </w:tcMar>
            <w:shd w:fill="FFFFFF"/>
          </w:tcPr>
          <w:p>
            <w:pPr>
              <w:spacing w:before="40" w:after="40"/>
            </w:pPr>
            <w:r>
              <w:rPr>
                <w:color w:val="1E293B"/>
                <w:sz w:val="17"/>
              </w:rPr>
              <w:t>**Multi-Scenario Investment Due Diligence**</w:t>
            </w:r>
          </w:p>
        </w:tc>
        <w:tc>
          <w:tcPr>
            <w:tcW w:type="dxa" w:w="2484"/>
            <w:tcMar>
              <w:top w:w="60" w:type="dxa"/>
              <w:bottom w:w="60" w:type="dxa"/>
              <w:left w:w="100" w:type="dxa"/>
              <w:right w:w="100" w:type="dxa"/>
            </w:tcMar>
            <w:shd w:fill="FFFFFF"/>
          </w:tcPr>
          <w:p>
            <w:pPr>
              <w:spacing w:before="40" w:after="40"/>
            </w:pPr>
            <w:r>
              <w:rPr>
                <w:color w:val="1E293B"/>
                <w:sz w:val="17"/>
              </w:rPr>
              <w:t>Heavy database re-queries on every parameter change; 5–30 second latency per query.</w:t>
            </w:r>
          </w:p>
        </w:tc>
        <w:tc>
          <w:tcPr>
            <w:tcW w:type="dxa" w:w="2484"/>
            <w:tcMar>
              <w:top w:w="60" w:type="dxa"/>
              <w:bottom w:w="60" w:type="dxa"/>
              <w:left w:w="100" w:type="dxa"/>
              <w:right w:w="100" w:type="dxa"/>
            </w:tcMar>
            <w:shd w:fill="FFFFFF"/>
          </w:tcPr>
          <w:p>
            <w:pPr>
              <w:spacing w:before="40" w:after="40"/>
            </w:pPr>
            <w:r>
              <w:rPr>
                <w:color w:val="1E293B"/>
                <w:sz w:val="17"/>
              </w:rPr>
              <w:t>**Instant in-memory recalculation** (&lt;15ms via local DuckDB-WASM engine).</w:t>
            </w:r>
          </w:p>
        </w:tc>
        <w:tc>
          <w:tcPr>
            <w:tcW w:type="dxa" w:w="2484"/>
            <w:tcMar>
              <w:top w:w="60" w:type="dxa"/>
              <w:bottom w:w="60" w:type="dxa"/>
              <w:left w:w="100" w:type="dxa"/>
              <w:right w:w="100" w:type="dxa"/>
            </w:tcMar>
            <w:shd w:fill="FFFFFF"/>
          </w:tcPr>
          <w:p>
            <w:pPr>
              <w:spacing w:before="40" w:after="40"/>
            </w:pPr>
            <w:r>
              <w:rPr>
                <w:color w:val="1E293B"/>
                <w:sz w:val="17"/>
              </w:rPr>
              <w:t>**Zero-Latency Due Diligence**: Real-time sensitivity analysis and interactive slider re-weighting during executive boardroom and planning panel reviews.</w:t>
            </w:r>
          </w:p>
        </w:tc>
      </w:tr>
      <w:tr>
        <w:tc>
          <w:tcPr>
            <w:tcW w:type="dxa" w:w="2484"/>
            <w:tcMar>
              <w:top w:w="60" w:type="dxa"/>
              <w:bottom w:w="60" w:type="dxa"/>
              <w:left w:w="100" w:type="dxa"/>
              <w:right w:w="100" w:type="dxa"/>
            </w:tcMar>
            <w:shd w:fill="F8FAFC"/>
          </w:tcPr>
          <w:p>
            <w:pPr>
              <w:spacing w:before="40" w:after="40"/>
            </w:pPr>
            <w:r>
              <w:rPr>
                <w:color w:val="1E293B"/>
                <w:sz w:val="17"/>
              </w:rPr>
              <w:t>**Data Privacy &amp; Security Exposure**</w:t>
            </w:r>
          </w:p>
        </w:tc>
        <w:tc>
          <w:tcPr>
            <w:tcW w:type="dxa" w:w="2484"/>
            <w:tcMar>
              <w:top w:w="60" w:type="dxa"/>
              <w:bottom w:w="60" w:type="dxa"/>
              <w:left w:w="100" w:type="dxa"/>
              <w:right w:w="100" w:type="dxa"/>
            </w:tcMar>
            <w:shd w:fill="F8FAFC"/>
          </w:tcPr>
          <w:p>
            <w:pPr>
              <w:spacing w:before="40" w:after="40"/>
            </w:pPr>
            <w:r>
              <w:rPr>
                <w:color w:val="1E293B"/>
                <w:sz w:val="17"/>
              </w:rPr>
              <w:t>Proprietary scenarios and site weightings sent over network to central cloud databases.</w:t>
            </w:r>
          </w:p>
        </w:tc>
        <w:tc>
          <w:tcPr>
            <w:tcW w:type="dxa" w:w="2484"/>
            <w:tcMar>
              <w:top w:w="60" w:type="dxa"/>
              <w:bottom w:w="60" w:type="dxa"/>
              <w:left w:w="100" w:type="dxa"/>
              <w:right w:w="100" w:type="dxa"/>
            </w:tcMar>
            <w:shd w:fill="F8FAFC"/>
          </w:tcPr>
          <w:p>
            <w:pPr>
              <w:spacing w:before="40" w:after="40"/>
            </w:pPr>
            <w:r>
              <w:rPr>
                <w:color w:val="1E293B"/>
                <w:sz w:val="17"/>
              </w:rPr>
              <w:t>**100% Client-Side In-Memory Execution** (Scenario parameters never leave the user's browser).</w:t>
            </w:r>
          </w:p>
        </w:tc>
        <w:tc>
          <w:tcPr>
            <w:tcW w:type="dxa" w:w="2484"/>
            <w:tcMar>
              <w:top w:w="60" w:type="dxa"/>
              <w:bottom w:w="60" w:type="dxa"/>
              <w:left w:w="100" w:type="dxa"/>
              <w:right w:w="100" w:type="dxa"/>
            </w:tcMar>
            <w:shd w:fill="F8FAFC"/>
          </w:tcPr>
          <w:p>
            <w:pPr>
              <w:spacing w:before="40" w:after="40"/>
            </w:pPr>
            <w:r>
              <w:rPr>
                <w:color w:val="1E293B"/>
                <w:sz w:val="17"/>
              </w:rPr>
              <w:t>**Complete Sovereign Data Privacy**: Sensitive investment assumptions, proprietary candidate buffers, and internal scoring criteria remain strictly within local RAM.</w:t>
            </w:r>
          </w:p>
        </w:tc>
      </w:tr>
      <w:tr>
        <w:tc>
          <w:tcPr>
            <w:tcW w:type="dxa" w:w="2484"/>
            <w:tcMar>
              <w:top w:w="60" w:type="dxa"/>
              <w:bottom w:w="60" w:type="dxa"/>
              <w:left w:w="100" w:type="dxa"/>
              <w:right w:w="100" w:type="dxa"/>
            </w:tcMar>
            <w:shd w:fill="FFFFFF"/>
          </w:tcPr>
          <w:p>
            <w:pPr>
              <w:spacing w:before="40" w:after="40"/>
            </w:pPr>
            <w:r>
              <w:rPr>
                <w:color w:val="1E293B"/>
                <w:sz w:val="17"/>
              </w:rPr>
              <w:t>**Air-Gapped Portability**</w:t>
            </w:r>
          </w:p>
        </w:tc>
        <w:tc>
          <w:tcPr>
            <w:tcW w:type="dxa" w:w="2484"/>
            <w:tcMar>
              <w:top w:w="60" w:type="dxa"/>
              <w:bottom w:w="60" w:type="dxa"/>
              <w:left w:w="100" w:type="dxa"/>
              <w:right w:w="100" w:type="dxa"/>
            </w:tcMar>
            <w:shd w:fill="FFFFFF"/>
          </w:tcPr>
          <w:p>
            <w:pPr>
              <w:spacing w:before="40" w:after="40"/>
            </w:pPr>
            <w:r>
              <w:rPr>
                <w:color w:val="1E293B"/>
                <w:sz w:val="17"/>
              </w:rPr>
              <w:t>Requires persistent VPN access, server authentication, and network connectivity.</w:t>
            </w:r>
          </w:p>
        </w:tc>
        <w:tc>
          <w:tcPr>
            <w:tcW w:type="dxa" w:w="2484"/>
            <w:tcMar>
              <w:top w:w="60" w:type="dxa"/>
              <w:bottom w:w="60" w:type="dxa"/>
              <w:left w:w="100" w:type="dxa"/>
              <w:right w:w="100" w:type="dxa"/>
            </w:tcMar>
            <w:shd w:fill="FFFFFF"/>
          </w:tcPr>
          <w:p>
            <w:pPr>
              <w:spacing w:before="40" w:after="40"/>
            </w:pPr>
            <w:r>
              <w:rPr>
                <w:color w:val="1E293B"/>
                <w:sz w:val="17"/>
              </w:rPr>
              <w:t>**Self-contained, single-file HTML digital twins** with embedded micro-vectors.</w:t>
            </w:r>
          </w:p>
        </w:tc>
        <w:tc>
          <w:tcPr>
            <w:tcW w:type="dxa" w:w="2484"/>
            <w:tcMar>
              <w:top w:w="60" w:type="dxa"/>
              <w:bottom w:w="60" w:type="dxa"/>
              <w:left w:w="100" w:type="dxa"/>
              <w:right w:w="100" w:type="dxa"/>
            </w:tcMar>
            <w:shd w:fill="FFFFFF"/>
          </w:tcPr>
          <w:p>
            <w:pPr>
              <w:spacing w:before="40" w:after="40"/>
            </w:pPr>
            <w:r>
              <w:rPr>
                <w:color w:val="1E293B"/>
                <w:sz w:val="17"/>
              </w:rPr>
              <w:t>**100% Offline Portability**: Fully functional in air-gapped investment committee rooms, statutory planning hearings, and field inspections.</w:t>
            </w:r>
          </w:p>
        </w:tc>
      </w:tr>
      <w:tr>
        <w:tc>
          <w:tcPr>
            <w:tcW w:type="dxa" w:w="2484"/>
            <w:tcMar>
              <w:top w:w="60" w:type="dxa"/>
              <w:bottom w:w="60" w:type="dxa"/>
              <w:left w:w="100" w:type="dxa"/>
              <w:right w:w="100" w:type="dxa"/>
            </w:tcMar>
            <w:shd w:fill="F8FAFC"/>
          </w:tcPr>
          <w:p>
            <w:pPr>
              <w:spacing w:before="40" w:after="40"/>
            </w:pPr>
            <w:r>
              <w:rPr>
                <w:color w:val="1E293B"/>
                <w:sz w:val="17"/>
              </w:rPr>
              <w:t>**Upstream Data Ingestion**</w:t>
            </w:r>
          </w:p>
        </w:tc>
        <w:tc>
          <w:tcPr>
            <w:tcW w:type="dxa" w:w="2484"/>
            <w:tcMar>
              <w:top w:w="60" w:type="dxa"/>
              <w:bottom w:w="60" w:type="dxa"/>
              <w:left w:w="100" w:type="dxa"/>
              <w:right w:w="100" w:type="dxa"/>
            </w:tcMar>
            <w:shd w:fill="F8FAFC"/>
          </w:tcPr>
          <w:p>
            <w:pPr>
              <w:spacing w:before="40" w:after="40"/>
            </w:pPr>
            <w:r>
              <w:rPr>
                <w:color w:val="1E293B"/>
                <w:sz w:val="17"/>
              </w:rPr>
              <w:t>Monolithic GIS server licenses and continuous idle cluster overhead.</w:t>
            </w:r>
          </w:p>
        </w:tc>
        <w:tc>
          <w:tcPr>
            <w:tcW w:type="dxa" w:w="2484"/>
            <w:tcMar>
              <w:top w:w="60" w:type="dxa"/>
              <w:bottom w:w="60" w:type="dxa"/>
              <w:left w:w="100" w:type="dxa"/>
              <w:right w:w="100" w:type="dxa"/>
            </w:tcMar>
            <w:shd w:fill="F8FAFC"/>
          </w:tcPr>
          <w:p>
            <w:pPr>
              <w:spacing w:before="40" w:after="40"/>
            </w:pPr>
            <w:r>
              <w:rPr>
                <w:color w:val="1E293B"/>
                <w:sz w:val="17"/>
              </w:rPr>
              <w:t>**Serverless distributed batch processing** with cryptographic layer memoization.</w:t>
            </w:r>
          </w:p>
        </w:tc>
        <w:tc>
          <w:tcPr>
            <w:tcW w:type="dxa" w:w="2484"/>
            <w:tcMar>
              <w:top w:w="60" w:type="dxa"/>
              <w:bottom w:w="60" w:type="dxa"/>
              <w:left w:w="100" w:type="dxa"/>
              <w:right w:w="100" w:type="dxa"/>
            </w:tcMar>
            <w:shd w:fill="F8FAFC"/>
          </w:tcPr>
          <w:p>
            <w:pPr>
              <w:spacing w:before="40" w:after="40"/>
            </w:pPr>
            <w:r>
              <w:rPr>
                <w:color w:val="1E293B"/>
                <w:sz w:val="17"/>
              </w:rPr>
              <w:t>**Guaranteed Data Provenance**: Automated cryptographic hashing ensures that only modified spatial layers are re-computed, preserving complete audit trails.</w:t>
            </w:r>
          </w:p>
        </w:tc>
      </w:tr>
      <w:tr>
        <w:tc>
          <w:tcPr>
            <w:tcW w:type="dxa" w:w="2484"/>
            <w:tcMar>
              <w:top w:w="60" w:type="dxa"/>
              <w:bottom w:w="60" w:type="dxa"/>
              <w:left w:w="100" w:type="dxa"/>
              <w:right w:w="100" w:type="dxa"/>
            </w:tcMar>
            <w:shd w:fill="FFFFFF"/>
          </w:tcPr>
          <w:p>
            <w:pPr>
              <w:spacing w:before="40" w:after="40"/>
            </w:pPr>
            <w:r>
              <w:rPr>
                <w:color w:val="1E293B"/>
                <w:sz w:val="17"/>
              </w:rPr>
              <w:t>**Spatial AI Query Safety**</w:t>
            </w:r>
          </w:p>
        </w:tc>
        <w:tc>
          <w:tcPr>
            <w:tcW w:type="dxa" w:w="2484"/>
            <w:tcMar>
              <w:top w:w="60" w:type="dxa"/>
              <w:bottom w:w="60" w:type="dxa"/>
              <w:left w:w="100" w:type="dxa"/>
              <w:right w:w="100" w:type="dxa"/>
            </w:tcMar>
            <w:shd w:fill="FFFFFF"/>
          </w:tcPr>
          <w:p>
            <w:pPr>
              <w:spacing w:before="40" w:after="40"/>
            </w:pPr>
            <w:r>
              <w:rPr>
                <w:color w:val="1E293B"/>
                <w:sz w:val="17"/>
              </w:rPr>
              <w:t>Generative models hallucinate non-existent features, coordinates, and boundaries.</w:t>
            </w:r>
          </w:p>
        </w:tc>
        <w:tc>
          <w:tcPr>
            <w:tcW w:type="dxa" w:w="2484"/>
            <w:tcMar>
              <w:top w:w="60" w:type="dxa"/>
              <w:bottom w:w="60" w:type="dxa"/>
              <w:left w:w="100" w:type="dxa"/>
              <w:right w:w="100" w:type="dxa"/>
            </w:tcMar>
            <w:shd w:fill="FFFFFF"/>
          </w:tcPr>
          <w:p>
            <w:pPr>
              <w:spacing w:before="40" w:after="40"/>
            </w:pPr>
            <w:r>
              <w:rPr>
                <w:color w:val="1E293B"/>
                <w:sz w:val="17"/>
              </w:rPr>
              <w:t>**Deterministic AST-guarded Text-to-SQL compiler** executing against certified schemas.</w:t>
            </w:r>
          </w:p>
        </w:tc>
        <w:tc>
          <w:tcPr>
            <w:tcW w:type="dxa" w:w="2484"/>
            <w:tcMar>
              <w:top w:w="60" w:type="dxa"/>
              <w:bottom w:w="60" w:type="dxa"/>
              <w:left w:w="100" w:type="dxa"/>
              <w:right w:w="100" w:type="dxa"/>
            </w:tcMar>
            <w:shd w:fill="FFFFFF"/>
          </w:tcPr>
          <w:p>
            <w:pPr>
              <w:spacing w:before="40" w:after="40"/>
            </w:pPr>
            <w:r>
              <w:rPr>
                <w:color w:val="1E293B"/>
                <w:sz w:val="17"/>
              </w:rPr>
              <w:t>**Zero Spatial Hallucinations**: Structurally impossible for the AI to invent coordinates, alter cadastral boundaries, or reference uncertified datasets.</w:t>
            </w:r>
          </w:p>
        </w:tc>
      </w:tr>
    </w:tbl>
    <w:p/>
    <w:p>
      <w:pPr>
        <w:spacing w:before="40" w:after="80" w:line="276" w:lineRule="auto"/>
      </w:pPr>
      <w:r>
        <w:rPr>
          <w:color w:val="334155"/>
          <w:sz w:val="19"/>
        </w:rPr>
        <w:t>---</w:t>
      </w:r>
    </w:p>
    <w:p>
      <w:pPr>
        <w:pStyle w:val="Heading2"/>
        <w:keepNext/>
        <w:spacing w:before="240" w:after="80"/>
      </w:pPr>
      <w:r>
        <w:rPr>
          <w:b/>
          <w:color w:val="0284C7"/>
        </w:rPr>
        <w:t>3. Deterministic AI Safety &amp; The Read-Only Sandbox</w:t>
      </w:r>
    </w:p>
    <w:p>
      <w:pPr>
        <w:spacing w:before="40" w:after="80" w:line="276" w:lineRule="auto"/>
      </w:pPr>
      <w:r>
        <w:rPr>
          <w:color w:val="334155"/>
          <w:sz w:val="19"/>
        </w:rPr>
        <w:t>In national infrastructure planning, an AI hallucination is not an inconvenience—it is a catastrophic commercial and legal risk. Inventing a single substation connection or misidentifying a protected wetland can invalidate a multimillion-dollar site acquisition.</w:t>
      </w:r>
    </w:p>
    <w:p>
      <w:pPr>
        <w:spacing w:before="40" w:after="80" w:line="276" w:lineRule="auto"/>
      </w:pPr>
      <w:r>
        <w:rPr>
          <w:color w:val="334155"/>
          <w:sz w:val="19"/>
        </w:rPr>
        <w:t xml:space="preserve">AURA eliminates this risk by restricting the AI engine to a </w:t>
      </w:r>
      <w:r>
        <w:rPr>
          <w:b/>
          <w:color w:val="1E293B"/>
          <w:sz w:val="19"/>
        </w:rPr>
        <w:t>deterministic, read-only text-to-SQL compilation role</w:t>
      </w:r>
      <w:r>
        <w:rPr>
          <w:color w:val="334155"/>
          <w:sz w:val="19"/>
        </w:rPr>
        <w:t>:</w:t>
      </w:r>
    </w:p>
    <w:p>
      <w:pPr>
        <w:spacing w:before="80" w:after="120"/>
        <w:ind w:left="360"/>
      </w:pPr>
      <w:r>
        <w:rPr>
          <w:rFonts w:ascii="Consolas" w:hAnsi="Consolas"/>
          <w:color w:val="0F172A"/>
          <w:sz w:val="17"/>
        </w:rPr>
        <w:t>flowchart TD</w:t>
        <w:br/>
        <w:t xml:space="preserve">    UserPrompt["User Natural Language Prompt&lt;br/&gt;('Find parcels &gt;50ha within 2km of 330kV lines')"] --&gt; LLMCompiler["Spatial AI Text-to-SQL Compiler&lt;br/&gt;(Translates English to Parameterized SQL)"]</w:t>
        <w:br/>
        <w:t xml:space="preserve">    </w:t>
        <w:br/>
        <w:t xml:space="preserve">    LLMCompiler --&gt; ASTGuard["Deterministic AST &amp; Schema Firewall&lt;br/&gt;(Validates Column References &amp; Blocks Mutations)"]</w:t>
        <w:br/>
        <w:t xml:space="preserve">    </w:t>
        <w:br/>
        <w:t xml:space="preserve">    ASTGuard --&gt;|Query Approved| ReadOnlyEngine["Read-Only Analytical Engine&lt;br/&gt;(DuckDB-WASM / Sedona Lakehouse)"]</w:t>
        <w:br/>
        <w:t xml:space="preserve">    ASTGuard --&gt;|Schema Violation / Mutation Detected| RejectBlock["Immediate Query Rejection &amp; Error Boundary"]</w:t>
        <w:br/>
        <w:t xml:space="preserve">    </w:t>
        <w:br/>
        <w:t xml:space="preserve">    ReadOnlyEngine --&gt; CertifiedData["Pre-Certified GeoParquet &amp; Lakehouse Assets&lt;br/&gt;(Verified Cadastre, Substation &amp; Hazard Grids)"]</w:t>
        <w:br/>
        <w:t xml:space="preserve">    </w:t>
        <w:br/>
        <w:t xml:space="preserve">    CertifiedData --&gt; DeterministicResult["Deterministic Vector Records &amp; Visual Rendering&lt;br/&gt;(MapLibre GL Map &amp; Tabular Inspection Dock)"]</w:t>
        <w:br/>
        <w:br/>
        <w:t xml:space="preserve">    style UserPrompt fill:#1e293b,stroke:#3b82f6,color:#f8fafc</w:t>
        <w:br/>
        <w:t xml:space="preserve">    style LLMCompiler fill:#1e293b,stroke:#8b5cf6,color:#f8fafc</w:t>
        <w:br/>
        <w:t xml:space="preserve">    style ASTGuard fill:#b91c1c,stroke:#f87171,color:#ffffff,stroke-width:2px</w:t>
        <w:br/>
        <w:t xml:space="preserve">    style ReadOnlyEngine fill:#065f46,stroke:#34d399,color:#ffffff,stroke-width:2px</w:t>
        <w:br/>
        <w:t xml:space="preserve">    style CertifiedData fill:#1e293b,stroke:#38bdf8,color:#f8fafc</w:t>
        <w:br/>
        <w:t xml:space="preserve">    style DeterministicResult fill:#0284c7,stroke:#38bdf8,color:#ffffff</w:t>
      </w:r>
    </w:p>
    <w:p>
      <w:pPr>
        <w:pStyle w:val="Heading3"/>
        <w:keepNext/>
        <w:spacing w:before="160" w:after="40"/>
      </w:pPr>
      <w:r>
        <w:rPr>
          <w:b/>
          <w:color w:val="334155"/>
        </w:rPr>
        <w:t>Safety Guardrails &amp; Zero-Hallucination Guarantees</w:t>
      </w:r>
    </w:p>
    <w:p>
      <w:pPr>
        <w:pStyle w:val="ListNumber"/>
        <w:spacing w:before="20" w:after="40"/>
      </w:pPr>
      <w:r>
        <w:rPr>
          <w:b/>
          <w:color w:val="1E293B"/>
          <w:sz w:val="19"/>
        </w:rPr>
        <w:t>The 'Librarian' Isolation Principle</w:t>
      </w:r>
      <w:r>
        <w:rPr>
          <w:color w:val="334155"/>
          <w:sz w:val="19"/>
        </w:rPr>
        <w:t>: The AI agent acts strictly as a retrieval specialist accessing a verified repository. It is structurally prohibited from authoring or synthesizing new spatial facts.</w:t>
      </w:r>
    </w:p>
    <w:p>
      <w:pPr>
        <w:pStyle w:val="ListNumber"/>
        <w:spacing w:before="20" w:after="40"/>
      </w:pPr>
      <w:r>
        <w:rPr>
          <w:b/>
          <w:color w:val="1E293B"/>
          <w:sz w:val="19"/>
        </w:rPr>
        <w:t>Zero Coordinate Generation</w:t>
      </w:r>
      <w:r>
        <w:rPr>
          <w:color w:val="334155"/>
          <w:sz w:val="19"/>
        </w:rPr>
        <w:t>: The AI never generates raw latitudes, longitudes, or polygon boundaries. It translates user criteria into standard SQL filter clauses (</w:t>
      </w:r>
      <w:r>
        <w:rPr>
          <w:rFonts w:ascii="Consolas" w:hAnsi="Consolas"/>
          <w:color w:val="0E7490"/>
          <w:sz w:val="17"/>
        </w:rPr>
        <w:t>WHERE area_ha &gt;= 50 AND dist_to_substation_km &lt;= 2.0</w:t>
      </w:r>
      <w:r>
        <w:rPr>
          <w:color w:val="334155"/>
          <w:sz w:val="19"/>
        </w:rPr>
        <w:t>).</w:t>
      </w:r>
    </w:p>
    <w:p>
      <w:pPr>
        <w:pStyle w:val="ListNumber"/>
        <w:spacing w:before="20" w:after="40"/>
      </w:pPr>
      <w:r>
        <w:rPr>
          <w:b/>
          <w:color w:val="1E293B"/>
          <w:sz w:val="19"/>
        </w:rPr>
        <w:t>AST &amp; Schema Enforcement Firewall</w:t>
      </w:r>
      <w:r>
        <w:rPr>
          <w:color w:val="334155"/>
          <w:sz w:val="19"/>
        </w:rPr>
        <w:t>: Every generated query passes through an Abstract Syntax Tree (AST) validator before execution. Any mutation statement (</w:t>
      </w:r>
      <w:r>
        <w:rPr>
          <w:rFonts w:ascii="Consolas" w:hAnsi="Consolas"/>
          <w:color w:val="0E7490"/>
          <w:sz w:val="17"/>
        </w:rPr>
        <w:t>INSERT</w:t>
      </w:r>
      <w:r>
        <w:rPr>
          <w:color w:val="334155"/>
          <w:sz w:val="19"/>
        </w:rPr>
        <w:t xml:space="preserve">, </w:t>
      </w:r>
      <w:r>
        <w:rPr>
          <w:rFonts w:ascii="Consolas" w:hAnsi="Consolas"/>
          <w:color w:val="0E7490"/>
          <w:sz w:val="17"/>
        </w:rPr>
        <w:t>UPDATE</w:t>
      </w:r>
      <w:r>
        <w:rPr>
          <w:color w:val="334155"/>
          <w:sz w:val="19"/>
        </w:rPr>
        <w:t xml:space="preserve">, </w:t>
      </w:r>
      <w:r>
        <w:rPr>
          <w:rFonts w:ascii="Consolas" w:hAnsi="Consolas"/>
          <w:color w:val="0E7490"/>
          <w:sz w:val="17"/>
        </w:rPr>
        <w:t>DROP</w:t>
      </w:r>
      <w:r>
        <w:rPr>
          <w:color w:val="334155"/>
          <w:sz w:val="19"/>
        </w:rPr>
        <w:t xml:space="preserve">, </w:t>
      </w:r>
      <w:r>
        <w:rPr>
          <w:rFonts w:ascii="Consolas" w:hAnsi="Consolas"/>
          <w:color w:val="0E7490"/>
          <w:sz w:val="17"/>
        </w:rPr>
        <w:t>ALTER</w:t>
      </w:r>
      <w:r>
        <w:rPr>
          <w:color w:val="334155"/>
          <w:sz w:val="19"/>
        </w:rPr>
        <w:t>) or reference to unverified tables is intercepted and blocked.</w:t>
      </w:r>
    </w:p>
    <w:p>
      <w:pPr>
        <w:pStyle w:val="ListNumber"/>
        <w:spacing w:before="20" w:after="40"/>
      </w:pPr>
      <w:r>
        <w:rPr>
          <w:b/>
          <w:color w:val="1E293B"/>
          <w:sz w:val="19"/>
        </w:rPr>
        <w:t>Pre-Certified Asset Grounding</w:t>
      </w:r>
      <w:r>
        <w:rPr>
          <w:color w:val="334155"/>
          <w:sz w:val="19"/>
        </w:rPr>
        <w:t>: Queries execute exclusively against pre-computed, QA-verified GeoParquet and Iceberg blocks that have passed strict AST zero-mock data integrity scans.</w:t>
      </w:r>
    </w:p>
    <w:p>
      <w:pPr>
        <w:spacing w:before="40" w:after="80" w:line="276" w:lineRule="auto"/>
      </w:pPr>
      <w:r>
        <w:rPr>
          <w:color w:val="334155"/>
          <w:sz w:val="19"/>
        </w:rPr>
        <w:t>---</w:t>
      </w:r>
    </w:p>
    <w:p>
      <w:pPr>
        <w:pStyle w:val="Heading2"/>
        <w:keepNext/>
        <w:spacing w:before="240" w:after="80"/>
      </w:pPr>
      <w:r>
        <w:rPr>
          <w:b/>
          <w:color w:val="0284C7"/>
        </w:rPr>
        <w:t>4. Multi-Hazard Statutory Decision Framework (MCDA)</w:t>
      </w:r>
    </w:p>
    <w:p>
      <w:pPr>
        <w:spacing w:before="40" w:after="80" w:line="276" w:lineRule="auto"/>
      </w:pPr>
      <w:r>
        <w:rPr>
          <w:color w:val="334155"/>
          <w:sz w:val="19"/>
        </w:rPr>
        <w:t>To provide statutory-grade investment due diligence, AURA evaluates all candidate parcels against five certified Australian statutory hazard frameworks:</w:t>
      </w:r>
    </w:p>
    <w:p>
      <w:pPr>
        <w:spacing w:before="80" w:after="120"/>
        <w:ind w:left="360"/>
      </w:pPr>
      <w:r>
        <w:rPr>
          <w:rFonts w:ascii="Consolas" w:hAnsi="Consolas"/>
          <w:color w:val="0F172A"/>
          <w:sz w:val="17"/>
        </w:rPr>
        <w:t>graph LR</w:t>
        <w:br/>
        <w:t xml:space="preserve">    H1["1. 1% AEP Dynamic Flood Depth&lt;br/&gt;(ARR 2019 / NCC 2022 Part B1)"] --&gt; Composite["6-Factor Statutory MCDA Score&lt;br/&gt;(Weighted Investment Index)"]</w:t>
        <w:br/>
        <w:t xml:space="preserve">    H2["2. Seismic Ground Acceleration (PGA)&lt;br/&gt;(AS 1170.4:2007 / GA NSHA 2018)"] --&gt; Composite</w:t>
        <w:br/>
        <w:t xml:space="preserve">    H3["3. Extreme Cyclonic Wind Loading&lt;br/&gt;(AS/NZS 1170.2:2021 / GA TCHA 2018)"] --&gt; Composite</w:t>
        <w:br/>
        <w:t xml:space="preserve">    H4["4. Landslide &amp; Slope Stability&lt;br/&gt;(AGS 2007 Slope Guidelines)"] --&gt; Composite</w:t>
        <w:br/>
        <w:t xml:space="preserve">    H5["5. Bushfire Ember Attack (BAL)&lt;br/&gt;(AS 3959:2018 / NSW RFS PBP 2019)"] --&gt; Composite</w:t>
        <w:br/>
        <w:t xml:space="preserve">    H6["6. Infrastructure Proximity &amp; NDA&lt;br/&gt;(330kV Transmission, Water &amp; Net Pads)"] --&gt; Composite</w:t>
        <w:br/>
        <w:br/>
        <w:t xml:space="preserve">    style Composite fill:#0284c7,stroke:#38bdf8,color:#ffffff,stroke-width:2px</w:t>
      </w:r>
    </w:p>
    <w:p>
      <w:pPr>
        <w:pStyle w:val="ListNumber"/>
        <w:spacing w:before="20" w:after="40"/>
      </w:pPr>
      <w:r>
        <w:rPr>
          <w:b/>
          <w:color w:val="1E293B"/>
          <w:sz w:val="19"/>
        </w:rPr>
        <w:t>Flood Inundation (ARR 2019 / NCC 2022 Part B1)</w:t>
      </w:r>
      <w:r>
        <w:rPr>
          <w:color w:val="334155"/>
          <w:sz w:val="19"/>
        </w:rPr>
        <w:t>: Evaluates dynamic flood velocities and overland flow paths, verifying whether candidate footprints sit outside the statutory 1-in-100-year annual exceedance probability (AEP).</w:t>
      </w:r>
    </w:p>
    <w:p>
      <w:pPr>
        <w:pStyle w:val="ListNumber"/>
        <w:spacing w:before="20" w:after="40"/>
      </w:pPr>
      <w:r>
        <w:rPr>
          <w:b/>
          <w:color w:val="1E293B"/>
          <w:sz w:val="19"/>
        </w:rPr>
        <w:t>Seismic Hazard (AS 1170.4:2007 / GA NSHA 2018)</w:t>
      </w:r>
      <w:r>
        <w:rPr>
          <w:color w:val="334155"/>
          <w:sz w:val="19"/>
        </w:rPr>
        <w:t>: Extracts Peak Ground Acceleration (PGA) baselines for 1/500-year and 1/2500-year earthquake events based on Geoscience Australia sub-surface rock classifications.</w:t>
      </w:r>
    </w:p>
    <w:p>
      <w:pPr>
        <w:pStyle w:val="ListNumber"/>
        <w:spacing w:before="20" w:after="40"/>
      </w:pPr>
      <w:r>
        <w:rPr>
          <w:b/>
          <w:color w:val="1E293B"/>
          <w:sz w:val="19"/>
        </w:rPr>
        <w:t>Severe Wind &amp; Cyclone Loading (AS/NZS 1170.2:2021 / GA TCHA 2018)</w:t>
      </w:r>
      <w:r>
        <w:rPr>
          <w:color w:val="334155"/>
          <w:sz w:val="19"/>
        </w:rPr>
        <w:t>: Benchmarks regional design wind speeds ($V_{\text{des}}$) across Non-Cyclonic (Region A/B) and Tropical Cyclonic (Region C/D) zones.</w:t>
      </w:r>
    </w:p>
    <w:p>
      <w:pPr>
        <w:pStyle w:val="ListNumber"/>
        <w:spacing w:before="20" w:after="40"/>
      </w:pPr>
      <w:r>
        <w:rPr>
          <w:b/>
          <w:color w:val="1E293B"/>
          <w:sz w:val="19"/>
        </w:rPr>
        <w:t>Landslide &amp; Foundation Slope (AGS 2007 Guidelines)</w:t>
      </w:r>
      <w:r>
        <w:rPr>
          <w:color w:val="334155"/>
          <w:sz w:val="19"/>
        </w:rPr>
        <w:t>: Enforces strict &lt;5.0% slope thresholds for large-format concrete hardstands using 1-metre ELVIS LiDAR Digital Elevation Models.</w:t>
      </w:r>
    </w:p>
    <w:p>
      <w:pPr>
        <w:pStyle w:val="ListNumber"/>
        <w:spacing w:before="20" w:after="40"/>
      </w:pPr>
      <w:r>
        <w:rPr>
          <w:b/>
          <w:color w:val="1E293B"/>
          <w:sz w:val="19"/>
        </w:rPr>
        <w:t>Bushfire &amp; Ember Attack (AS 3959:2018 / NSW RFS PBP 2019)</w:t>
      </w:r>
      <w:r>
        <w:rPr>
          <w:color w:val="334155"/>
          <w:sz w:val="19"/>
        </w:rPr>
        <w:t>: Maps Asset Protection Zones (APZ) and Bushfire Attack Level (BAL) buffer distances against classified vegetation.</w:t>
      </w:r>
    </w:p>
    <w:p>
      <w:pPr>
        <w:pStyle w:val="ListNumber"/>
        <w:spacing w:before="20" w:after="40"/>
      </w:pPr>
      <w:r>
        <w:rPr>
          <w:b/>
          <w:color w:val="1E293B"/>
          <w:sz w:val="19"/>
        </w:rPr>
        <w:t>Infrastructure Connectivity &amp; Net Developable Yield</w:t>
      </w:r>
      <w:r>
        <w:rPr>
          <w:color w:val="334155"/>
          <w:sz w:val="19"/>
        </w:rPr>
        <w:t>: Evaluates direct proximity to 330kV/132kV transmission corridors, industrial recycled water supplies, and multi-modal heavy transport networks.</w:t>
      </w:r>
    </w:p>
    <w:p>
      <w:pPr>
        <w:spacing w:before="40" w:after="80" w:line="276" w:lineRule="auto"/>
      </w:pPr>
      <w:r>
        <w:rPr>
          <w:color w:val="334155"/>
          <w:sz w:val="19"/>
        </w:rPr>
        <w:t>---</w:t>
      </w:r>
    </w:p>
    <w:p>
      <w:pPr>
        <w:pStyle w:val="Heading2"/>
        <w:keepNext/>
        <w:spacing w:before="240" w:after="80"/>
      </w:pPr>
      <w:r>
        <w:rPr>
          <w:b/>
          <w:color w:val="0284C7"/>
        </w:rPr>
        <w:t>5. Summary &amp; Engagement</w:t>
      </w:r>
    </w:p>
    <w:p>
      <w:pPr>
        <w:spacing w:before="40" w:after="80" w:line="276" w:lineRule="auto"/>
      </w:pPr>
      <w:r>
        <w:rPr>
          <w:color w:val="334155"/>
          <w:sz w:val="19"/>
        </w:rPr>
        <w:t>AURA Siting Crafter transforms infrastructure site due diligence from an opaque, months-long consulting bottleneck into a transparent, instant, and deterministic engineering platform.</w:t>
      </w:r>
    </w:p>
    <w:p>
      <w:pPr>
        <w:pStyle w:val="ListBullet"/>
        <w:spacing w:before="20" w:after="40"/>
      </w:pPr>
      <w:r>
        <w:rPr>
          <w:b/>
          <w:color w:val="1E293B"/>
          <w:sz w:val="19"/>
        </w:rPr>
        <w:t>Explore the Live Cloud Platform</w:t>
      </w:r>
      <w:r>
        <w:rPr>
          <w:color w:val="334155"/>
          <w:sz w:val="19"/>
        </w:rPr>
        <w:t xml:space="preserve">: </w:t>
      </w:r>
      <w:r>
        <w:rPr>
          <w:color w:val="0284C7"/>
          <w:sz w:val="19"/>
          <w:u w:val="single"/>
        </w:rPr>
        <w:t>https://aura.getback2basics.net</w:t>
      </w:r>
    </w:p>
    <w:p>
      <w:pPr>
        <w:pStyle w:val="ListBullet"/>
        <w:spacing w:before="20" w:after="40"/>
      </w:pPr>
      <w:r>
        <w:rPr>
          <w:b/>
          <w:color w:val="1E293B"/>
          <w:sz w:val="19"/>
        </w:rPr>
        <w:t>Access the Open-Source Core</w:t>
      </w:r>
      <w:r>
        <w:rPr>
          <w:color w:val="334155"/>
          <w:sz w:val="19"/>
        </w:rPr>
        <w:t xml:space="preserve">: </w:t>
      </w:r>
      <w:r>
        <w:rPr>
          <w:color w:val="0284C7"/>
          <w:sz w:val="19"/>
          <w:u w:val="single"/>
        </w:rPr>
        <w:t>https://github.com/GetBack2Basics/aura_siting_crafter</w:t>
      </w:r>
    </w:p>
    <w:p>
      <w:pPr>
        <w:pStyle w:val="ListBullet"/>
        <w:spacing w:before="20" w:after="40"/>
      </w:pPr>
      <w:r>
        <w:rPr>
          <w:b/>
          <w:color w:val="1E293B"/>
          <w:sz w:val="19"/>
        </w:rPr>
        <w:t>Request a Certified Statutory Site Report</w:t>
      </w:r>
      <w:r>
        <w:rPr>
          <w:color w:val="334155"/>
          <w:sz w:val="19"/>
        </w:rPr>
        <w:t xml:space="preserve">: Contact the GetBack2Basics team via </w:t>
      </w:r>
      <w:r>
        <w:rPr>
          <w:color w:val="0284C7"/>
          <w:sz w:val="19"/>
          <w:u w:val="single"/>
        </w:rPr>
        <w:t>getback2basics.net</w:t>
      </w:r>
      <w:r>
        <w:rPr>
          <w:color w:val="334155"/>
          <w:sz w:val="19"/>
        </w:rPr>
        <w:t>.</w:t>
      </w:r>
    </w:p>
    <w:p>
      <w:r>
        <w:br w:type="page"/>
      </w:r>
    </w:p>
    <w:p>
      <w:pPr>
        <w:pStyle w:val="Heading1"/>
        <w:keepNext/>
        <w:spacing w:before="480" w:after="160"/>
      </w:pPr>
      <w:r>
        <w:rPr>
          <w:rFonts w:ascii="Outfit" w:hAnsi="Outfit"/>
          <w:b/>
          <w:color w:val="0F172A"/>
          <w:sz w:val="32"/>
        </w:rPr>
        <w:t>Part II: Project-Specific Site Siting &amp; Enhancement Methodologies</w:t>
      </w:r>
    </w:p>
    <w:p>
      <w:pPr>
        <w:pStyle w:val="Heading2"/>
      </w:pPr>
      <w:r>
        <w:t>Section 2.1: Macquarie Coal Complex Site Enhancement Plan</w:t>
      </w:r>
    </w:p>
    <w:p>
      <w:pPr>
        <w:pStyle w:val="Heading1"/>
        <w:keepNext/>
        <w:spacing w:before="320" w:after="120"/>
      </w:pPr>
      <w:r>
        <w:rPr>
          <w:b/>
          <w:color w:val="0F172A"/>
        </w:rPr>
        <w:t>Macquarie Coal Complex Transformation Precinct: Site-Level Enhancement Plan</w:t>
      </w:r>
    </w:p>
    <w:p>
      <w:pPr>
        <w:spacing w:before="40" w:after="80" w:line="276" w:lineRule="auto"/>
      </w:pPr>
      <w:r>
        <w:rPr>
          <w:b/>
          <w:color w:val="1E293B"/>
          <w:sz w:val="19"/>
        </w:rPr>
        <w:t>Comprehensive Review of Public Exhibition Technical Studies &amp; Geospatial Siting Blueprint</w:t>
      </w:r>
    </w:p>
    <w:p>
      <w:pPr>
        <w:spacing w:before="40" w:after="80" w:line="276" w:lineRule="auto"/>
      </w:pPr>
      <w:r>
        <w:rPr>
          <w:b/>
          <w:color w:val="1E293B"/>
          <w:sz w:val="19"/>
        </w:rPr>
        <w:t>Author:</w:t>
      </w:r>
      <w:r>
        <w:rPr>
          <w:color w:val="334155"/>
          <w:sz w:val="19"/>
        </w:rPr>
        <w:t xml:space="preserve"> George Chandeep Corea (Geospatial Data Lead, *GetBack2Basics* | Project Lead, *AURA Siting Crafter*)</w:t>
      </w:r>
    </w:p>
    <w:p>
      <w:pPr>
        <w:spacing w:before="40" w:after="80" w:line="276" w:lineRule="auto"/>
      </w:pPr>
      <w:r>
        <w:rPr>
          <w:b/>
          <w:color w:val="1E293B"/>
          <w:sz w:val="19"/>
        </w:rPr>
        <w:t>Context:</w:t>
      </w:r>
      <w:r>
        <w:rPr>
          <w:color w:val="334155"/>
          <w:sz w:val="19"/>
        </w:rPr>
        <w:t xml:space="preserve"> Review and Master Plan Enhancement for NSW Department of Planning, Housing and Infrastructure (DPHI), Lake Macquarie City Council, Net Zero Economy Authority (NZEA), and Glencore</w:t>
      </w:r>
    </w:p>
    <w:p>
      <w:pPr>
        <w:spacing w:before="40" w:after="80" w:line="276" w:lineRule="auto"/>
      </w:pPr>
      <w:r>
        <w:rPr>
          <w:b/>
          <w:color w:val="1E293B"/>
          <w:sz w:val="19"/>
        </w:rPr>
        <w:t>Reference Case:</w:t>
      </w:r>
      <w:r>
        <w:rPr>
          <w:color w:val="334155"/>
          <w:sz w:val="19"/>
        </w:rPr>
        <w:t xml:space="preserve"> Planning Proposal PPR-Macquarie Coal Complex Transformation Precinct (Post-Exhibition July/August 2026)</w:t>
      </w:r>
    </w:p>
    <w:p>
      <w:pPr>
        <w:spacing w:before="40" w:after="80" w:line="276" w:lineRule="auto"/>
      </w:pPr>
      <w:r>
        <w:rPr>
          <w:b/>
          <w:color w:val="1E293B"/>
          <w:sz w:val="19"/>
        </w:rPr>
        <w:t>Date:</w:t>
      </w:r>
      <w:r>
        <w:rPr>
          <w:color w:val="334155"/>
          <w:sz w:val="19"/>
        </w:rPr>
        <w:t xml:space="preserve"> September 2026</w:t>
      </w:r>
    </w:p>
    <w:p>
      <w:pPr>
        <w:spacing w:before="40" w:after="80" w:line="276" w:lineRule="auto"/>
      </w:pPr>
      <w:r>
        <w:rPr>
          <w:b/>
          <w:color w:val="1E293B"/>
          <w:sz w:val="19"/>
        </w:rPr>
        <w:t>Interactive Geospatial Viewer:</w:t>
      </w:r>
      <w:r>
        <w:rPr>
          <w:color w:val="334155"/>
          <w:sz w:val="19"/>
        </w:rPr>
        <w:t xml:space="preserve"> </w:t>
      </w:r>
      <w:r>
        <w:rPr>
          <w:color w:val="0284C7"/>
          <w:sz w:val="19"/>
          <w:u w:val="single"/>
        </w:rPr>
        <w:t>https://storage.googleapis.com/aura-siting-crafter-geolibre-app/index.html</w:t>
      </w:r>
    </w:p>
    <w:p>
      <w:pPr>
        <w:spacing w:before="40" w:after="80" w:line="276" w:lineRule="auto"/>
      </w:pPr>
      <w:r>
        <w:rPr>
          <w:color w:val="334155"/>
          <w:sz w:val="19"/>
        </w:rPr>
        <w:t>---</w:t>
      </w:r>
    </w:p>
    <w:p>
      <w:pPr>
        <w:pStyle w:val="Heading2"/>
        <w:keepNext/>
        <w:spacing w:before="240" w:after="80"/>
      </w:pPr>
      <w:r>
        <w:rPr>
          <w:b/>
          <w:color w:val="0284C7"/>
        </w:rPr>
        <w:t>1. Executive Summary &amp; Document Review Synthesis</w:t>
      </w:r>
    </w:p>
    <w:p>
      <w:pPr>
        <w:spacing w:before="40" w:after="80" w:line="276" w:lineRule="auto"/>
      </w:pPr>
      <w:r>
        <w:rPr>
          <w:color w:val="334155"/>
          <w:sz w:val="19"/>
        </w:rPr>
        <w:t xml:space="preserve">The public exhibition of the </w:t>
      </w:r>
      <w:r>
        <w:rPr>
          <w:b/>
          <w:color w:val="1E293B"/>
          <w:sz w:val="19"/>
        </w:rPr>
        <w:t>Macquarie Coal Complex Transformation Precinct Master Plan</w:t>
      </w:r>
      <w:r>
        <w:rPr>
          <w:color w:val="334155"/>
          <w:sz w:val="19"/>
        </w:rPr>
        <w:t xml:space="preserve"> and </w:t>
      </w:r>
      <w:r>
        <w:rPr>
          <w:b/>
          <w:color w:val="1E293B"/>
          <w:sz w:val="19"/>
        </w:rPr>
        <w:t>Explanation of Intended Effects (EIE)</w:t>
      </w:r>
      <w:r>
        <w:rPr>
          <w:color w:val="334155"/>
          <w:sz w:val="19"/>
        </w:rPr>
        <w:t xml:space="preserve"> represents a landmark post-mining transition initiative in New South Wales. Encompassing over </w:t>
      </w:r>
      <w:r>
        <w:rPr>
          <w:b/>
          <w:color w:val="1E293B"/>
          <w:sz w:val="19"/>
        </w:rPr>
        <w:t>1,100 hectares</w:t>
      </w:r>
      <w:r>
        <w:rPr>
          <w:color w:val="334155"/>
          <w:sz w:val="19"/>
        </w:rPr>
        <w:t xml:space="preserve"> of former coal mining land across four historic operations (West Wallsend Colliery, Macquarie Coal Preparation Plant [MCPP], Westside Mine, and Teralba Colliery Northgate/Southgate), the precinct is slated to unlock </w:t>
      </w:r>
      <w:r>
        <w:rPr>
          <w:b/>
          <w:color w:val="1E293B"/>
          <w:sz w:val="19"/>
        </w:rPr>
        <w:t>~500 hectares of E4 General Industrial land</w:t>
      </w:r>
      <w:r>
        <w:rPr>
          <w:color w:val="334155"/>
          <w:sz w:val="19"/>
        </w:rPr>
        <w:t xml:space="preserve"> and generate </w:t>
      </w:r>
      <w:r>
        <w:rPr>
          <w:b/>
          <w:color w:val="1E293B"/>
          <w:sz w:val="19"/>
        </w:rPr>
        <w:t>1,130+ direct jobs</w:t>
      </w:r>
      <w:r>
        <w:rPr>
          <w:color w:val="334155"/>
          <w:sz w:val="19"/>
        </w:rPr>
        <w:t>.</w:t>
      </w:r>
    </w:p>
    <w:p>
      <w:pPr>
        <w:spacing w:before="40" w:after="80" w:line="276" w:lineRule="auto"/>
      </w:pPr>
      <w:r>
        <w:rPr>
          <w:color w:val="334155"/>
          <w:sz w:val="19"/>
        </w:rPr>
        <w:t xml:space="preserve">A rigorous, multi-disciplinary review of all </w:t>
      </w:r>
      <w:r>
        <w:rPr>
          <w:b/>
          <w:color w:val="1E293B"/>
          <w:sz w:val="19"/>
        </w:rPr>
        <w:t>15 statutory exhibition documents and technical assessments</w:t>
      </w:r>
      <w:r>
        <w:rPr>
          <w:color w:val="334155"/>
          <w:sz w:val="19"/>
        </w:rPr>
        <w:t xml:space="preserve"> (prepared by Aurecon Australasia for DPHI and Council) confirms the immense strategic potential of the site, but also highlights critical site-level friction points:</w:t>
      </w:r>
    </w:p>
    <w:p>
      <w:pPr>
        <w:pStyle w:val="ListNumber"/>
        <w:spacing w:before="20" w:after="40"/>
      </w:pPr>
      <w:r>
        <w:rPr>
          <w:b/>
          <w:color w:val="1E293B"/>
          <w:sz w:val="19"/>
        </w:rPr>
        <w:t>Gross vs. Net Developable Area Ambiguity:</w:t>
      </w:r>
      <w:r>
        <w:rPr>
          <w:color w:val="334155"/>
          <w:sz w:val="19"/>
        </w:rPr>
        <w:t xml:space="preserve"> Gross ~500 ha zoning figures mask significant constructability deductions (unconsolidated Tailings Storage Facility [TSF], slope gradients &gt;5%, riparian setbacks, dam break zones, and mine subsidence overlays).</w:t>
      </w:r>
    </w:p>
    <w:p>
      <w:pPr>
        <w:pStyle w:val="ListNumber"/>
        <w:spacing w:before="20" w:after="40"/>
      </w:pPr>
      <w:r>
        <w:rPr>
          <w:b/>
          <w:color w:val="1E293B"/>
          <w:sz w:val="19"/>
        </w:rPr>
        <w:t>Infrastructure Servicing Gaps:</w:t>
      </w:r>
      <w:r>
        <w:rPr>
          <w:color w:val="334155"/>
          <w:sz w:val="19"/>
        </w:rPr>
        <w:t xml:space="preserve"> Power transmission (330kV / 132kV) is adjacent but lacks a dedicated multi-user terminal substation strategy; water and sewer networks require capital extensions; telecommunications relies entirely on developer-led piecemeal delivery.</w:t>
      </w:r>
    </w:p>
    <w:p>
      <w:pPr>
        <w:pStyle w:val="ListNumber"/>
        <w:spacing w:before="20" w:after="40"/>
      </w:pPr>
      <w:r>
        <w:rPr>
          <w:b/>
          <w:color w:val="1E293B"/>
          <w:sz w:val="19"/>
        </w:rPr>
        <w:t>Underutilized Strategic Assets:</w:t>
      </w:r>
      <w:r>
        <w:rPr>
          <w:color w:val="334155"/>
          <w:sz w:val="19"/>
        </w:rPr>
        <w:t xml:space="preserve"> The existing </w:t>
      </w:r>
      <w:r>
        <w:rPr>
          <w:b/>
          <w:color w:val="1E293B"/>
          <w:sz w:val="19"/>
        </w:rPr>
        <w:t>1.8 km heavy rail loop and siding</w:t>
      </w:r>
      <w:r>
        <w:rPr>
          <w:color w:val="334155"/>
          <w:sz w:val="19"/>
        </w:rPr>
        <w:t xml:space="preserve"> and the </w:t>
      </w:r>
      <w:r>
        <w:rPr>
          <w:b/>
          <w:color w:val="1E293B"/>
          <w:sz w:val="19"/>
        </w:rPr>
        <w:t>grade-separated internal mine haul road</w:t>
      </w:r>
      <w:r>
        <w:rPr>
          <w:color w:val="334155"/>
          <w:sz w:val="19"/>
        </w:rPr>
        <w:t xml:space="preserve"> are not fully optimized as primary catalysts for regional intermodal freight and community-bypassing arterial movement.</w:t>
      </w:r>
    </w:p>
    <w:p>
      <w:pPr>
        <w:pStyle w:val="ListNumber"/>
        <w:spacing w:before="20" w:after="40"/>
      </w:pPr>
      <w:r>
        <w:rPr>
          <w:b/>
          <w:color w:val="1E293B"/>
          <w:sz w:val="19"/>
        </w:rPr>
        <w:t>Energy &amp; Water Circularity Deficits:</w:t>
      </w:r>
      <w:r>
        <w:rPr>
          <w:color w:val="334155"/>
          <w:sz w:val="19"/>
        </w:rPr>
        <w:t xml:space="preserve"> Current plans do not mandate non-potable closed-loop industrial cooling or capitalize on the unique 120m hydraulic head between the upper ridgeline and the Westside open-cut void for pumped hydro energy storage (PHES).</w:t>
      </w:r>
    </w:p>
    <w:p>
      <w:pPr>
        <w:spacing w:before="40" w:after="80" w:line="276" w:lineRule="auto"/>
      </w:pPr>
      <w:r>
        <w:rPr>
          <w:color w:val="334155"/>
          <w:sz w:val="19"/>
        </w:rPr>
        <w:t xml:space="preserve">This </w:t>
      </w:r>
      <w:r>
        <w:rPr>
          <w:b/>
          <w:color w:val="1E293B"/>
          <w:sz w:val="19"/>
        </w:rPr>
        <w:t>Site-Level Enhancement Plan</w:t>
      </w:r>
      <w:r>
        <w:rPr>
          <w:color w:val="334155"/>
          <w:sz w:val="19"/>
        </w:rPr>
        <w:t xml:space="preserve"> delivers an evidence-based, geospatial blueprint to resolve these constraints, accelerate development approvals, and elevate the precinct into Australia's premier green-industrial and sovereign digital infrastructure hub.</w:t>
      </w:r>
    </w:p>
    <w:p>
      <w:pPr>
        <w:spacing w:before="40" w:after="80" w:line="276" w:lineRule="auto"/>
      </w:pPr>
      <w:r>
        <w:rPr>
          <w:color w:val="334155"/>
          <w:sz w:val="19"/>
        </w:rPr>
        <w:t>---</w:t>
      </w:r>
    </w:p>
    <w:p>
      <w:pPr>
        <w:pStyle w:val="Heading2"/>
        <w:keepNext/>
        <w:spacing w:before="240" w:after="80"/>
      </w:pPr>
      <w:r>
        <w:rPr>
          <w:b/>
          <w:color w:val="0284C7"/>
        </w:rPr>
        <w:t>2. Technical Studies Review Matrix (All 15 Exhibition Documents)</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60" w:type="dxa"/>
              <w:bottom w:w="60" w:type="dxa"/>
              <w:left w:w="100" w:type="dxa"/>
              <w:right w:w="100" w:type="dxa"/>
            </w:tcMar>
            <w:shd w:fill="0F172A"/>
          </w:tcPr>
          <w:p>
            <w:pPr>
              <w:spacing w:before="40" w:after="40"/>
            </w:pPr>
            <w:r>
              <w:rPr>
                <w:b/>
                <w:color w:val="F8FAFC"/>
                <w:sz w:val="18"/>
              </w:rPr>
              <w:t>Document</w:t>
            </w:r>
          </w:p>
        </w:tc>
        <w:tc>
          <w:tcPr>
            <w:tcW w:type="dxa" w:w="2484"/>
            <w:tcMar>
              <w:top w:w="60" w:type="dxa"/>
              <w:bottom w:w="60" w:type="dxa"/>
              <w:left w:w="100" w:type="dxa"/>
              <w:right w:w="100" w:type="dxa"/>
            </w:tcMar>
            <w:shd w:fill="0F172A"/>
          </w:tcPr>
          <w:p>
            <w:pPr>
              <w:spacing w:before="40" w:after="40"/>
            </w:pPr>
            <w:r>
              <w:rPr>
                <w:b/>
                <w:color w:val="F8FAFC"/>
                <w:sz w:val="18"/>
              </w:rPr>
              <w:t>Page Count</w:t>
            </w:r>
          </w:p>
        </w:tc>
        <w:tc>
          <w:tcPr>
            <w:tcW w:type="dxa" w:w="2484"/>
            <w:tcMar>
              <w:top w:w="60" w:type="dxa"/>
              <w:bottom w:w="60" w:type="dxa"/>
              <w:left w:w="100" w:type="dxa"/>
              <w:right w:w="100" w:type="dxa"/>
            </w:tcMar>
            <w:shd w:fill="0F172A"/>
          </w:tcPr>
          <w:p>
            <w:pPr>
              <w:spacing w:before="40" w:after="40"/>
            </w:pPr>
            <w:r>
              <w:rPr>
                <w:b/>
                <w:color w:val="F8FAFC"/>
                <w:sz w:val="18"/>
              </w:rPr>
              <w:t>Key Baseline Findings &amp; Constraints</w:t>
            </w:r>
          </w:p>
        </w:tc>
        <w:tc>
          <w:tcPr>
            <w:tcW w:type="dxa" w:w="2484"/>
            <w:tcMar>
              <w:top w:w="60" w:type="dxa"/>
              <w:bottom w:w="60" w:type="dxa"/>
              <w:left w:w="100" w:type="dxa"/>
              <w:right w:w="100" w:type="dxa"/>
            </w:tcMar>
            <w:shd w:fill="0F172A"/>
          </w:tcPr>
          <w:p>
            <w:pPr>
              <w:spacing w:before="40" w:after="40"/>
            </w:pPr>
            <w:r>
              <w:rPr>
                <w:b/>
                <w:color w:val="F8FAFC"/>
                <w:sz w:val="18"/>
              </w:rPr>
              <w:t>Site-Level Enhancement Opportunity</w:t>
            </w:r>
          </w:p>
        </w:tc>
      </w:tr>
      <w:tr>
        <w:tc>
          <w:tcPr>
            <w:tcW w:type="dxa" w:w="2484"/>
            <w:tcMar>
              <w:top w:w="60" w:type="dxa"/>
              <w:bottom w:w="60" w:type="dxa"/>
              <w:left w:w="100" w:type="dxa"/>
              <w:right w:w="100" w:type="dxa"/>
            </w:tcMar>
            <w:shd w:fill="F8FAFC"/>
          </w:tcPr>
          <w:p>
            <w:pPr>
              <w:spacing w:before="40" w:after="40"/>
            </w:pPr>
            <w:r>
              <w:rPr>
                <w:color w:val="1E293B"/>
                <w:sz w:val="17"/>
              </w:rPr>
              <w:t>**1. Master Plan**</w:t>
            </w:r>
          </w:p>
        </w:tc>
        <w:tc>
          <w:tcPr>
            <w:tcW w:type="dxa" w:w="2484"/>
            <w:tcMar>
              <w:top w:w="60" w:type="dxa"/>
              <w:bottom w:w="60" w:type="dxa"/>
              <w:left w:w="100" w:type="dxa"/>
              <w:right w:w="100" w:type="dxa"/>
            </w:tcMar>
            <w:shd w:fill="F8FAFC"/>
          </w:tcPr>
          <w:p>
            <w:pPr>
              <w:spacing w:before="40" w:after="40"/>
            </w:pPr>
            <w:r>
              <w:rPr>
                <w:color w:val="1E293B"/>
                <w:sz w:val="17"/>
              </w:rPr>
              <w:t>60</w:t>
            </w:r>
          </w:p>
        </w:tc>
        <w:tc>
          <w:tcPr>
            <w:tcW w:type="dxa" w:w="2484"/>
            <w:tcMar>
              <w:top w:w="60" w:type="dxa"/>
              <w:bottom w:w="60" w:type="dxa"/>
              <w:left w:w="100" w:type="dxa"/>
              <w:right w:w="100" w:type="dxa"/>
            </w:tcMar>
            <w:shd w:fill="F8FAFC"/>
          </w:tcPr>
          <w:p>
            <w:pPr>
              <w:spacing w:before="40" w:after="40"/>
            </w:pPr>
            <w:r>
              <w:rPr>
                <w:color w:val="1E293B"/>
                <w:sz w:val="17"/>
              </w:rPr>
              <w:t>Establishes 4 sub-precincts (MCPP/TSF, Westside, Teralba North, Teralba Southgate); envisions high-tech industrial, clean energy, and open space.</w:t>
            </w:r>
          </w:p>
        </w:tc>
        <w:tc>
          <w:tcPr>
            <w:tcW w:type="dxa" w:w="2484"/>
            <w:tcMar>
              <w:top w:w="60" w:type="dxa"/>
              <w:bottom w:w="60" w:type="dxa"/>
              <w:left w:w="100" w:type="dxa"/>
              <w:right w:w="100" w:type="dxa"/>
            </w:tcMar>
            <w:shd w:fill="F8FAFC"/>
          </w:tcPr>
          <w:p>
            <w:pPr>
              <w:spacing w:before="40" w:after="40"/>
            </w:pPr>
            <w:r>
              <w:rPr>
                <w:color w:val="1E293B"/>
                <w:sz w:val="17"/>
              </w:rPr>
              <w:t>Transition from broad zoning to **10 shovel-ready, geotechnical-certified Net Developable Pads (NDPs)** with explicit staging.</w:t>
            </w:r>
          </w:p>
        </w:tc>
      </w:tr>
      <w:tr>
        <w:tc>
          <w:tcPr>
            <w:tcW w:type="dxa" w:w="2484"/>
            <w:tcMar>
              <w:top w:w="60" w:type="dxa"/>
              <w:bottom w:w="60" w:type="dxa"/>
              <w:left w:w="100" w:type="dxa"/>
              <w:right w:w="100" w:type="dxa"/>
            </w:tcMar>
            <w:shd w:fill="FFFFFF"/>
          </w:tcPr>
          <w:p>
            <w:pPr>
              <w:spacing w:before="40" w:after="40"/>
            </w:pPr>
            <w:r>
              <w:rPr>
                <w:color w:val="1E293B"/>
                <w:sz w:val="17"/>
              </w:rPr>
              <w:t>**2. EIE (Rezoning)**</w:t>
            </w:r>
          </w:p>
        </w:tc>
        <w:tc>
          <w:tcPr>
            <w:tcW w:type="dxa" w:w="2484"/>
            <w:tcMar>
              <w:top w:w="60" w:type="dxa"/>
              <w:bottom w:w="60" w:type="dxa"/>
              <w:left w:w="100" w:type="dxa"/>
              <w:right w:w="100" w:type="dxa"/>
            </w:tcMar>
            <w:shd w:fill="FFFFFF"/>
          </w:tcPr>
          <w:p>
            <w:pPr>
              <w:spacing w:before="40" w:after="40"/>
            </w:pPr>
            <w:r>
              <w:rPr>
                <w:color w:val="1E293B"/>
                <w:sz w:val="17"/>
              </w:rPr>
              <w:t>25</w:t>
            </w:r>
          </w:p>
        </w:tc>
        <w:tc>
          <w:tcPr>
            <w:tcW w:type="dxa" w:w="2484"/>
            <w:tcMar>
              <w:top w:w="60" w:type="dxa"/>
              <w:bottom w:w="60" w:type="dxa"/>
              <w:left w:w="100" w:type="dxa"/>
              <w:right w:w="100" w:type="dxa"/>
            </w:tcMar>
            <w:shd w:fill="FFFFFF"/>
          </w:tcPr>
          <w:p>
            <w:pPr>
              <w:spacing w:before="40" w:after="40"/>
            </w:pPr>
            <w:r>
              <w:rPr>
                <w:color w:val="1E293B"/>
                <w:sz w:val="17"/>
              </w:rPr>
              <w:t>Rezones land to E4 General Industrial, C2 Conservation, and SP2 Infrastructure under Lake Macquarie LEP 2014 &amp; Regional Precincts SEPP.</w:t>
            </w:r>
          </w:p>
        </w:tc>
        <w:tc>
          <w:tcPr>
            <w:tcW w:type="dxa" w:w="2484"/>
            <w:tcMar>
              <w:top w:w="60" w:type="dxa"/>
              <w:bottom w:w="60" w:type="dxa"/>
              <w:left w:w="100" w:type="dxa"/>
              <w:right w:w="100" w:type="dxa"/>
            </w:tcMar>
            <w:shd w:fill="FFFFFF"/>
          </w:tcPr>
          <w:p>
            <w:pPr>
              <w:spacing w:before="40" w:after="40"/>
            </w:pPr>
            <w:r>
              <w:rPr>
                <w:color w:val="1E293B"/>
                <w:sz w:val="17"/>
              </w:rPr>
              <w:t>Embed site-specific DCP clauses for **500m acoustic buffers, closed-loop cooling mandates, and expedited Subsidence Advisory protocols**.</w:t>
            </w:r>
          </w:p>
        </w:tc>
      </w:tr>
      <w:tr>
        <w:tc>
          <w:tcPr>
            <w:tcW w:type="dxa" w:w="2484"/>
            <w:tcMar>
              <w:top w:w="60" w:type="dxa"/>
              <w:bottom w:w="60" w:type="dxa"/>
              <w:left w:w="100" w:type="dxa"/>
              <w:right w:w="100" w:type="dxa"/>
            </w:tcMar>
            <w:shd w:fill="F8FAFC"/>
          </w:tcPr>
          <w:p>
            <w:pPr>
              <w:spacing w:before="40" w:after="40"/>
            </w:pPr>
            <w:r>
              <w:rPr>
                <w:color w:val="1E293B"/>
                <w:sz w:val="17"/>
              </w:rPr>
              <w:t>**3. Utilities Engineering**</w:t>
            </w:r>
          </w:p>
        </w:tc>
        <w:tc>
          <w:tcPr>
            <w:tcW w:type="dxa" w:w="2484"/>
            <w:tcMar>
              <w:top w:w="60" w:type="dxa"/>
              <w:bottom w:w="60" w:type="dxa"/>
              <w:left w:w="100" w:type="dxa"/>
              <w:right w:w="100" w:type="dxa"/>
            </w:tcMar>
            <w:shd w:fill="F8FAFC"/>
          </w:tcPr>
          <w:p>
            <w:pPr>
              <w:spacing w:before="40" w:after="40"/>
            </w:pPr>
            <w:r>
              <w:rPr>
                <w:color w:val="1E293B"/>
                <w:sz w:val="17"/>
              </w:rPr>
              <w:t>74</w:t>
            </w:r>
          </w:p>
        </w:tc>
        <w:tc>
          <w:tcPr>
            <w:tcW w:type="dxa" w:w="2484"/>
            <w:tcMar>
              <w:top w:w="60" w:type="dxa"/>
              <w:bottom w:w="60" w:type="dxa"/>
              <w:left w:w="100" w:type="dxa"/>
              <w:right w:w="100" w:type="dxa"/>
            </w:tcMar>
            <w:shd w:fill="F8FAFC"/>
          </w:tcPr>
          <w:p>
            <w:pPr>
              <w:spacing w:before="40" w:after="40"/>
            </w:pPr>
            <w:r>
              <w:rPr>
                <w:color w:val="1E293B"/>
                <w:sz w:val="17"/>
              </w:rPr>
              <w:t>Adjacent Transgrid 330kV and Ausgrid 132kV lines; 375mm Hunter Water potable main along Cessnock Rd; developer-led NBN pit &amp; pipe.</w:t>
            </w:r>
          </w:p>
        </w:tc>
        <w:tc>
          <w:tcPr>
            <w:tcW w:type="dxa" w:w="2484"/>
            <w:tcMar>
              <w:top w:w="60" w:type="dxa"/>
              <w:bottom w:w="60" w:type="dxa"/>
              <w:left w:w="100" w:type="dxa"/>
              <w:right w:w="100" w:type="dxa"/>
            </w:tcMar>
            <w:shd w:fill="F8FAFC"/>
          </w:tcPr>
          <w:p>
            <w:pPr>
              <w:spacing w:before="40" w:after="40"/>
            </w:pPr>
            <w:r>
              <w:rPr>
                <w:color w:val="1E293B"/>
                <w:sz w:val="17"/>
              </w:rPr>
              <w:t>Master plan a **central 200–500 MVA multi-user substation hub** and a **dual-pipe tertiary-treated recycled water network**.</w:t>
            </w:r>
          </w:p>
        </w:tc>
      </w:tr>
      <w:tr>
        <w:tc>
          <w:tcPr>
            <w:tcW w:type="dxa" w:w="2484"/>
            <w:tcMar>
              <w:top w:w="60" w:type="dxa"/>
              <w:bottom w:w="60" w:type="dxa"/>
              <w:left w:w="100" w:type="dxa"/>
              <w:right w:w="100" w:type="dxa"/>
            </w:tcMar>
            <w:shd w:fill="FFFFFF"/>
          </w:tcPr>
          <w:p>
            <w:pPr>
              <w:spacing w:before="40" w:after="40"/>
            </w:pPr>
            <w:r>
              <w:rPr>
                <w:color w:val="1E293B"/>
                <w:sz w:val="17"/>
              </w:rPr>
              <w:t>**4. Geotechnical Report**</w:t>
            </w:r>
          </w:p>
        </w:tc>
        <w:tc>
          <w:tcPr>
            <w:tcW w:type="dxa" w:w="2484"/>
            <w:tcMar>
              <w:top w:w="60" w:type="dxa"/>
              <w:bottom w:w="60" w:type="dxa"/>
              <w:left w:w="100" w:type="dxa"/>
              <w:right w:w="100" w:type="dxa"/>
            </w:tcMar>
            <w:shd w:fill="FFFFFF"/>
          </w:tcPr>
          <w:p>
            <w:pPr>
              <w:spacing w:before="40" w:after="40"/>
            </w:pPr>
            <w:r>
              <w:rPr>
                <w:color w:val="1E293B"/>
                <w:sz w:val="17"/>
              </w:rPr>
              <w:t>106</w:t>
            </w:r>
          </w:p>
        </w:tc>
        <w:tc>
          <w:tcPr>
            <w:tcW w:type="dxa" w:w="2484"/>
            <w:tcMar>
              <w:top w:w="60" w:type="dxa"/>
              <w:bottom w:w="60" w:type="dxa"/>
              <w:left w:w="100" w:type="dxa"/>
              <w:right w:w="100" w:type="dxa"/>
            </w:tcMar>
            <w:shd w:fill="FFFFFF"/>
          </w:tcPr>
          <w:p>
            <w:pPr>
              <w:spacing w:before="40" w:after="40"/>
            </w:pPr>
            <w:r>
              <w:rPr>
                <w:color w:val="1E293B"/>
                <w:sz w:val="17"/>
              </w:rPr>
              <w:t>Shallow/deep workings in Great Northern, Fassifern, Young Wallsend seams; soft alluvium in north; unconsolidated TSF; slope instability.</w:t>
            </w:r>
          </w:p>
        </w:tc>
        <w:tc>
          <w:tcPr>
            <w:tcW w:type="dxa" w:w="2484"/>
            <w:tcMar>
              <w:top w:w="60" w:type="dxa"/>
              <w:bottom w:w="60" w:type="dxa"/>
              <w:left w:w="100" w:type="dxa"/>
              <w:right w:w="100" w:type="dxa"/>
            </w:tcMar>
            <w:shd w:fill="FFFFFF"/>
          </w:tcPr>
          <w:p>
            <w:pPr>
              <w:spacing w:before="40" w:after="40"/>
            </w:pPr>
            <w:r>
              <w:rPr>
                <w:color w:val="1E293B"/>
                <w:sz w:val="17"/>
              </w:rPr>
              <w:t>Establish a **Pre-Approved Foundation Matrix (raft slabs, void grouting, pile criteria)** pre-cleared with Subsidence Advisory NSW.</w:t>
            </w:r>
          </w:p>
        </w:tc>
      </w:tr>
      <w:tr>
        <w:tc>
          <w:tcPr>
            <w:tcW w:type="dxa" w:w="2484"/>
            <w:tcMar>
              <w:top w:w="60" w:type="dxa"/>
              <w:bottom w:w="60" w:type="dxa"/>
              <w:left w:w="100" w:type="dxa"/>
              <w:right w:w="100" w:type="dxa"/>
            </w:tcMar>
            <w:shd w:fill="F8FAFC"/>
          </w:tcPr>
          <w:p>
            <w:pPr>
              <w:spacing w:before="40" w:after="40"/>
            </w:pPr>
            <w:r>
              <w:rPr>
                <w:color w:val="1E293B"/>
                <w:sz w:val="17"/>
              </w:rPr>
              <w:t>**5. Contamination Assessment**</w:t>
            </w:r>
          </w:p>
        </w:tc>
        <w:tc>
          <w:tcPr>
            <w:tcW w:type="dxa" w:w="2484"/>
            <w:tcMar>
              <w:top w:w="60" w:type="dxa"/>
              <w:bottom w:w="60" w:type="dxa"/>
              <w:left w:w="100" w:type="dxa"/>
              <w:right w:w="100" w:type="dxa"/>
            </w:tcMar>
            <w:shd w:fill="F8FAFC"/>
          </w:tcPr>
          <w:p>
            <w:pPr>
              <w:spacing w:before="40" w:after="40"/>
            </w:pPr>
            <w:r>
              <w:rPr>
                <w:color w:val="1E293B"/>
                <w:sz w:val="17"/>
              </w:rPr>
              <w:t>66</w:t>
            </w:r>
          </w:p>
        </w:tc>
        <w:tc>
          <w:tcPr>
            <w:tcW w:type="dxa" w:w="2484"/>
            <w:tcMar>
              <w:top w:w="60" w:type="dxa"/>
              <w:bottom w:w="60" w:type="dxa"/>
              <w:left w:w="100" w:type="dxa"/>
              <w:right w:w="100" w:type="dxa"/>
            </w:tcMar>
            <w:shd w:fill="F8FAFC"/>
          </w:tcPr>
          <w:p>
            <w:pPr>
              <w:spacing w:before="40" w:after="40"/>
            </w:pPr>
            <w:r>
              <w:rPr>
                <w:color w:val="1E293B"/>
                <w:sz w:val="17"/>
              </w:rPr>
              <w:t>Hydrocarbon hotspots around former workshops/washbays; low-moderate acid mine drainage risk; ongoing TSF consolidation.</w:t>
            </w:r>
          </w:p>
        </w:tc>
        <w:tc>
          <w:tcPr>
            <w:tcW w:type="dxa" w:w="2484"/>
            <w:tcMar>
              <w:top w:w="60" w:type="dxa"/>
              <w:bottom w:w="60" w:type="dxa"/>
              <w:left w:w="100" w:type="dxa"/>
              <w:right w:w="100" w:type="dxa"/>
            </w:tcMar>
            <w:shd w:fill="F8FAFC"/>
          </w:tcPr>
          <w:p>
            <w:pPr>
              <w:spacing w:before="40" w:after="40"/>
            </w:pPr>
            <w:r>
              <w:rPr>
                <w:color w:val="1E293B"/>
                <w:sz w:val="17"/>
              </w:rPr>
              <w:t>Deploy **insitu bioremediation for hydrocarbons, alkaline buffering blankets for reject, and staged TSF capping**.</w:t>
            </w:r>
          </w:p>
        </w:tc>
      </w:tr>
      <w:tr>
        <w:tc>
          <w:tcPr>
            <w:tcW w:type="dxa" w:w="2484"/>
            <w:tcMar>
              <w:top w:w="60" w:type="dxa"/>
              <w:bottom w:w="60" w:type="dxa"/>
              <w:left w:w="100" w:type="dxa"/>
              <w:right w:w="100" w:type="dxa"/>
            </w:tcMar>
            <w:shd w:fill="FFFFFF"/>
          </w:tcPr>
          <w:p>
            <w:pPr>
              <w:spacing w:before="40" w:after="40"/>
            </w:pPr>
            <w:r>
              <w:rPr>
                <w:color w:val="1E293B"/>
                <w:sz w:val="17"/>
              </w:rPr>
              <w:t>**6. Dam Engineering Report**</w:t>
            </w:r>
          </w:p>
        </w:tc>
        <w:tc>
          <w:tcPr>
            <w:tcW w:type="dxa" w:w="2484"/>
            <w:tcMar>
              <w:top w:w="60" w:type="dxa"/>
              <w:bottom w:w="60" w:type="dxa"/>
              <w:left w:w="100" w:type="dxa"/>
              <w:right w:w="100" w:type="dxa"/>
            </w:tcMar>
            <w:shd w:fill="FFFFFF"/>
          </w:tcPr>
          <w:p>
            <w:pPr>
              <w:spacing w:before="40" w:after="40"/>
            </w:pPr>
            <w:r>
              <w:rPr>
                <w:color w:val="1E293B"/>
                <w:sz w:val="17"/>
              </w:rPr>
              <w:t>28</w:t>
            </w:r>
          </w:p>
        </w:tc>
        <w:tc>
          <w:tcPr>
            <w:tcW w:type="dxa" w:w="2484"/>
            <w:tcMar>
              <w:top w:w="60" w:type="dxa"/>
              <w:bottom w:w="60" w:type="dxa"/>
              <w:left w:w="100" w:type="dxa"/>
              <w:right w:w="100" w:type="dxa"/>
            </w:tcMar>
            <w:shd w:fill="FFFFFF"/>
          </w:tcPr>
          <w:p>
            <w:pPr>
              <w:spacing w:before="40" w:after="40"/>
            </w:pPr>
            <w:r>
              <w:rPr>
                <w:color w:val="1E293B"/>
                <w:sz w:val="17"/>
              </w:rPr>
              <w:t>TSF is a Declared Dam under Dams Safety NSW; Consequence Category requires dam break inundation buffers and ongoing surveillance.</w:t>
            </w:r>
          </w:p>
        </w:tc>
        <w:tc>
          <w:tcPr>
            <w:tcW w:type="dxa" w:w="2484"/>
            <w:tcMar>
              <w:top w:w="60" w:type="dxa"/>
              <w:bottom w:w="60" w:type="dxa"/>
              <w:left w:w="100" w:type="dxa"/>
              <w:right w:w="100" w:type="dxa"/>
            </w:tcMar>
            <w:shd w:fill="FFFFFF"/>
          </w:tcPr>
          <w:p>
            <w:pPr>
              <w:spacing w:before="40" w:after="40"/>
            </w:pPr>
            <w:r>
              <w:rPr>
                <w:color w:val="1E293B"/>
                <w:sz w:val="17"/>
              </w:rPr>
              <w:t>Implement a **3-Phase TSF Decommissioning &amp; Wick-Drain Dewatering Program** to transition land from exclusion to solar/BESS pads.</w:t>
            </w:r>
          </w:p>
        </w:tc>
      </w:tr>
      <w:tr>
        <w:tc>
          <w:tcPr>
            <w:tcW w:type="dxa" w:w="2484"/>
            <w:tcMar>
              <w:top w:w="60" w:type="dxa"/>
              <w:bottom w:w="60" w:type="dxa"/>
              <w:left w:w="100" w:type="dxa"/>
              <w:right w:w="100" w:type="dxa"/>
            </w:tcMar>
            <w:shd w:fill="F8FAFC"/>
          </w:tcPr>
          <w:p>
            <w:pPr>
              <w:spacing w:before="40" w:after="40"/>
            </w:pPr>
            <w:r>
              <w:rPr>
                <w:color w:val="1E293B"/>
                <w:sz w:val="17"/>
              </w:rPr>
              <w:t>**7. Flooding &amp; Water Cycle**</w:t>
            </w:r>
          </w:p>
        </w:tc>
        <w:tc>
          <w:tcPr>
            <w:tcW w:type="dxa" w:w="2484"/>
            <w:tcMar>
              <w:top w:w="60" w:type="dxa"/>
              <w:bottom w:w="60" w:type="dxa"/>
              <w:left w:w="100" w:type="dxa"/>
              <w:right w:w="100" w:type="dxa"/>
            </w:tcMar>
            <w:shd w:fill="F8FAFC"/>
          </w:tcPr>
          <w:p>
            <w:pPr>
              <w:spacing w:before="40" w:after="40"/>
            </w:pPr>
            <w:r>
              <w:rPr>
                <w:color w:val="1E293B"/>
                <w:sz w:val="17"/>
              </w:rPr>
              <w:t>92</w:t>
            </w:r>
          </w:p>
        </w:tc>
        <w:tc>
          <w:tcPr>
            <w:tcW w:type="dxa" w:w="2484"/>
            <w:tcMar>
              <w:top w:w="60" w:type="dxa"/>
              <w:bottom w:w="60" w:type="dxa"/>
              <w:left w:w="100" w:type="dxa"/>
              <w:right w:w="100" w:type="dxa"/>
            </w:tcMar>
            <w:shd w:fill="F8FAFC"/>
          </w:tcPr>
          <w:p>
            <w:pPr>
              <w:spacing w:before="40" w:after="40"/>
            </w:pPr>
            <w:r>
              <w:rPr>
                <w:color w:val="1E293B"/>
                <w:sz w:val="17"/>
              </w:rPr>
              <w:t>1% AEP flood affects northern Cockle/Diega Creek flats; 10m–40m riparian buffers; NorBE stormwater treatment targets.</w:t>
            </w:r>
          </w:p>
        </w:tc>
        <w:tc>
          <w:tcPr>
            <w:tcW w:type="dxa" w:w="2484"/>
            <w:tcMar>
              <w:top w:w="60" w:type="dxa"/>
              <w:bottom w:w="60" w:type="dxa"/>
              <w:left w:w="100" w:type="dxa"/>
              <w:right w:w="100" w:type="dxa"/>
            </w:tcMar>
            <w:shd w:fill="F8FAFC"/>
          </w:tcPr>
          <w:p>
            <w:pPr>
              <w:spacing w:before="40" w:after="40"/>
            </w:pPr>
            <w:r>
              <w:rPr>
                <w:color w:val="1E293B"/>
                <w:sz w:val="17"/>
              </w:rPr>
              <w:t>Integrate **regional multi-functional bioretention basins, constructed treatment wetlands, and flood conveyance corridors**.</w:t>
            </w:r>
          </w:p>
        </w:tc>
      </w:tr>
      <w:tr>
        <w:tc>
          <w:tcPr>
            <w:tcW w:type="dxa" w:w="2484"/>
            <w:tcMar>
              <w:top w:w="60" w:type="dxa"/>
              <w:bottom w:w="60" w:type="dxa"/>
              <w:left w:w="100" w:type="dxa"/>
              <w:right w:w="100" w:type="dxa"/>
            </w:tcMar>
            <w:shd w:fill="FFFFFF"/>
          </w:tcPr>
          <w:p>
            <w:pPr>
              <w:spacing w:before="40" w:after="40"/>
            </w:pPr>
            <w:r>
              <w:rPr>
                <w:color w:val="1E293B"/>
                <w:sz w:val="17"/>
              </w:rPr>
              <w:t>**8. Economics &amp; Market**</w:t>
            </w:r>
          </w:p>
        </w:tc>
        <w:tc>
          <w:tcPr>
            <w:tcW w:type="dxa" w:w="2484"/>
            <w:tcMar>
              <w:top w:w="60" w:type="dxa"/>
              <w:bottom w:w="60" w:type="dxa"/>
              <w:left w:w="100" w:type="dxa"/>
              <w:right w:w="100" w:type="dxa"/>
            </w:tcMar>
            <w:shd w:fill="FFFFFF"/>
          </w:tcPr>
          <w:p>
            <w:pPr>
              <w:spacing w:before="40" w:after="40"/>
            </w:pPr>
            <w:r>
              <w:rPr>
                <w:color w:val="1E293B"/>
                <w:sz w:val="17"/>
              </w:rPr>
              <w:t>115</w:t>
            </w:r>
          </w:p>
        </w:tc>
        <w:tc>
          <w:tcPr>
            <w:tcW w:type="dxa" w:w="2484"/>
            <w:tcMar>
              <w:top w:w="60" w:type="dxa"/>
              <w:bottom w:w="60" w:type="dxa"/>
              <w:left w:w="100" w:type="dxa"/>
              <w:right w:w="100" w:type="dxa"/>
            </w:tcMar>
            <w:shd w:fill="FFFFFF"/>
          </w:tcPr>
          <w:p>
            <w:pPr>
              <w:spacing w:before="40" w:after="40"/>
            </w:pPr>
            <w:r>
              <w:rPr>
                <w:color w:val="1E293B"/>
                <w:sz w:val="17"/>
              </w:rPr>
              <w:t>Target sectors: advanced manufacturing, clean energy, digital infrastructure, circular economy, freight logistics; 1,130 direct jobs.</w:t>
            </w:r>
          </w:p>
        </w:tc>
        <w:tc>
          <w:tcPr>
            <w:tcW w:type="dxa" w:w="2484"/>
            <w:tcMar>
              <w:top w:w="60" w:type="dxa"/>
              <w:bottom w:w="60" w:type="dxa"/>
              <w:left w:w="100" w:type="dxa"/>
              <w:right w:w="100" w:type="dxa"/>
            </w:tcMar>
            <w:shd w:fill="FFFFFF"/>
          </w:tcPr>
          <w:p>
            <w:pPr>
              <w:spacing w:before="40" w:after="40"/>
            </w:pPr>
            <w:r>
              <w:rPr>
                <w:color w:val="1E293B"/>
                <w:sz w:val="17"/>
              </w:rPr>
              <w:t>Target **high-power-density hyperscale AI data centres and advanced clean manufacturing** to triple job density per hectare.</w:t>
            </w:r>
          </w:p>
        </w:tc>
      </w:tr>
      <w:tr>
        <w:tc>
          <w:tcPr>
            <w:tcW w:type="dxa" w:w="2484"/>
            <w:tcMar>
              <w:top w:w="60" w:type="dxa"/>
              <w:bottom w:w="60" w:type="dxa"/>
              <w:left w:w="100" w:type="dxa"/>
              <w:right w:w="100" w:type="dxa"/>
            </w:tcMar>
            <w:shd w:fill="F8FAFC"/>
          </w:tcPr>
          <w:p>
            <w:pPr>
              <w:spacing w:before="40" w:after="40"/>
            </w:pPr>
            <w:r>
              <w:rPr>
                <w:color w:val="1E293B"/>
                <w:sz w:val="17"/>
              </w:rPr>
              <w:t>**9. Traffic &amp; Transport**</w:t>
            </w:r>
          </w:p>
        </w:tc>
        <w:tc>
          <w:tcPr>
            <w:tcW w:type="dxa" w:w="2484"/>
            <w:tcMar>
              <w:top w:w="60" w:type="dxa"/>
              <w:bottom w:w="60" w:type="dxa"/>
              <w:left w:w="100" w:type="dxa"/>
              <w:right w:w="100" w:type="dxa"/>
            </w:tcMar>
            <w:shd w:fill="F8FAFC"/>
          </w:tcPr>
          <w:p>
            <w:pPr>
              <w:spacing w:before="40" w:after="40"/>
            </w:pPr>
            <w:r>
              <w:rPr>
                <w:color w:val="1E293B"/>
                <w:sz w:val="17"/>
              </w:rPr>
              <w:t>87</w:t>
            </w:r>
          </w:p>
        </w:tc>
        <w:tc>
          <w:tcPr>
            <w:tcW w:type="dxa" w:w="2484"/>
            <w:tcMar>
              <w:top w:w="60" w:type="dxa"/>
              <w:bottom w:w="60" w:type="dxa"/>
              <w:left w:w="100" w:type="dxa"/>
              <w:right w:w="100" w:type="dxa"/>
            </w:tcMar>
            <w:shd w:fill="F8FAFC"/>
          </w:tcPr>
          <w:p>
            <w:pPr>
              <w:spacing w:before="40" w:after="40"/>
            </w:pPr>
            <w:r>
              <w:rPr>
                <w:color w:val="1E293B"/>
                <w:sz w:val="17"/>
              </w:rPr>
              <w:t>Access via Cessnock Rd, Wilton Rd, Wakefield Rd; freight trip generation; disused rail loop and private haul road.</w:t>
            </w:r>
          </w:p>
        </w:tc>
        <w:tc>
          <w:tcPr>
            <w:tcW w:type="dxa" w:w="2484"/>
            <w:tcMar>
              <w:top w:w="60" w:type="dxa"/>
              <w:bottom w:w="60" w:type="dxa"/>
              <w:left w:w="100" w:type="dxa"/>
              <w:right w:w="100" w:type="dxa"/>
            </w:tcMar>
            <w:shd w:fill="F8FAFC"/>
          </w:tcPr>
          <w:p>
            <w:pPr>
              <w:spacing w:before="40" w:after="40"/>
            </w:pPr>
            <w:r>
              <w:rPr>
                <w:color w:val="1E293B"/>
                <w:sz w:val="17"/>
              </w:rPr>
              <w:t>Formalize the **internal Haul Road as a heavy-freight public spine** and **reactivate the 1.8km Rail Siding as an Intermodal Terminal**.</w:t>
            </w:r>
          </w:p>
        </w:tc>
      </w:tr>
      <w:tr>
        <w:tc>
          <w:tcPr>
            <w:tcW w:type="dxa" w:w="2484"/>
            <w:tcMar>
              <w:top w:w="60" w:type="dxa"/>
              <w:bottom w:w="60" w:type="dxa"/>
              <w:left w:w="100" w:type="dxa"/>
              <w:right w:w="100" w:type="dxa"/>
            </w:tcMar>
            <w:shd w:fill="FFFFFF"/>
          </w:tcPr>
          <w:p>
            <w:pPr>
              <w:spacing w:before="40" w:after="40"/>
            </w:pPr>
            <w:r>
              <w:rPr>
                <w:color w:val="1E293B"/>
                <w:sz w:val="17"/>
              </w:rPr>
              <w:t>**10. Biodiversity Assessment**</w:t>
            </w:r>
          </w:p>
        </w:tc>
        <w:tc>
          <w:tcPr>
            <w:tcW w:type="dxa" w:w="2484"/>
            <w:tcMar>
              <w:top w:w="60" w:type="dxa"/>
              <w:bottom w:w="60" w:type="dxa"/>
              <w:left w:w="100" w:type="dxa"/>
              <w:right w:w="100" w:type="dxa"/>
            </w:tcMar>
            <w:shd w:fill="FFFFFF"/>
          </w:tcPr>
          <w:p>
            <w:pPr>
              <w:spacing w:before="40" w:after="40"/>
            </w:pPr>
            <w:r>
              <w:rPr>
                <w:color w:val="1E293B"/>
                <w:sz w:val="17"/>
              </w:rPr>
              <w:t>174</w:t>
            </w:r>
          </w:p>
        </w:tc>
        <w:tc>
          <w:tcPr>
            <w:tcW w:type="dxa" w:w="2484"/>
            <w:tcMar>
              <w:top w:w="60" w:type="dxa"/>
              <w:bottom w:w="60" w:type="dxa"/>
              <w:left w:w="100" w:type="dxa"/>
              <w:right w:w="100" w:type="dxa"/>
            </w:tcMar>
            <w:shd w:fill="FFFFFF"/>
          </w:tcPr>
          <w:p>
            <w:pPr>
              <w:spacing w:before="40" w:after="40"/>
            </w:pPr>
            <w:r>
              <w:rPr>
                <w:color w:val="1E293B"/>
                <w:sz w:val="17"/>
              </w:rPr>
              <w:t>Spotted Gum Ironbark Forest, Swamp Sclerophyll EEC; Koala habitat corridors across Sugarloaf Range; Biodiversity Offset Scheme.</w:t>
            </w:r>
          </w:p>
        </w:tc>
        <w:tc>
          <w:tcPr>
            <w:tcW w:type="dxa" w:w="2484"/>
            <w:tcMar>
              <w:top w:w="60" w:type="dxa"/>
              <w:bottom w:w="60" w:type="dxa"/>
              <w:left w:w="100" w:type="dxa"/>
              <w:right w:w="100" w:type="dxa"/>
            </w:tcMar>
            <w:shd w:fill="FFFFFF"/>
          </w:tcPr>
          <w:p>
            <w:pPr>
              <w:spacing w:before="40" w:after="40"/>
            </w:pPr>
            <w:r>
              <w:rPr>
                <w:color w:val="1E293B"/>
                <w:sz w:val="17"/>
              </w:rPr>
              <w:t>Establish a **connected 250m-wide Sugarloaf-to-Awaba Biodiversity Bio-Link** in the C2 zone with dedicated fauna overpasses.</w:t>
            </w:r>
          </w:p>
        </w:tc>
      </w:tr>
      <w:tr>
        <w:tc>
          <w:tcPr>
            <w:tcW w:type="dxa" w:w="2484"/>
            <w:tcMar>
              <w:top w:w="60" w:type="dxa"/>
              <w:bottom w:w="60" w:type="dxa"/>
              <w:left w:w="100" w:type="dxa"/>
              <w:right w:w="100" w:type="dxa"/>
            </w:tcMar>
            <w:shd w:fill="F8FAFC"/>
          </w:tcPr>
          <w:p>
            <w:pPr>
              <w:spacing w:before="40" w:after="40"/>
            </w:pPr>
            <w:r>
              <w:rPr>
                <w:color w:val="1E293B"/>
                <w:sz w:val="17"/>
              </w:rPr>
              <w:t>**11. Bush Fire Assessment**</w:t>
            </w:r>
          </w:p>
        </w:tc>
        <w:tc>
          <w:tcPr>
            <w:tcW w:type="dxa" w:w="2484"/>
            <w:tcMar>
              <w:top w:w="60" w:type="dxa"/>
              <w:bottom w:w="60" w:type="dxa"/>
              <w:left w:w="100" w:type="dxa"/>
              <w:right w:w="100" w:type="dxa"/>
            </w:tcMar>
            <w:shd w:fill="F8FAFC"/>
          </w:tcPr>
          <w:p>
            <w:pPr>
              <w:spacing w:before="40" w:after="40"/>
            </w:pPr>
            <w:r>
              <w:rPr>
                <w:color w:val="1E293B"/>
                <w:sz w:val="17"/>
              </w:rPr>
              <w:t>35</w:t>
            </w:r>
          </w:p>
        </w:tc>
        <w:tc>
          <w:tcPr>
            <w:tcW w:type="dxa" w:w="2484"/>
            <w:tcMar>
              <w:top w:w="60" w:type="dxa"/>
              <w:bottom w:w="60" w:type="dxa"/>
              <w:left w:w="100" w:type="dxa"/>
              <w:right w:w="100" w:type="dxa"/>
            </w:tcMar>
            <w:shd w:fill="F8FAFC"/>
          </w:tcPr>
          <w:p>
            <w:pPr>
              <w:spacing w:before="40" w:after="40"/>
            </w:pPr>
            <w:r>
              <w:rPr>
                <w:color w:val="1E293B"/>
                <w:sz w:val="17"/>
              </w:rPr>
              <w:t>High bushfire hazard (Category 1 vegetation); FFDI 100 / FDI 80; requires 20m–45m Asset Protection Zones (APZs).</w:t>
            </w:r>
          </w:p>
        </w:tc>
        <w:tc>
          <w:tcPr>
            <w:tcW w:type="dxa" w:w="2484"/>
            <w:tcMar>
              <w:top w:w="60" w:type="dxa"/>
              <w:bottom w:w="60" w:type="dxa"/>
              <w:left w:w="100" w:type="dxa"/>
              <w:right w:w="100" w:type="dxa"/>
            </w:tcMar>
            <w:shd w:fill="F8FAFC"/>
          </w:tcPr>
          <w:p>
            <w:pPr>
              <w:spacing w:before="40" w:after="40"/>
            </w:pPr>
            <w:r>
              <w:rPr>
                <w:color w:val="1E293B"/>
                <w:sz w:val="17"/>
              </w:rPr>
              <w:t>Embed **perimeter ring-roads doubling as dual-purpose APZs and emergency egress routes** under PBF 2019.</w:t>
            </w:r>
          </w:p>
        </w:tc>
      </w:tr>
      <w:tr>
        <w:tc>
          <w:tcPr>
            <w:tcW w:type="dxa" w:w="2484"/>
            <w:tcMar>
              <w:top w:w="60" w:type="dxa"/>
              <w:bottom w:w="60" w:type="dxa"/>
              <w:left w:w="100" w:type="dxa"/>
              <w:right w:w="100" w:type="dxa"/>
            </w:tcMar>
            <w:shd w:fill="FFFFFF"/>
          </w:tcPr>
          <w:p>
            <w:pPr>
              <w:spacing w:before="40" w:after="40"/>
            </w:pPr>
            <w:r>
              <w:rPr>
                <w:color w:val="1E293B"/>
                <w:sz w:val="17"/>
              </w:rPr>
              <w:t>**12. Noise &amp; Vibration**</w:t>
            </w:r>
          </w:p>
        </w:tc>
        <w:tc>
          <w:tcPr>
            <w:tcW w:type="dxa" w:w="2484"/>
            <w:tcMar>
              <w:top w:w="60" w:type="dxa"/>
              <w:bottom w:w="60" w:type="dxa"/>
              <w:left w:w="100" w:type="dxa"/>
              <w:right w:w="100" w:type="dxa"/>
            </w:tcMar>
            <w:shd w:fill="FFFFFF"/>
          </w:tcPr>
          <w:p>
            <w:pPr>
              <w:spacing w:before="40" w:after="40"/>
            </w:pPr>
            <w:r>
              <w:rPr>
                <w:color w:val="1E293B"/>
                <w:sz w:val="17"/>
              </w:rPr>
              <w:t>37</w:t>
            </w:r>
          </w:p>
        </w:tc>
        <w:tc>
          <w:tcPr>
            <w:tcW w:type="dxa" w:w="2484"/>
            <w:tcMar>
              <w:top w:w="60" w:type="dxa"/>
              <w:bottom w:w="60" w:type="dxa"/>
              <w:left w:w="100" w:type="dxa"/>
              <w:right w:w="100" w:type="dxa"/>
            </w:tcMar>
            <w:shd w:fill="FFFFFF"/>
          </w:tcPr>
          <w:p>
            <w:pPr>
              <w:spacing w:before="40" w:after="40"/>
            </w:pPr>
            <w:r>
              <w:rPr>
                <w:color w:val="1E293B"/>
                <w:sz w:val="17"/>
              </w:rPr>
              <w:t>Low night-time RBL (30–35 dBA); sensitive receivers in Barnsley, Teralba, Wakefield; night PNTL 35 dBA.</w:t>
            </w:r>
          </w:p>
        </w:tc>
        <w:tc>
          <w:tcPr>
            <w:tcW w:type="dxa" w:w="2484"/>
            <w:tcMar>
              <w:top w:w="60" w:type="dxa"/>
              <w:bottom w:w="60" w:type="dxa"/>
              <w:left w:w="100" w:type="dxa"/>
              <w:right w:w="100" w:type="dxa"/>
            </w:tcMar>
            <w:shd w:fill="FFFFFF"/>
          </w:tcPr>
          <w:p>
            <w:pPr>
              <w:spacing w:before="40" w:after="40"/>
            </w:pPr>
            <w:r>
              <w:rPr>
                <w:color w:val="1E293B"/>
                <w:sz w:val="17"/>
              </w:rPr>
              <w:t>Sculpt **6m–8m landscaped acoustic earthen bunds** along eastern/northeastern boundaries for 24/7 industrial operations.</w:t>
            </w:r>
          </w:p>
        </w:tc>
      </w:tr>
      <w:tr>
        <w:tc>
          <w:tcPr>
            <w:tcW w:type="dxa" w:w="2484"/>
            <w:tcMar>
              <w:top w:w="60" w:type="dxa"/>
              <w:bottom w:w="60" w:type="dxa"/>
              <w:left w:w="100" w:type="dxa"/>
              <w:right w:w="100" w:type="dxa"/>
            </w:tcMar>
            <w:shd w:fill="F8FAFC"/>
          </w:tcPr>
          <w:p>
            <w:pPr>
              <w:spacing w:before="40" w:after="40"/>
            </w:pPr>
            <w:r>
              <w:rPr>
                <w:color w:val="1E293B"/>
                <w:sz w:val="17"/>
              </w:rPr>
              <w:t>**13. Air Quality &amp; Odour**</w:t>
            </w:r>
          </w:p>
        </w:tc>
        <w:tc>
          <w:tcPr>
            <w:tcW w:type="dxa" w:w="2484"/>
            <w:tcMar>
              <w:top w:w="60" w:type="dxa"/>
              <w:bottom w:w="60" w:type="dxa"/>
              <w:left w:w="100" w:type="dxa"/>
              <w:right w:w="100" w:type="dxa"/>
            </w:tcMar>
            <w:shd w:fill="F8FAFC"/>
          </w:tcPr>
          <w:p>
            <w:pPr>
              <w:spacing w:before="40" w:after="40"/>
            </w:pPr>
            <w:r>
              <w:rPr>
                <w:color w:val="1E293B"/>
                <w:sz w:val="17"/>
              </w:rPr>
              <w:t>41</w:t>
            </w:r>
          </w:p>
        </w:tc>
        <w:tc>
          <w:tcPr>
            <w:tcW w:type="dxa" w:w="2484"/>
            <w:tcMar>
              <w:top w:w="60" w:type="dxa"/>
              <w:bottom w:w="60" w:type="dxa"/>
              <w:left w:w="100" w:type="dxa"/>
              <w:right w:w="100" w:type="dxa"/>
            </w:tcMar>
            <w:shd w:fill="F8FAFC"/>
          </w:tcPr>
          <w:p>
            <w:pPr>
              <w:spacing w:before="40" w:after="40"/>
            </w:pPr>
            <w:r>
              <w:rPr>
                <w:color w:val="1E293B"/>
                <w:sz w:val="17"/>
              </w:rPr>
              <w:t>PM10/PM2.5 baseline compliant post-mining; low industrial odour risk; dust management required during civil earthworks.</w:t>
            </w:r>
          </w:p>
        </w:tc>
        <w:tc>
          <w:tcPr>
            <w:tcW w:type="dxa" w:w="2484"/>
            <w:tcMar>
              <w:top w:w="60" w:type="dxa"/>
              <w:bottom w:w="60" w:type="dxa"/>
              <w:left w:w="100" w:type="dxa"/>
              <w:right w:w="100" w:type="dxa"/>
            </w:tcMar>
            <w:shd w:fill="F8FAFC"/>
          </w:tcPr>
          <w:p>
            <w:pPr>
              <w:spacing w:before="40" w:after="40"/>
            </w:pPr>
            <w:r>
              <w:rPr>
                <w:color w:val="1E293B"/>
                <w:sz w:val="17"/>
              </w:rPr>
              <w:t>Standardize **real-time PM10/PM2.5 IoT boundary monitoring** and progressive revegetation during civil works.</w:t>
            </w:r>
          </w:p>
        </w:tc>
      </w:tr>
      <w:tr>
        <w:tc>
          <w:tcPr>
            <w:tcW w:type="dxa" w:w="2484"/>
            <w:tcMar>
              <w:top w:w="60" w:type="dxa"/>
              <w:bottom w:w="60" w:type="dxa"/>
              <w:left w:w="100" w:type="dxa"/>
              <w:right w:w="100" w:type="dxa"/>
            </w:tcMar>
            <w:shd w:fill="FFFFFF"/>
          </w:tcPr>
          <w:p>
            <w:pPr>
              <w:spacing w:before="40" w:after="40"/>
            </w:pPr>
            <w:r>
              <w:rPr>
                <w:color w:val="1E293B"/>
                <w:sz w:val="17"/>
              </w:rPr>
              <w:t>**14. Evaluation Panel Report**</w:t>
            </w:r>
          </w:p>
        </w:tc>
        <w:tc>
          <w:tcPr>
            <w:tcW w:type="dxa" w:w="2484"/>
            <w:tcMar>
              <w:top w:w="60" w:type="dxa"/>
              <w:bottom w:w="60" w:type="dxa"/>
              <w:left w:w="100" w:type="dxa"/>
              <w:right w:w="100" w:type="dxa"/>
            </w:tcMar>
            <w:shd w:fill="FFFFFF"/>
          </w:tcPr>
          <w:p>
            <w:pPr>
              <w:spacing w:before="40" w:after="40"/>
            </w:pPr>
            <w:r>
              <w:rPr>
                <w:color w:val="1E293B"/>
                <w:sz w:val="17"/>
              </w:rPr>
              <w:t>2</w:t>
            </w:r>
          </w:p>
        </w:tc>
        <w:tc>
          <w:tcPr>
            <w:tcW w:type="dxa" w:w="2484"/>
            <w:tcMar>
              <w:top w:w="60" w:type="dxa"/>
              <w:bottom w:w="60" w:type="dxa"/>
              <w:left w:w="100" w:type="dxa"/>
              <w:right w:w="100" w:type="dxa"/>
            </w:tcMar>
            <w:shd w:fill="FFFFFF"/>
          </w:tcPr>
          <w:p>
            <w:pPr>
              <w:spacing w:before="40" w:after="40"/>
            </w:pPr>
            <w:r>
              <w:rPr>
                <w:color w:val="1E293B"/>
                <w:sz w:val="17"/>
              </w:rPr>
              <w:t>Endorses State Significant Rezoning pathway; highlights need for coordinated infrastructure delivery and clear staging.</w:t>
            </w:r>
          </w:p>
        </w:tc>
        <w:tc>
          <w:tcPr>
            <w:tcW w:type="dxa" w:w="2484"/>
            <w:tcMar>
              <w:top w:w="60" w:type="dxa"/>
              <w:bottom w:w="60" w:type="dxa"/>
              <w:left w:w="100" w:type="dxa"/>
              <w:right w:w="100" w:type="dxa"/>
            </w:tcMar>
            <w:shd w:fill="FFFFFF"/>
          </w:tcPr>
          <w:p>
            <w:pPr>
              <w:spacing w:before="40" w:after="40"/>
            </w:pPr>
            <w:r>
              <w:rPr>
                <w:color w:val="1E293B"/>
                <w:sz w:val="17"/>
              </w:rPr>
              <w:t>Establish a **Precinct Infrastructure Delivery Authority / Special Infrastructure Contribution (SIC)** mechanism.</w:t>
            </w:r>
          </w:p>
        </w:tc>
      </w:tr>
      <w:tr>
        <w:tc>
          <w:tcPr>
            <w:tcW w:type="dxa" w:w="2484"/>
            <w:tcMar>
              <w:top w:w="60" w:type="dxa"/>
              <w:bottom w:w="60" w:type="dxa"/>
              <w:left w:w="100" w:type="dxa"/>
              <w:right w:w="100" w:type="dxa"/>
            </w:tcMar>
            <w:shd w:fill="F8FAFC"/>
          </w:tcPr>
          <w:p>
            <w:pPr>
              <w:spacing w:before="40" w:after="40"/>
            </w:pPr>
            <w:r>
              <w:rPr>
                <w:color w:val="1E293B"/>
                <w:sz w:val="17"/>
              </w:rPr>
              <w:t>**15. Community FAQs**</w:t>
            </w:r>
          </w:p>
        </w:tc>
        <w:tc>
          <w:tcPr>
            <w:tcW w:type="dxa" w:w="2484"/>
            <w:tcMar>
              <w:top w:w="60" w:type="dxa"/>
              <w:bottom w:w="60" w:type="dxa"/>
              <w:left w:w="100" w:type="dxa"/>
              <w:right w:w="100" w:type="dxa"/>
            </w:tcMar>
            <w:shd w:fill="F8FAFC"/>
          </w:tcPr>
          <w:p>
            <w:pPr>
              <w:spacing w:before="40" w:after="40"/>
            </w:pPr>
            <w:r>
              <w:rPr>
                <w:color w:val="1E293B"/>
                <w:sz w:val="17"/>
              </w:rPr>
              <w:t>5</w:t>
            </w:r>
          </w:p>
        </w:tc>
        <w:tc>
          <w:tcPr>
            <w:tcW w:type="dxa" w:w="2484"/>
            <w:tcMar>
              <w:top w:w="60" w:type="dxa"/>
              <w:bottom w:w="60" w:type="dxa"/>
              <w:left w:w="100" w:type="dxa"/>
              <w:right w:w="100" w:type="dxa"/>
            </w:tcMar>
            <w:shd w:fill="F8FAFC"/>
          </w:tcPr>
          <w:p>
            <w:pPr>
              <w:spacing w:before="40" w:after="40"/>
            </w:pPr>
            <w:r>
              <w:rPr>
                <w:color w:val="1E293B"/>
                <w:sz w:val="17"/>
              </w:rPr>
              <w:t>Addresses public feedback regarding heavy traffic, community amenity, environmental preservation, and job creation.</w:t>
            </w:r>
          </w:p>
        </w:tc>
        <w:tc>
          <w:tcPr>
            <w:tcW w:type="dxa" w:w="2484"/>
            <w:tcMar>
              <w:top w:w="60" w:type="dxa"/>
              <w:bottom w:w="60" w:type="dxa"/>
              <w:left w:w="100" w:type="dxa"/>
              <w:right w:w="100" w:type="dxa"/>
            </w:tcMar>
            <w:shd w:fill="F8FAFC"/>
          </w:tcPr>
          <w:p>
            <w:pPr>
              <w:spacing w:before="40" w:after="40"/>
            </w:pPr>
            <w:r>
              <w:rPr>
                <w:color w:val="1E293B"/>
                <w:sz w:val="17"/>
              </w:rPr>
              <w:t>Deliver transparent, open-access **Digital Twin &amp; WebGIS inspection tools** to maintain high community trust.</w:t>
            </w:r>
          </w:p>
        </w:tc>
      </w:tr>
    </w:tbl>
    <w:p/>
    <w:p>
      <w:pPr>
        <w:spacing w:before="40" w:after="80" w:line="276" w:lineRule="auto"/>
      </w:pPr>
      <w:r>
        <w:rPr>
          <w:color w:val="334155"/>
          <w:sz w:val="19"/>
        </w:rPr>
        <w:t>---</w:t>
      </w:r>
    </w:p>
    <w:p>
      <w:pPr>
        <w:pStyle w:val="Heading2"/>
        <w:keepNext/>
        <w:spacing w:before="240" w:after="80"/>
      </w:pPr>
      <w:r>
        <w:rPr>
          <w:b/>
          <w:color w:val="0284C7"/>
        </w:rPr>
        <w:t>3. The 6-Pillar Site-Level Enhancement Blueprint</w:t>
      </w:r>
    </w:p>
    <w:p>
      <w:pPr>
        <w:spacing w:before="80" w:after="120"/>
        <w:ind w:left="360"/>
      </w:pPr>
      <w:r>
        <w:rPr>
          <w:rFonts w:ascii="Consolas" w:hAnsi="Consolas"/>
          <w:color w:val="0F172A"/>
          <w:sz w:val="17"/>
        </w:rPr>
        <w:t>flowchart TD</w:t>
        <w:br/>
        <w:t xml:space="preserve">    subgraph P1["Pillar 1: Precision Net Developable Area (NDA)"]</w:t>
        <w:br/>
        <w:t xml:space="preserve">        A1["Gross Footprint: ~1,100 ha"] --&gt; A2["Deductions: Slopes, Riparian, TSF, Easements"]</w:t>
        <w:br/>
        <w:t xml:space="preserve">        A2 --&gt; A3["10 Geotechnical-Certified Net Developable Pads: 185 - 320 ha"]</w:t>
        <w:br/>
        <w:t xml:space="preserve">    end</w:t>
        <w:br/>
        <w:br/>
        <w:t xml:space="preserve">    subgraph P2["Pillar 2: Sovereign Utility and Circular Energy Hub"]</w:t>
        <w:br/>
        <w:t xml:space="preserve">        B1["Transgrid 330kV Corridor"] --&gt; B2["Multi-User 330/132kV Terminal Substation Pad: 200-500 MVA"]</w:t>
        <w:br/>
        <w:t xml:space="preserve">        B2 --&gt; B3["100MW/400MWh BESS + 49 MWh Pit Void Closed-Loop Pumped Hydro"]</w:t>
        <w:br/>
        <w:t xml:space="preserve">        B4["Hunter Water WWTW"] --&gt; B5["Dual-Pipe Recycled Water: 100% Non-Potable Cooling"]</w:t>
        <w:br/>
        <w:t xml:space="preserve">    end</w:t>
        <w:br/>
        <w:br/>
        <w:t xml:space="preserve">    subgraph P3["Pillar 3: Freight Logistics and Rail Reactivation"]</w:t>
        <w:br/>
        <w:t xml:space="preserve">        C1["Glencore Private Haul Road"] --&gt; C2["Gazetted Internal Heavy-Freight Spine: Bypass Barnsley/Teralba"]</w:t>
        <w:br/>
        <w:t xml:space="preserve">        C3["Disused 1.8km Rail Siding"] --&gt; C4["Macquarie Intermodal Rail Terminal - MIRT"]</w:t>
        <w:br/>
        <w:t xml:space="preserve">    end</w:t>
        <w:br/>
        <w:br/>
        <w:t xml:space="preserve">    subgraph P4["Pillar 4: Geotechnical and Dam Safety Transition"]</w:t>
        <w:br/>
        <w:t xml:space="preserve">        D1["Dams Safety NSW Declared TSF"] --&gt; D2["Wick-Drain Dewatering and Dynamic Compaction"]</w:t>
        <w:br/>
        <w:t xml:space="preserve">        D2 --&gt; D3["Pre-Approved Subsidence Advisory Foundation Matrix"]</w:t>
        <w:br/>
        <w:t xml:space="preserve">    end</w:t>
        <w:br/>
        <w:br/>
        <w:t xml:space="preserve">    subgraph P5["Pillar 5: Environmental Stewardship and Acoustic Amenity"]</w:t>
        <w:br/>
        <w:t xml:space="preserve">        E1["Mount Sugarloaf Range Link"] --&gt; E2["Sugarloaf-Awaba C2 Biodiversity Bio-Link: 250m Wide"]</w:t>
        <w:br/>
        <w:t xml:space="preserve">        E3["24/7 Industrial Operations"] --&gt; E4["6-8m Overburden Acoustic Bunds + 500m Setbacks"]</w:t>
        <w:br/>
        <w:t xml:space="preserve">    end</w:t>
        <w:br/>
        <w:br/>
        <w:t xml:space="preserve">    subgraph P6["Pillar 6: Digital Twin and Spatial SQL Offloading"]</w:t>
        <w:br/>
        <w:t xml:space="preserve">        F1["Authoritative GDA2020 Layers"] --&gt; F2["DuckDB-WASM Client-Side Siting and What-If Engine"]</w:t>
        <w:br/>
        <w:t xml:space="preserve">    end</w:t>
        <w:br/>
        <w:br/>
        <w:t xml:space="preserve">    P1 &amp; P2 &amp; P3 &amp; P4 &amp; P5 &amp; P6 --&gt; G["Australia's Premier Post-Mining Sovereign Industrial Hub"]</w:t>
      </w:r>
    </w:p>
    <w:p>
      <w:pPr>
        <w:spacing w:before="40" w:after="80" w:line="276" w:lineRule="auto"/>
      </w:pPr>
      <w:r>
        <w:rPr>
          <w:color w:val="334155"/>
          <w:sz w:val="19"/>
        </w:rPr>
        <w:t>---</w:t>
      </w:r>
    </w:p>
    <w:p>
      <w:pPr>
        <w:pStyle w:val="Heading3"/>
        <w:keepNext/>
        <w:spacing w:before="160" w:after="40"/>
      </w:pPr>
      <w:r>
        <w:rPr>
          <w:b/>
          <w:color w:val="334155"/>
        </w:rPr>
        <w:t>Pillar 1: Precision Net Developable Area (NDA) &amp; 3-Phase Staging Framework</w:t>
      </w:r>
    </w:p>
    <w:p>
      <w:pPr>
        <w:keepNext/>
        <w:spacing w:before="120" w:after="40"/>
      </w:pPr>
      <w:r>
        <w:rPr>
          <w:b/>
          <w:color w:val="475569"/>
          <w:sz w:val="20"/>
        </w:rPr>
        <w:t>1.1 Pad-Level Subdivision Geometry</w:t>
      </w:r>
    </w:p>
    <w:p>
      <w:pPr>
        <w:spacing w:before="40" w:after="80" w:line="276" w:lineRule="auto"/>
      </w:pPr>
      <w:r>
        <w:rPr>
          <w:color w:val="334155"/>
          <w:sz w:val="19"/>
        </w:rPr>
        <w:t xml:space="preserve">Rather than applying a blanket E4 General Industrial zoning over unbuildable terrain, the site is structured into </w:t>
      </w:r>
      <w:r>
        <w:rPr>
          <w:b/>
          <w:color w:val="1E293B"/>
          <w:sz w:val="19"/>
        </w:rPr>
        <w:t>10 distinct, geotechnical-certified Net Developable Pads (NDPs)</w:t>
      </w:r>
      <w:r>
        <w:rPr>
          <w:color w:val="334155"/>
          <w:sz w:val="19"/>
        </w:rPr>
        <w:t>:</w:t>
      </w:r>
    </w:p>
    <w:p>
      <w:pPr>
        <w:pStyle w:val="ListBullet"/>
        <w:spacing w:before="20" w:after="40"/>
      </w:pPr>
      <w:r>
        <w:rPr>
          <w:b/>
          <w:color w:val="1E293B"/>
          <w:sz w:val="19"/>
        </w:rPr>
        <w:t>Pad Group A (MCPP &amp; Workshop Plateaus — 48.5 ha):</w:t>
      </w:r>
      <w:r>
        <w:rPr>
          <w:color w:val="334155"/>
          <w:sz w:val="19"/>
        </w:rPr>
        <w:t xml:space="preserve"> Fully remediated hardstand, flat topography (&lt;2% slope), direct access to 132kV sub-transmission, immediate buildability. Target: Advanced manufacturing and sovereign AI data centres.</w:t>
      </w:r>
    </w:p>
    <w:p>
      <w:pPr>
        <w:pStyle w:val="ListBullet"/>
        <w:spacing w:before="20" w:after="40"/>
      </w:pPr>
      <w:r>
        <w:rPr>
          <w:b/>
          <w:color w:val="1E293B"/>
          <w:sz w:val="19"/>
        </w:rPr>
        <w:t>Pad Group B (Westside Open-Cut &amp; Pit Floor — 72.0 ha):</w:t>
      </w:r>
      <w:r>
        <w:rPr>
          <w:color w:val="334155"/>
          <w:sz w:val="19"/>
        </w:rPr>
        <w:t xml:space="preserve"> Stabilized engineered fill pads within the former open-cut void, benched against highwalls, grade-separated from haul road. Target: Heavy transport, clean-tech assembly, modular construction.</w:t>
      </w:r>
    </w:p>
    <w:p>
      <w:pPr>
        <w:pStyle w:val="ListBullet"/>
        <w:spacing w:before="20" w:after="40"/>
      </w:pPr>
      <w:r>
        <w:rPr>
          <w:b/>
          <w:color w:val="1E293B"/>
          <w:sz w:val="19"/>
        </w:rPr>
        <w:t>Pad Group C (Teralba Northgate &amp; Southgate — 34.2 ha):</w:t>
      </w:r>
      <w:r>
        <w:rPr>
          <w:color w:val="334155"/>
          <w:sz w:val="19"/>
        </w:rPr>
        <w:t xml:space="preserve"> Strategic entry portals with direct arterial access to Cessnock Road and rail alignment. Target: Logistics intermodal, freight consolidation, business park interface.</w:t>
      </w:r>
    </w:p>
    <w:p>
      <w:pPr>
        <w:pStyle w:val="ListBullet"/>
        <w:spacing w:before="20" w:after="40"/>
      </w:pPr>
      <w:r>
        <w:rPr>
          <w:b/>
          <w:color w:val="1E293B"/>
          <w:sz w:val="19"/>
        </w:rPr>
        <w:t>Pad Group D (TSF Upper Plateau — 85.0 ha long-term):</w:t>
      </w:r>
      <w:r>
        <w:rPr>
          <w:color w:val="334155"/>
          <w:sz w:val="19"/>
        </w:rPr>
        <w:t xml:space="preserve"> Capped and consolidated tailings storage plateau suitable for distributed solar PV, 100MW BESS, and low-bearing-pressure green industry.</w:t>
      </w:r>
    </w:p>
    <w:p>
      <w:pPr>
        <w:keepNext/>
        <w:spacing w:before="120" w:after="40"/>
      </w:pPr>
      <w:r>
        <w:rPr>
          <w:b/>
          <w:color w:val="475569"/>
          <w:sz w:val="20"/>
        </w:rPr>
        <w:t>1.2 3-Phase Staging Timeline</w:t>
      </w:r>
    </w:p>
    <w:p>
      <w:pPr>
        <w:pStyle w:val="ListBullet"/>
        <w:spacing w:before="20" w:after="40"/>
      </w:pPr>
      <w:r>
        <w:rPr>
          <w:b/>
          <w:color w:val="1E293B"/>
          <w:sz w:val="19"/>
        </w:rPr>
        <w:t>Phase 1 (Immediate / Years 0–3 — 82.7 ha):</w:t>
      </w:r>
      <w:r>
        <w:rPr>
          <w:color w:val="334155"/>
          <w:sz w:val="19"/>
        </w:rPr>
        <w:t xml:space="preserve"> Delivery of Pad Group A and Teralba Northgate. Construction of primary access intersections on Cessnock Road and the initial 33kV/132kV electrical feeder upgrades.</w:t>
      </w:r>
    </w:p>
    <w:p>
      <w:pPr>
        <w:pStyle w:val="ListBullet"/>
        <w:spacing w:before="20" w:after="40"/>
      </w:pPr>
      <w:r>
        <w:rPr>
          <w:b/>
          <w:color w:val="1E293B"/>
          <w:sz w:val="19"/>
        </w:rPr>
        <w:t>Phase 2 (Medium-Term / Years 3–7 — 125.4 ha):</w:t>
      </w:r>
      <w:r>
        <w:rPr>
          <w:color w:val="334155"/>
          <w:sz w:val="19"/>
        </w:rPr>
        <w:t xml:space="preserve"> Delivery of Pad Group B and formal gazettal of the Haul Road arterial spine. Commissioning of the 330kV multi-user terminal substation and reactivation of the Macquarie Rail Loop.</w:t>
      </w:r>
    </w:p>
    <w:p>
      <w:pPr>
        <w:pStyle w:val="ListBullet"/>
        <w:spacing w:before="20" w:after="40"/>
      </w:pPr>
      <w:r>
        <w:rPr>
          <w:b/>
          <w:color w:val="1E293B"/>
          <w:sz w:val="19"/>
        </w:rPr>
        <w:t>Phase 3 (Long-Term / Years 7–12+ — 112.0 ha):</w:t>
      </w:r>
      <w:r>
        <w:rPr>
          <w:color w:val="334155"/>
          <w:sz w:val="19"/>
        </w:rPr>
        <w:t xml:space="preserve"> Delivery of Pad Group D (TSF plateau) following Dams Safety NSW de-declaration, and integration of the 49 MWh pit-void pumped hydro energy storage scheme.</w:t>
      </w:r>
    </w:p>
    <w:p>
      <w:pPr>
        <w:spacing w:before="40" w:after="80" w:line="276" w:lineRule="auto"/>
      </w:pPr>
      <w:r>
        <w:rPr>
          <w:color w:val="334155"/>
          <w:sz w:val="19"/>
        </w:rPr>
        <w:t>---</w:t>
      </w:r>
    </w:p>
    <w:p>
      <w:pPr>
        <w:pStyle w:val="Heading3"/>
        <w:keepNext/>
        <w:spacing w:before="160" w:after="40"/>
      </w:pPr>
      <w:r>
        <w:rPr>
          <w:b/>
          <w:color w:val="334155"/>
        </w:rPr>
        <w:t>Pillar 2: Infrastructure &amp; Circular Utility Integration (Energy, Water, Waste)</w:t>
      </w:r>
    </w:p>
    <w:p>
      <w:pPr>
        <w:spacing w:before="80" w:after="120"/>
        <w:ind w:left="360"/>
      </w:pPr>
      <w:r>
        <w:rPr>
          <w:rFonts w:ascii="Consolas" w:hAnsi="Consolas"/>
          <w:color w:val="0F172A"/>
          <w:sz w:val="17"/>
        </w:rPr>
        <w:t>flowchart LR</w:t>
        <w:br/>
        <w:t xml:space="preserve">    A["Transgrid 330kV Lines 21/22"] --&gt; B["Dedicated Multi-User 330/132kV Substation Pad"]</w:t>
        <w:br/>
        <w:t xml:space="preserve">    B --&gt; C["Hyperscale AI Data Centres: 150-300 MW"]</w:t>
        <w:br/>
        <w:t xml:space="preserve">    B --&gt; D["100MW / 400MWh Grid-Scale BESS"]</w:t>
        <w:br/>
        <w:t xml:space="preserve">    B --&gt; E["Advanced Manufacturing and Electrolysers"]</w:t>
        <w:br/>
        <w:t xml:space="preserve">    </w:t>
        <w:br/>
        <w:t xml:space="preserve">    F["Upper Ridgeline Storage Reservoir: +145m AHD"] &lt;--&gt;|Reversible Penstock: 120m Head| G["Westside Void Lower Reservoir: +25m AHD"]</w:t>
        <w:br/>
        <w:t xml:space="preserve">    G &lt;--&gt;|49 MWh PHES Turbines| B</w:t>
        <w:br/>
        <w:t xml:space="preserve">    </w:t>
        <w:br/>
        <w:t xml:space="preserve">    H["Hunter Water Edgeworth WWTW"] --&gt; I["Tertiary Recycled Water Trunk"]</w:t>
        <w:br/>
        <w:t xml:space="preserve">    I --&gt; J["100% Closed-Loop Data Centre Cooling"]</w:t>
        <w:br/>
        <w:t xml:space="preserve">    I --&gt; K["Industrial Process Water and Firefighting Reserves"]</w:t>
      </w:r>
    </w:p>
    <w:p>
      <w:pPr>
        <w:keepNext/>
        <w:spacing w:before="120" w:after="40"/>
      </w:pPr>
      <w:r>
        <w:rPr>
          <w:b/>
          <w:color w:val="475569"/>
          <w:sz w:val="20"/>
        </w:rPr>
        <w:t>2.1 330kV / 132kV Multi-User Sovereign Power Substation Hub</w:t>
      </w:r>
    </w:p>
    <w:p>
      <w:pPr>
        <w:pStyle w:val="ListBullet"/>
        <w:spacing w:before="20" w:after="40"/>
      </w:pPr>
      <w:r>
        <w:rPr>
          <w:b/>
          <w:color w:val="1E293B"/>
          <w:sz w:val="19"/>
        </w:rPr>
        <w:t>Current Gap:</w:t>
      </w:r>
      <w:r>
        <w:rPr>
          <w:color w:val="334155"/>
          <w:sz w:val="19"/>
        </w:rPr>
        <w:t xml:space="preserve"> Proponents seeking &gt;20 MVA connections face severe delays negotiating individual Ausgrid/Transgrid connection agreements.</w:t>
      </w:r>
    </w:p>
    <w:p>
      <w:pPr>
        <w:pStyle w:val="ListBullet"/>
        <w:spacing w:before="20" w:after="40"/>
      </w:pPr>
      <w:r>
        <w:rPr>
          <w:b/>
          <w:color w:val="1E293B"/>
          <w:sz w:val="19"/>
        </w:rPr>
        <w:t>Enhancement:</w:t>
      </w:r>
      <w:r>
        <w:rPr>
          <w:color w:val="334155"/>
          <w:sz w:val="19"/>
        </w:rPr>
        <w:t xml:space="preserve"> Master plan a dedicated </w:t>
      </w:r>
      <w:r>
        <w:rPr>
          <w:b/>
          <w:color w:val="1E293B"/>
          <w:sz w:val="19"/>
        </w:rPr>
        <w:t>4.5-hectare SP2 Infrastructure Substation Reserve</w:t>
      </w:r>
      <w:r>
        <w:rPr>
          <w:color w:val="334155"/>
          <w:sz w:val="19"/>
        </w:rPr>
        <w:t xml:space="preserve"> directly adjacent to Transgrid Lines 21 and 22. Establish a shared multi-user 330/132kV terminal substation capable of scaling from </w:t>
      </w:r>
      <w:r>
        <w:rPr>
          <w:b/>
          <w:color w:val="1E293B"/>
          <w:sz w:val="19"/>
        </w:rPr>
        <w:t>200 MVA to 600 MVA</w:t>
      </w:r>
      <w:r>
        <w:rPr>
          <w:color w:val="334155"/>
          <w:sz w:val="19"/>
        </w:rPr>
        <w:t>, providing immediate plug-and-play high-voltage power for energy-intensive clean industries and hyperscale digital infrastructure.</w:t>
      </w:r>
    </w:p>
    <w:p>
      <w:pPr>
        <w:keepNext/>
        <w:spacing w:before="120" w:after="40"/>
      </w:pPr>
      <w:r>
        <w:rPr>
          <w:b/>
          <w:color w:val="475569"/>
          <w:sz w:val="20"/>
        </w:rPr>
        <w:t>2.2 Energy Circularity: Micro-Pumped Hydro (49 MWh) &amp; BESS Co-Location</w:t>
      </w:r>
    </w:p>
    <w:p>
      <w:pPr>
        <w:pStyle w:val="ListBullet"/>
        <w:spacing w:before="20" w:after="40"/>
      </w:pPr>
      <w:r>
        <w:rPr>
          <w:b/>
          <w:color w:val="1E293B"/>
          <w:sz w:val="19"/>
        </w:rPr>
        <w:t>Topographic Asset:</w:t>
      </w:r>
      <w:r>
        <w:rPr>
          <w:color w:val="334155"/>
          <w:sz w:val="19"/>
        </w:rPr>
        <w:t xml:space="preserve"> The natural </w:t>
      </w:r>
      <w:r>
        <w:rPr>
          <w:b/>
          <w:color w:val="1E293B"/>
          <w:sz w:val="19"/>
        </w:rPr>
        <w:t>120m hydraulic elevation head</w:t>
      </w:r>
      <w:r>
        <w:rPr>
          <w:color w:val="334155"/>
          <w:sz w:val="19"/>
        </w:rPr>
        <w:t xml:space="preserve"> between the upper sandstone ridge (+145m AHD) and the existing Westside pit void base (+25m AHD) offers an exceptional closed-loop energy storage opportunity.</w:t>
      </w:r>
    </w:p>
    <w:p>
      <w:pPr>
        <w:pStyle w:val="ListBullet"/>
        <w:spacing w:before="20" w:after="40"/>
      </w:pPr>
      <w:r>
        <w:rPr>
          <w:b/>
          <w:color w:val="1E293B"/>
          <w:sz w:val="19"/>
        </w:rPr>
        <w:t>Engineering Specification:</w:t>
      </w:r>
      <w:r>
        <w:rPr>
          <w:color w:val="334155"/>
          <w:sz w:val="19"/>
        </w:rPr>
        <w:t xml:space="preserve"> Construct a 500 ML upper turkey-nest reservoir linked via a buried 1.2m penstock to a 20 MW reversible Francis pump-turbine unit located in the void, delivering </w:t>
      </w:r>
      <w:r>
        <w:rPr>
          <w:b/>
          <w:color w:val="1E293B"/>
          <w:sz w:val="19"/>
        </w:rPr>
        <w:t>up to 49.0 MWh of daily synchronous inertia and clean peaking capacity</w:t>
      </w:r>
      <w:r>
        <w:rPr>
          <w:color w:val="334155"/>
          <w:sz w:val="19"/>
        </w:rPr>
        <w:t xml:space="preserve"> to firm on-site industrial loads and support the NSW Central-West Orana / Hunter Renewable Energy Zone (REZ).</w:t>
      </w:r>
    </w:p>
    <w:p>
      <w:pPr>
        <w:keepNext/>
        <w:spacing w:before="120" w:after="40"/>
      </w:pPr>
      <w:r>
        <w:rPr>
          <w:b/>
          <w:color w:val="475569"/>
          <w:sz w:val="20"/>
        </w:rPr>
        <w:t>2.3 Water Stewardship: Dual-Pipe Recycled Water Network (Zero Potable Cooling)</w:t>
      </w:r>
    </w:p>
    <w:p>
      <w:pPr>
        <w:pStyle w:val="ListBullet"/>
        <w:spacing w:before="20" w:after="40"/>
      </w:pPr>
      <w:r>
        <w:rPr>
          <w:b/>
          <w:color w:val="1E293B"/>
          <w:sz w:val="19"/>
        </w:rPr>
        <w:t>Policy Mandate:</w:t>
      </w:r>
      <w:r>
        <w:rPr>
          <w:color w:val="334155"/>
          <w:sz w:val="19"/>
        </w:rPr>
        <w:t xml:space="preserve"> Strictly prohibit the use of potable drinking water for industrial thermal cooling.</w:t>
      </w:r>
    </w:p>
    <w:p>
      <w:pPr>
        <w:pStyle w:val="ListBullet"/>
        <w:spacing w:before="20" w:after="40"/>
      </w:pPr>
      <w:r>
        <w:rPr>
          <w:b/>
          <w:color w:val="1E293B"/>
          <w:sz w:val="19"/>
        </w:rPr>
        <w:t>Infrastructure Delivery:</w:t>
      </w:r>
      <w:r>
        <w:rPr>
          <w:color w:val="334155"/>
          <w:sz w:val="19"/>
        </w:rPr>
        <w:t xml:space="preserve"> Construct a dedicated 4.2 km tertiary-treated recycled water pipeline from Hunter Water's Edgeworth Wastewater Treatment Works (WWTW). All data centre facilities must utilize </w:t>
      </w:r>
      <w:r>
        <w:rPr>
          <w:b/>
          <w:color w:val="1E293B"/>
          <w:sz w:val="19"/>
        </w:rPr>
        <w:t>100% closed-loop liquid-to-air cooling or recycled water evaporative chillers</w:t>
      </w:r>
      <w:r>
        <w:rPr>
          <w:color w:val="334155"/>
          <w:sz w:val="19"/>
        </w:rPr>
        <w:t xml:space="preserve">, preserving over </w:t>
      </w:r>
      <w:r>
        <w:rPr>
          <w:b/>
          <w:color w:val="1E293B"/>
          <w:sz w:val="19"/>
        </w:rPr>
        <w:t>1.2 GL per annum</w:t>
      </w:r>
      <w:r>
        <w:rPr>
          <w:color w:val="334155"/>
          <w:sz w:val="19"/>
        </w:rPr>
        <w:t xml:space="preserve"> of potable drinking water for the Lower Hunter region.</w:t>
      </w:r>
    </w:p>
    <w:p>
      <w:pPr>
        <w:spacing w:before="40" w:after="80" w:line="276" w:lineRule="auto"/>
      </w:pPr>
      <w:r>
        <w:rPr>
          <w:color w:val="334155"/>
          <w:sz w:val="19"/>
        </w:rPr>
        <w:t>---</w:t>
      </w:r>
    </w:p>
    <w:p>
      <w:pPr>
        <w:pStyle w:val="Heading3"/>
        <w:keepNext/>
        <w:spacing w:before="160" w:after="40"/>
      </w:pPr>
      <w:r>
        <w:rPr>
          <w:b/>
          <w:color w:val="334155"/>
        </w:rPr>
        <w:t>Pillar 3: Multi-Modal Freight, Haul Road Arterial &amp; Rail Siding Reactivation</w:t>
      </w:r>
    </w:p>
    <w:p>
      <w:pPr>
        <w:keepNext/>
        <w:spacing w:before="120" w:after="40"/>
      </w:pPr>
      <w:r>
        <w:rPr>
          <w:b/>
          <w:color w:val="475569"/>
          <w:sz w:val="20"/>
        </w:rPr>
        <w:t>3.1 Repurposing the Glencore Mine Haul Road into a Public Freight Spine</w:t>
      </w:r>
    </w:p>
    <w:p>
      <w:pPr>
        <w:pStyle w:val="ListBullet"/>
        <w:spacing w:before="20" w:after="40"/>
      </w:pPr>
      <w:r>
        <w:rPr>
          <w:b/>
          <w:color w:val="1E293B"/>
          <w:sz w:val="19"/>
        </w:rPr>
        <w:t>Constraint Solved:</w:t>
      </w:r>
      <w:r>
        <w:rPr>
          <w:color w:val="334155"/>
          <w:sz w:val="19"/>
        </w:rPr>
        <w:t xml:space="preserve"> Heavy vehicle access to the precinct via local residential streets in Barnsley (George Booth Drive / Taylor Avenue) or Teralba (Railway Street) creates unacceptable noise and safety impacts.</w:t>
      </w:r>
    </w:p>
    <w:p>
      <w:pPr>
        <w:pStyle w:val="ListBullet"/>
        <w:spacing w:before="20" w:after="40"/>
      </w:pPr>
      <w:r>
        <w:rPr>
          <w:b/>
          <w:color w:val="1E293B"/>
          <w:sz w:val="19"/>
        </w:rPr>
        <w:t>Enhancement:</w:t>
      </w:r>
      <w:r>
        <w:rPr>
          <w:color w:val="334155"/>
          <w:sz w:val="19"/>
        </w:rPr>
        <w:t xml:space="preserve"> Gazetted conversion of the </w:t>
      </w:r>
      <w:r>
        <w:rPr>
          <w:b/>
          <w:color w:val="1E293B"/>
          <w:sz w:val="19"/>
        </w:rPr>
        <w:t>7.8 km private grade-separated mine haul road</w:t>
      </w:r>
      <w:r>
        <w:rPr>
          <w:color w:val="334155"/>
          <w:sz w:val="19"/>
        </w:rPr>
        <w:t xml:space="preserve"> into a dedicated, heavy-vehicle arterial corridor (B-Double and PBS Level 2A rated). This creates a direct, signal-free heavy transport spine connecting Cessnock Road at Wakefield directly to Wilton Road and the M1 Motorway interchange, entirely bypassing residential sensitive receivers.</w:t>
      </w:r>
    </w:p>
    <w:p>
      <w:pPr>
        <w:keepNext/>
        <w:spacing w:before="120" w:after="40"/>
      </w:pPr>
      <w:r>
        <w:rPr>
          <w:b/>
          <w:color w:val="475569"/>
          <w:sz w:val="20"/>
        </w:rPr>
        <w:t>3.2 Macquarie Intermodal Rail Terminal (MIRT)</w:t>
      </w:r>
    </w:p>
    <w:p>
      <w:pPr>
        <w:pStyle w:val="ListBullet"/>
        <w:spacing w:before="20" w:after="40"/>
      </w:pPr>
      <w:r>
        <w:rPr>
          <w:b/>
          <w:color w:val="1E293B"/>
          <w:sz w:val="19"/>
        </w:rPr>
        <w:t>Strategic Rail Asset:</w:t>
      </w:r>
      <w:r>
        <w:rPr>
          <w:color w:val="334155"/>
          <w:sz w:val="19"/>
        </w:rPr>
        <w:t xml:space="preserve"> The precinct retains an intact </w:t>
      </w:r>
      <w:r>
        <w:rPr>
          <w:b/>
          <w:color w:val="1E293B"/>
          <w:sz w:val="19"/>
        </w:rPr>
        <w:t>1.8 km balloon rail loop and siding</w:t>
      </w:r>
      <w:r>
        <w:rPr>
          <w:color w:val="334155"/>
          <w:sz w:val="19"/>
        </w:rPr>
        <w:t xml:space="preserve"> directly connected to the Main Northern Railway line.</w:t>
      </w:r>
    </w:p>
    <w:p>
      <w:pPr>
        <w:pStyle w:val="ListBullet"/>
        <w:spacing w:before="20" w:after="40"/>
      </w:pPr>
      <w:r>
        <w:rPr>
          <w:b/>
          <w:color w:val="1E293B"/>
          <w:sz w:val="19"/>
        </w:rPr>
        <w:t>Enhancement:</w:t>
      </w:r>
      <w:r>
        <w:rPr>
          <w:color w:val="334155"/>
          <w:sz w:val="19"/>
        </w:rPr>
        <w:t xml:space="preserve"> Formalize an SP2 Rail Infrastructure reservation to develop the </w:t>
      </w:r>
      <w:r>
        <w:rPr>
          <w:b/>
          <w:color w:val="1E293B"/>
          <w:sz w:val="19"/>
        </w:rPr>
        <w:t>Macquarie Intermodal Rail Terminal (MIRT)</w:t>
      </w:r>
      <w:r>
        <w:rPr>
          <w:color w:val="334155"/>
          <w:sz w:val="19"/>
        </w:rPr>
        <w:t xml:space="preserve">. Capable of handling 600m–900m container and freight trains, MIRT will shift over </w:t>
      </w:r>
      <w:r>
        <w:rPr>
          <w:b/>
          <w:color w:val="1E293B"/>
          <w:sz w:val="19"/>
        </w:rPr>
        <w:t>350,000 tonnes per annum of heavy industrial freight from road to rail</w:t>
      </w:r>
      <w:r>
        <w:rPr>
          <w:color w:val="334155"/>
          <w:sz w:val="19"/>
        </w:rPr>
        <w:t>, connecting Lower Hunter advanced manufacturers directly to the Port of Newcastle, Sydney Metropolitan freight terminals, and the Inland Rail network.</w:t>
      </w:r>
    </w:p>
    <w:p>
      <w:pPr>
        <w:spacing w:before="40" w:after="80" w:line="276" w:lineRule="auto"/>
      </w:pPr>
      <w:r>
        <w:rPr>
          <w:color w:val="334155"/>
          <w:sz w:val="19"/>
        </w:rPr>
        <w:t>---</w:t>
      </w:r>
    </w:p>
    <w:p>
      <w:pPr>
        <w:pStyle w:val="Heading3"/>
        <w:keepNext/>
        <w:spacing w:before="160" w:after="40"/>
      </w:pPr>
      <w:r>
        <w:rPr>
          <w:b/>
          <w:color w:val="334155"/>
        </w:rPr>
        <w:t>Pillar 4: Geotechnical Ground Improvement &amp; Dam Safety NSW Transition</w:t>
      </w:r>
    </w:p>
    <w:p>
      <w:pPr>
        <w:spacing w:before="80" w:after="120"/>
        <w:ind w:left="360"/>
      </w:pPr>
      <w:r>
        <w:rPr>
          <w:rFonts w:ascii="Consolas" w:hAnsi="Consolas"/>
          <w:color w:val="0F172A"/>
          <w:sz w:val="17"/>
        </w:rPr>
        <w:t>flowchart TD</w:t>
        <w:br/>
        <w:t xml:space="preserve">    A["TSF Tailings Slurry Mass: ~15.2 ha"] --&gt; B["Phase 1: Deep Wick Drains + Surcharge Pre-Loading"]</w:t>
        <w:br/>
        <w:t xml:space="preserve">    B --&gt; C["Phase 2: Accelerated Pore-Pressure Dissipation: 24-36 Months"]</w:t>
        <w:br/>
        <w:t xml:space="preserve">    C --&gt; D["Phase 3: Engineered Compacted Capping Layer: 1.5m Clay + Geogrid"]</w:t>
        <w:br/>
        <w:t xml:space="preserve">    D --&gt; E["Dams Safety NSW Formal De-Declaration &amp; Risk Re-Classification"]</w:t>
        <w:br/>
        <w:t xml:space="preserve">    E --&gt; F["Staged Net Zero Ground: 85 ha Solar PV + 100MW BESS Hardstand"]</w:t>
      </w:r>
    </w:p>
    <w:p>
      <w:pPr>
        <w:keepNext/>
        <w:spacing w:before="120" w:after="40"/>
      </w:pPr>
      <w:r>
        <w:rPr>
          <w:b/>
          <w:color w:val="475569"/>
          <w:sz w:val="20"/>
        </w:rPr>
        <w:t>4.1 Staged Tailings Storage Facility (TSF) Remediation &amp; De-Declaration</w:t>
      </w:r>
    </w:p>
    <w:p>
      <w:pPr>
        <w:pStyle w:val="ListBullet"/>
        <w:spacing w:before="20" w:after="40"/>
      </w:pPr>
      <w:r>
        <w:rPr>
          <w:b/>
          <w:color w:val="1E293B"/>
          <w:sz w:val="19"/>
        </w:rPr>
        <w:t>Dams Safety NSW Compliance:</w:t>
      </w:r>
      <w:r>
        <w:rPr>
          <w:color w:val="334155"/>
          <w:sz w:val="19"/>
        </w:rPr>
        <w:t xml:space="preserve"> The TSF is currently a Declared Dam with an associated Dam Break Inundation Zone affecting northern lowlands.</w:t>
      </w:r>
    </w:p>
    <w:p>
      <w:pPr>
        <w:pStyle w:val="ListBullet"/>
        <w:spacing w:before="20" w:after="40"/>
      </w:pPr>
      <w:r>
        <w:rPr>
          <w:b/>
          <w:color w:val="1E293B"/>
          <w:sz w:val="19"/>
        </w:rPr>
        <w:t>Engineering Solution:</w:t>
      </w:r>
      <w:r>
        <w:rPr>
          <w:color w:val="334155"/>
          <w:sz w:val="19"/>
        </w:rPr>
        <w:t xml:space="preserve"> Implement a structured 3-stage geotechnical consolidation program:</w:t>
      </w:r>
    </w:p>
    <w:p>
      <w:pPr>
        <w:pStyle w:val="ListNumber"/>
        <w:spacing w:before="20" w:after="40"/>
      </w:pPr>
      <w:r>
        <w:rPr>
          <w:color w:val="334155"/>
          <w:sz w:val="19"/>
        </w:rPr>
        <w:t>*Pore Pressure Dissipation:* Installation of prefabricated vertical wick drains (PVDs) at 1.5m spacing across the soft tailings mass combined with engineered surcharge mounds.</w:t>
      </w:r>
    </w:p>
    <w:p>
      <w:pPr>
        <w:pStyle w:val="ListNumber"/>
        <w:spacing w:before="20" w:after="40"/>
      </w:pPr>
      <w:r>
        <w:rPr>
          <w:color w:val="334155"/>
          <w:sz w:val="19"/>
        </w:rPr>
        <w:t>*Engineered Capping:* Placement of a non-woven geotextile separation membrane, high-strength biaxial geogrid, and a minimum 1.5m compacted inert rock/clay capping layer with alkaline buffering to neutralize potential acid drainage.</w:t>
      </w:r>
    </w:p>
    <w:p>
      <w:pPr>
        <w:pStyle w:val="ListNumber"/>
        <w:spacing w:before="20" w:after="40"/>
      </w:pPr>
      <w:r>
        <w:rPr>
          <w:color w:val="334155"/>
          <w:sz w:val="19"/>
        </w:rPr>
        <w:t xml:space="preserve">*Statutory De-Declaration:* Progressive monitoring of piezometers and settlement plates to satisfy Dams Safety NSW safety criteria, enabling formal de-declaration and safe release of </w:t>
      </w:r>
      <w:r>
        <w:rPr>
          <w:b/>
          <w:color w:val="1E293B"/>
          <w:sz w:val="19"/>
        </w:rPr>
        <w:t>85+ hectares</w:t>
      </w:r>
      <w:r>
        <w:rPr>
          <w:color w:val="334155"/>
          <w:sz w:val="19"/>
        </w:rPr>
        <w:t xml:space="preserve"> for solar generation and energy storage installations.</w:t>
      </w:r>
    </w:p>
    <w:p>
      <w:pPr>
        <w:keepNext/>
        <w:spacing w:before="120" w:after="40"/>
      </w:pPr>
      <w:r>
        <w:rPr>
          <w:b/>
          <w:color w:val="475569"/>
          <w:sz w:val="20"/>
        </w:rPr>
        <w:t>4.2 Standardized Subsidence Advisory NSW Foundation Matrix</w:t>
      </w:r>
    </w:p>
    <w:p>
      <w:pPr>
        <w:pStyle w:val="ListBullet"/>
        <w:spacing w:before="20" w:after="40"/>
      </w:pPr>
      <w:r>
        <w:rPr>
          <w:b/>
          <w:color w:val="1E293B"/>
          <w:sz w:val="19"/>
        </w:rPr>
        <w:t>Mine Workings Management:</w:t>
      </w:r>
      <w:r>
        <w:rPr>
          <w:color w:val="334155"/>
          <w:sz w:val="19"/>
        </w:rPr>
        <w:t xml:space="preserve"> To streamline Development Applications (DAs) over historic underground bord-and-pillar workings in the Great Northern and Fassifern seams, introduce a </w:t>
      </w:r>
      <w:r>
        <w:rPr>
          <w:b/>
          <w:color w:val="1E293B"/>
          <w:sz w:val="19"/>
        </w:rPr>
        <w:t>pre-approved geotechnical foundation code</w:t>
      </w:r>
      <w:r>
        <w:rPr>
          <w:color w:val="334155"/>
          <w:sz w:val="19"/>
        </w:rPr>
        <w:t>:</w:t>
      </w:r>
    </w:p>
    <w:p>
      <w:pPr>
        <w:pStyle w:val="ListBullet"/>
        <w:spacing w:before="20" w:after="40"/>
      </w:pPr>
      <w:r>
        <w:rPr>
          <w:color w:val="334155"/>
          <w:sz w:val="19"/>
        </w:rPr>
        <w:t>*Zone G1 (Intact Rock / Unmined):* Standard shallow spread footings (allowable bearing capacity &gt;300 kPa).</w:t>
      </w:r>
    </w:p>
    <w:p>
      <w:pPr>
        <w:pStyle w:val="ListBullet"/>
        <w:spacing w:before="20" w:after="40"/>
      </w:pPr>
      <w:r>
        <w:rPr>
          <w:color w:val="334155"/>
          <w:sz w:val="19"/>
        </w:rPr>
        <w:t>*Zone G2 (Deep Stable Workings &gt;100m depth):* Reinforced stiffened raft slabs with articulation joints designed for 3mm/m tensile strain and 1:500 tilt limits.</w:t>
      </w:r>
    </w:p>
    <w:p>
      <w:pPr>
        <w:pStyle w:val="ListBullet"/>
        <w:spacing w:before="20" w:after="40"/>
      </w:pPr>
      <w:r>
        <w:rPr>
          <w:color w:val="334155"/>
          <w:sz w:val="19"/>
        </w:rPr>
        <w:t>*Zone G3 (Shallow Workings &lt;50m depth):* Targeted pressure-grouting of voids beneath building footprints or driven steel end-bearing piles socketed into unmined basement strata.</w:t>
      </w:r>
    </w:p>
    <w:p>
      <w:pPr>
        <w:spacing w:before="40" w:after="80" w:line="276" w:lineRule="auto"/>
      </w:pPr>
      <w:r>
        <w:rPr>
          <w:color w:val="334155"/>
          <w:sz w:val="19"/>
        </w:rPr>
        <w:t>---</w:t>
      </w:r>
    </w:p>
    <w:p>
      <w:pPr>
        <w:pStyle w:val="Heading3"/>
        <w:keepNext/>
        <w:spacing w:before="160" w:after="40"/>
      </w:pPr>
      <w:r>
        <w:rPr>
          <w:b/>
          <w:color w:val="334155"/>
        </w:rPr>
        <w:t>Pillar 5: Environmental Stewardship, Koala Corridors &amp; Acoustic Landform Bunds</w:t>
      </w:r>
    </w:p>
    <w:p>
      <w:pPr>
        <w:keepNext/>
        <w:spacing w:before="120" w:after="40"/>
      </w:pPr>
      <w:r>
        <w:rPr>
          <w:b/>
          <w:color w:val="475569"/>
          <w:sz w:val="20"/>
        </w:rPr>
        <w:t>5.1 Sugarloaf-to-Awaba Biodiversity Bio-Link (C2 Zone)</w:t>
      </w:r>
    </w:p>
    <w:p>
      <w:pPr>
        <w:pStyle w:val="ListBullet"/>
        <w:spacing w:before="20" w:after="40"/>
      </w:pPr>
      <w:r>
        <w:rPr>
          <w:b/>
          <w:color w:val="1E293B"/>
          <w:sz w:val="19"/>
        </w:rPr>
        <w:t>Ecological Connectivity:</w:t>
      </w:r>
      <w:r>
        <w:rPr>
          <w:color w:val="334155"/>
          <w:sz w:val="19"/>
        </w:rPr>
        <w:t xml:space="preserve"> Remnant vegetation across the precinct forms a vital regional linkage between Mount Sugarloaf, the Sugarloaf State Conservation Area, and the Awaba wetlands.</w:t>
      </w:r>
    </w:p>
    <w:p>
      <w:pPr>
        <w:pStyle w:val="ListBullet"/>
        <w:spacing w:before="20" w:after="40"/>
      </w:pPr>
      <w:r>
        <w:rPr>
          <w:b/>
          <w:color w:val="1E293B"/>
          <w:sz w:val="19"/>
        </w:rPr>
        <w:t>Enhancement:</w:t>
      </w:r>
      <w:r>
        <w:rPr>
          <w:color w:val="334155"/>
          <w:sz w:val="19"/>
        </w:rPr>
        <w:t xml:space="preserve"> Expand and formalize a continuous </w:t>
      </w:r>
      <w:r>
        <w:rPr>
          <w:b/>
          <w:color w:val="1E293B"/>
          <w:sz w:val="19"/>
        </w:rPr>
        <w:t>250m–300m wide C2 Environmental Conservation corridor</w:t>
      </w:r>
      <w:r>
        <w:rPr>
          <w:color w:val="334155"/>
          <w:sz w:val="19"/>
        </w:rPr>
        <w:t xml:space="preserve"> totaling </w:t>
      </w:r>
      <w:r>
        <w:rPr>
          <w:b/>
          <w:color w:val="1E293B"/>
          <w:sz w:val="19"/>
        </w:rPr>
        <w:t>~320 hectares</w:t>
      </w:r>
      <w:r>
        <w:rPr>
          <w:color w:val="334155"/>
          <w:sz w:val="19"/>
        </w:rPr>
        <w:t>. Incorporate:</w:t>
      </w:r>
    </w:p>
    <w:p>
      <w:pPr>
        <w:pStyle w:val="ListBullet"/>
        <w:spacing w:before="20" w:after="40"/>
      </w:pPr>
      <w:r>
        <w:rPr>
          <w:color w:val="334155"/>
          <w:sz w:val="19"/>
        </w:rPr>
        <w:t>Mandatory planting of Preferred Koala Feed Trees (*Eucalyptus punctata*, *Eucalyptus robusta*, *Eucalyptus tereticornis*).</w:t>
      </w:r>
    </w:p>
    <w:p>
      <w:pPr>
        <w:pStyle w:val="ListBullet"/>
        <w:spacing w:before="20" w:after="40"/>
      </w:pPr>
      <w:r>
        <w:rPr>
          <w:color w:val="334155"/>
          <w:sz w:val="19"/>
        </w:rPr>
        <w:t xml:space="preserve">Two dedicated vegetated </w:t>
      </w:r>
      <w:r>
        <w:rPr>
          <w:b/>
          <w:color w:val="1E293B"/>
          <w:sz w:val="19"/>
        </w:rPr>
        <w:t>fauna overpasses across the repurposed Haul Road spine</w:t>
      </w:r>
      <w:r>
        <w:rPr>
          <w:color w:val="334155"/>
          <w:sz w:val="19"/>
        </w:rPr>
        <w:t xml:space="preserve"> to eliminate wildlife-vehicle strike risks.</w:t>
      </w:r>
    </w:p>
    <w:p>
      <w:pPr>
        <w:pStyle w:val="ListBullet"/>
        <w:spacing w:before="20" w:after="40"/>
      </w:pPr>
      <w:r>
        <w:rPr>
          <w:color w:val="334155"/>
          <w:sz w:val="19"/>
        </w:rPr>
        <w:t>Integration with the NSW Biodiversity Offsets Scheme (BOS) to generate in-precinct biodiversity stewardship credits.</w:t>
      </w:r>
    </w:p>
    <w:p>
      <w:pPr>
        <w:keepNext/>
        <w:spacing w:before="120" w:after="40"/>
      </w:pPr>
      <w:r>
        <w:rPr>
          <w:b/>
          <w:color w:val="475569"/>
          <w:sz w:val="20"/>
        </w:rPr>
        <w:t>5.2 3D Overburden Acoustic Landform Bunds &amp; 500m Buffer Protection</w:t>
      </w:r>
    </w:p>
    <w:p>
      <w:pPr>
        <w:pStyle w:val="ListBullet"/>
        <w:spacing w:before="20" w:after="40"/>
      </w:pPr>
      <w:r>
        <w:rPr>
          <w:b/>
          <w:color w:val="1E293B"/>
          <w:sz w:val="19"/>
        </w:rPr>
        <w:t>Amenity Assurance:</w:t>
      </w:r>
      <w:r>
        <w:rPr>
          <w:color w:val="334155"/>
          <w:sz w:val="19"/>
        </w:rPr>
        <w:t xml:space="preserve"> Night-time operations of 24/7 hyperscale data centres (chillers/fans generating 70 dBA at source) and logistics freight must comply with the strict </w:t>
      </w:r>
      <w:r>
        <w:rPr>
          <w:b/>
          <w:color w:val="1E293B"/>
          <w:sz w:val="19"/>
        </w:rPr>
        <w:t>35 dBA night-time PNTL</w:t>
      </w:r>
      <w:r>
        <w:rPr>
          <w:color w:val="334155"/>
          <w:sz w:val="19"/>
        </w:rPr>
        <w:t xml:space="preserve"> at Barnsley and Teralba receivers.</w:t>
      </w:r>
    </w:p>
    <w:p>
      <w:pPr>
        <w:pStyle w:val="ListBullet"/>
        <w:spacing w:before="20" w:after="40"/>
      </w:pPr>
      <w:r>
        <w:rPr>
          <w:b/>
          <w:color w:val="1E293B"/>
          <w:sz w:val="19"/>
        </w:rPr>
        <w:t>Enhancement:</w:t>
      </w:r>
      <w:r>
        <w:rPr>
          <w:color w:val="334155"/>
          <w:sz w:val="19"/>
        </w:rPr>
        <w:t xml:space="preserve"> Repurpose </w:t>
      </w:r>
      <w:r>
        <w:rPr>
          <w:b/>
          <w:color w:val="1E293B"/>
          <w:sz w:val="19"/>
        </w:rPr>
        <w:t>450,000 m3 of inert overburden spoil</w:t>
      </w:r>
      <w:r>
        <w:rPr>
          <w:color w:val="334155"/>
          <w:sz w:val="19"/>
        </w:rPr>
        <w:t xml:space="preserve"> to construct </w:t>
      </w:r>
      <w:r>
        <w:rPr>
          <w:b/>
          <w:color w:val="1E293B"/>
          <w:sz w:val="19"/>
        </w:rPr>
        <w:t>6m–8m high sculpted, landscaped acoustic bunds</w:t>
      </w:r>
      <w:r>
        <w:rPr>
          <w:color w:val="334155"/>
          <w:sz w:val="19"/>
        </w:rPr>
        <w:t xml:space="preserve"> along the eastern and northeastern industrial pad boundaries. Combined with mandatory </w:t>
      </w:r>
      <w:r>
        <w:rPr>
          <w:b/>
          <w:color w:val="1E293B"/>
          <w:sz w:val="19"/>
        </w:rPr>
        <w:t>500m acoustic compliance setbacks</w:t>
      </w:r>
      <w:r>
        <w:rPr>
          <w:color w:val="334155"/>
          <w:sz w:val="19"/>
        </w:rPr>
        <w:t xml:space="preserve"> for external mechanical plant, this provides permanent acoustic screening exceeding *NSW EPA Noise Policy for Industry (2017)* standards.</w:t>
      </w:r>
    </w:p>
    <w:p>
      <w:pPr>
        <w:spacing w:before="40" w:after="80" w:line="276" w:lineRule="auto"/>
      </w:pPr>
      <w:r>
        <w:rPr>
          <w:color w:val="334155"/>
          <w:sz w:val="19"/>
        </w:rPr>
        <w:t>---</w:t>
      </w:r>
    </w:p>
    <w:p>
      <w:pPr>
        <w:pStyle w:val="Heading3"/>
        <w:keepNext/>
        <w:spacing w:before="160" w:after="40"/>
      </w:pPr>
      <w:r>
        <w:rPr>
          <w:b/>
          <w:color w:val="334155"/>
        </w:rPr>
        <w:t>Pillar 6: Digital Twin &amp; Client-Side Interactive Siting Engine</w:t>
      </w:r>
    </w:p>
    <w:p>
      <w:pPr>
        <w:spacing w:before="40" w:after="80" w:line="276" w:lineRule="auto"/>
      </w:pPr>
      <w:r>
        <w:rPr>
          <w:color w:val="334155"/>
          <w:sz w:val="19"/>
        </w:rPr>
        <w:t>To empower DPHI planning officers, Lake Macquarie City Council, the Net Zero Economy Authority, and industrial proponents with immediate, zero-friction spatial analysis:</w:t>
      </w:r>
    </w:p>
    <w:p>
      <w:pPr>
        <w:pStyle w:val="ListNumber"/>
        <w:spacing w:before="20" w:after="40"/>
      </w:pPr>
      <w:r>
        <w:rPr>
          <w:b/>
          <w:color w:val="1E293B"/>
          <w:sz w:val="19"/>
        </w:rPr>
        <w:t>Authoritative Open Data:</w:t>
      </w:r>
      <w:r>
        <w:rPr>
          <w:color w:val="334155"/>
          <w:sz w:val="19"/>
        </w:rPr>
        <w:t xml:space="preserve"> All 10 precinct constraint layers (riparian buffers, 1% AEP flood extents, bushfire APZs, slope exclusions, mine subsidence zones, and Net Developable Pads) are compiled into high-performance </w:t>
      </w:r>
      <w:r>
        <w:rPr>
          <w:b/>
          <w:color w:val="1E293B"/>
          <w:sz w:val="19"/>
        </w:rPr>
        <w:t>GDA2020 GeoParquet and GeoJSON layers</w:t>
      </w:r>
      <w:r>
        <w:rPr>
          <w:color w:val="334155"/>
          <w:sz w:val="19"/>
        </w:rPr>
        <w:t>.</w:t>
      </w:r>
    </w:p>
    <w:p>
      <w:pPr>
        <w:pStyle w:val="ListNumber"/>
        <w:spacing w:before="20" w:after="40"/>
      </w:pPr>
      <w:r>
        <w:rPr>
          <w:b/>
          <w:color w:val="1E293B"/>
          <w:sz w:val="19"/>
        </w:rPr>
        <w:t>Client-Side Spatial SQL Offloading:</w:t>
      </w:r>
      <w:r>
        <w:rPr>
          <w:color w:val="334155"/>
          <w:sz w:val="19"/>
        </w:rPr>
        <w:t xml:space="preserve"> Integrated into the live </w:t>
      </w:r>
      <w:r>
        <w:rPr>
          <w:color w:val="0284C7"/>
          <w:sz w:val="19"/>
          <w:u w:val="single"/>
        </w:rPr>
        <w:t>AURA Siting Crafter Interactive Viewer</w:t>
      </w:r>
      <w:r>
        <w:rPr>
          <w:color w:val="334155"/>
          <w:sz w:val="19"/>
        </w:rPr>
        <w:t xml:space="preserve"> running DuckDB-WASM and MapLibre GL, enabling instant, zero-cost slider re-weighting, what-if buffer simulations, and pad yield calculations directly in any standard web browser.</w:t>
      </w:r>
    </w:p>
    <w:p>
      <w:pPr>
        <w:spacing w:before="40" w:after="80" w:line="276" w:lineRule="auto"/>
      </w:pPr>
      <w:r>
        <w:rPr>
          <w:color w:val="334155"/>
          <w:sz w:val="19"/>
        </w:rPr>
        <w:t>---</w:t>
      </w:r>
    </w:p>
    <w:p>
      <w:pPr>
        <w:pStyle w:val="Heading2"/>
        <w:keepNext/>
        <w:spacing w:before="240" w:after="80"/>
      </w:pPr>
      <w:r>
        <w:rPr>
          <w:b/>
          <w:color w:val="0284C7"/>
        </w:rPr>
        <w:t>4. Statutory Implementation Roadmap for DPHI &amp; Council</w:t>
      </w:r>
    </w:p>
    <w:p>
      <w:pPr>
        <w:spacing w:before="40" w:after="80" w:line="276" w:lineRule="auto"/>
      </w:pPr>
      <w:r>
        <w:rPr>
          <w:color w:val="334155"/>
          <w:sz w:val="19"/>
        </w:rPr>
        <w:t xml:space="preserve">We recommend the following specific statutory mechanisms be incorporated into the </w:t>
      </w:r>
      <w:r>
        <w:rPr>
          <w:b/>
          <w:color w:val="1E293B"/>
          <w:sz w:val="19"/>
        </w:rPr>
        <w:t>Finalisation Report, State Significant Rezoning Instrument, and Precinct Development Control Plan (DCP)</w:t>
      </w:r>
      <w:r>
        <w:rPr>
          <w:color w:val="334155"/>
          <w:sz w:val="19"/>
        </w:rPr>
        <w:t>:</w:t>
      </w:r>
    </w:p>
    <w:p>
      <w:pPr>
        <w:spacing w:before="80" w:after="120"/>
        <w:ind w:left="360"/>
      </w:pPr>
      <w:r>
        <w:rPr>
          <w:rFonts w:ascii="Consolas" w:hAnsi="Consolas"/>
          <w:color w:val="0F172A"/>
          <w:sz w:val="17"/>
        </w:rPr>
        <w:t>+----------------------------------------------------------------------------------------------------+</w:t>
        <w:br/>
        <w:t>|                         STATUTORY IMPLEMENTATION &amp; APPROVAL ROADMAP                               |</w:t>
        <w:br/>
        <w:t>+----------------------------------------------------------------------------------------------------+</w:t>
        <w:br/>
        <w:t>| 1. Rezoning SEPP Amendment:                                                                        |</w:t>
        <w:br/>
        <w:t>|    - Gazettal of E4 General Industrial, C2 Environmental Conservation, and SP2 Infrastructure zones.|</w:t>
        <w:br/>
        <w:t>|    - Site-specific clause mandating 100% closed-loop / recycled water for thermal industrial cooling.|</w:t>
        <w:br/>
        <w:t>|    - Special Infrastructure Corridor reservation for the 330kV Substation &amp; Rail Intermodal Loop.  |</w:t>
        <w:br/>
        <w:t>|                                                                                                    |</w:t>
        <w:br/>
        <w:t>| 2. Precinct Development Control Plan (DCP):                                                        |</w:t>
        <w:br/>
        <w:t>|    - Schedule 1: Net Developable Pad Map &amp; 3-Phase Staging Framework (Pads A1-A4, B1-B3, C1-C2).   |</w:t>
        <w:br/>
        <w:t>|    - Schedule 2: Standardized Pre-Approved Subsidence Advisory Geotechnical Foundation Matrix.     |</w:t>
        <w:br/>
        <w:t>|    - Schedule 3: 500m Acoustic Setback Buffer &amp; Mandatory 6m-8m Overburden Noise Bund Criteria.   |</w:t>
        <w:br/>
        <w:t>|    - Schedule 4: Bushfire Perimeter Ring-Road &amp; 20m-45m APZ Standard Cross-Sections.                |</w:t>
        <w:br/>
        <w:t>|                                                                                                    |</w:t>
        <w:br/>
        <w:t>| 3. Infrastructure Delivery Agreement (VPA / SIC):                                                  |</w:t>
        <w:br/>
        <w:t>|    - Coordinated delivery of the Cessnock Rd / Wakefield Rd signalized heavy-haulage intersection. |</w:t>
        <w:br/>
        <w:t>|    - Hunter Water Recycled Water Trunk Line extension from Edgeworth WWTW.                         |</w:t>
        <w:br/>
        <w:t>|    - Transgrid / Ausgrid Multi-User 330/132kV Substation Pad reservation and shared reticulation.  |</w:t>
        <w:br/>
        <w:t>+----------------------------------------------------------------------------------------------------+</w:t>
      </w:r>
    </w:p>
    <w:p>
      <w:pPr>
        <w:spacing w:before="40" w:after="80" w:line="276" w:lineRule="auto"/>
      </w:pPr>
      <w:r>
        <w:rPr>
          <w:color w:val="334155"/>
          <w:sz w:val="19"/>
        </w:rPr>
        <w:t>---</w:t>
      </w:r>
    </w:p>
    <w:p>
      <w:pPr>
        <w:pStyle w:val="Heading2"/>
        <w:keepNext/>
        <w:spacing w:before="240" w:after="80"/>
      </w:pPr>
      <w:r>
        <w:rPr>
          <w:b/>
          <w:color w:val="0284C7"/>
        </w:rPr>
        <w:t>5. Conclusion &amp; Actionable Next Steps</w:t>
      </w:r>
    </w:p>
    <w:p>
      <w:pPr>
        <w:spacing w:before="40" w:after="80" w:line="276" w:lineRule="auto"/>
      </w:pPr>
      <w:r>
        <w:rPr>
          <w:color w:val="334155"/>
          <w:sz w:val="19"/>
        </w:rPr>
        <w:t xml:space="preserve">The Macquarie Coal Complex Transformation Precinct is uniquely endowed to become the flagship post-mining clean economy showcase for Australia. By moving beyond high-level zoning maps to adopt this </w:t>
      </w:r>
      <w:r>
        <w:rPr>
          <w:b/>
          <w:color w:val="1E293B"/>
          <w:sz w:val="19"/>
        </w:rPr>
        <w:t>Site-Level Enhancement Plan</w:t>
      </w:r>
      <w:r>
        <w:rPr>
          <w:color w:val="334155"/>
          <w:sz w:val="19"/>
        </w:rPr>
        <w:t>, DPHI, Lake Macquarie City Council, and Glencore will:</w:t>
      </w:r>
    </w:p>
    <w:p>
      <w:pPr>
        <w:pStyle w:val="ListBullet"/>
        <w:spacing w:before="20" w:after="40"/>
      </w:pPr>
      <w:r>
        <w:rPr>
          <w:b/>
          <w:color w:val="1E293B"/>
          <w:sz w:val="19"/>
        </w:rPr>
        <w:t>De-Risk Proponent Investment:</w:t>
      </w:r>
      <w:r>
        <w:rPr>
          <w:color w:val="334155"/>
          <w:sz w:val="19"/>
        </w:rPr>
        <w:t xml:space="preserve"> Provide immediate geotechnical, flooding, and subsidence certainty across 10 certified Net Developable Pads.</w:t>
      </w:r>
    </w:p>
    <w:p>
      <w:pPr>
        <w:pStyle w:val="ListBullet"/>
        <w:spacing w:before="20" w:after="40"/>
      </w:pPr>
      <w:r>
        <w:rPr>
          <w:b/>
          <w:color w:val="1E293B"/>
          <w:sz w:val="19"/>
        </w:rPr>
        <w:t>Accelerate Approval Timelines:</w:t>
      </w:r>
      <w:r>
        <w:rPr>
          <w:color w:val="334155"/>
          <w:sz w:val="19"/>
        </w:rPr>
        <w:t xml:space="preserve"> Reduce DA assessment cycles from 18+ months to under 60 days through pre-approved foundation and acoustic codes.</w:t>
      </w:r>
    </w:p>
    <w:p>
      <w:pPr>
        <w:pStyle w:val="ListBullet"/>
        <w:spacing w:before="20" w:after="40"/>
      </w:pPr>
      <w:r>
        <w:rPr>
          <w:b/>
          <w:color w:val="1E293B"/>
          <w:sz w:val="19"/>
        </w:rPr>
        <w:t>Protect Regional Values:</w:t>
      </w:r>
      <w:r>
        <w:rPr>
          <w:color w:val="334155"/>
          <w:sz w:val="19"/>
        </w:rPr>
        <w:t xml:space="preserve"> Safeguard surrounding residential amenity, conserve regional Koala corridors, and preserve over 1.2 GL/year of drinking water.</w:t>
      </w:r>
    </w:p>
    <w:p>
      <w:pPr>
        <w:pStyle w:val="ListBullet"/>
        <w:spacing w:before="20" w:after="40"/>
      </w:pPr>
      <w:r>
        <w:rPr>
          <w:b/>
          <w:color w:val="1E293B"/>
          <w:sz w:val="19"/>
        </w:rPr>
        <w:t>Deliver Generational Employment:</w:t>
      </w:r>
      <w:r>
        <w:rPr>
          <w:color w:val="334155"/>
          <w:sz w:val="19"/>
        </w:rPr>
        <w:t xml:space="preserve"> Unlock up to </w:t>
      </w:r>
      <w:r>
        <w:rPr>
          <w:b/>
          <w:color w:val="1E293B"/>
          <w:sz w:val="19"/>
        </w:rPr>
        <w:t>3,500+ direct and indirect high-tech jobs</w:t>
      </w:r>
      <w:r>
        <w:rPr>
          <w:color w:val="334155"/>
          <w:sz w:val="19"/>
        </w:rPr>
        <w:t xml:space="preserve"> across advanced manufacturing, clean energy, and sovereign digital infrastructure.</w:t>
      </w:r>
    </w:p>
    <w:p>
      <w:pPr>
        <w:spacing w:before="40" w:after="80" w:line="276" w:lineRule="auto"/>
      </w:pPr>
      <w:r>
        <w:rPr>
          <w:color w:val="334155"/>
          <w:sz w:val="19"/>
        </w:rPr>
        <w:t>---</w:t>
      </w:r>
    </w:p>
    <w:p>
      <w:pPr>
        <w:spacing w:before="40" w:after="80" w:line="276" w:lineRule="auto"/>
      </w:pPr>
      <w:r>
        <w:rPr>
          <w:color w:val="334155"/>
          <w:sz w:val="19"/>
        </w:rPr>
        <w:t xml:space="preserve">*Persisted in </w:t>
      </w:r>
      <w:r>
        <w:rPr>
          <w:rFonts w:ascii="Consolas" w:hAnsi="Consolas"/>
          <w:color w:val="0E7490"/>
          <w:sz w:val="17"/>
        </w:rPr>
        <w:t>docs/macquarie_coal_precinct_site_enhancement_plan.md</w:t>
      </w:r>
      <w:r>
        <w:rPr>
          <w:color w:val="334155"/>
          <w:sz w:val="19"/>
        </w:rPr>
        <w:t xml:space="preserve"> | AURA Siting Crafter*</w:t>
      </w:r>
    </w:p>
    <w:p>
      <w:pPr>
        <w:pStyle w:val="Heading2"/>
      </w:pPr>
      <w:r>
        <w:t>Section 2.2: Project-Specific Siting Architecture &amp; Precision Hybrid Engine</w:t>
      </w:r>
    </w:p>
    <w:p>
      <w:pPr>
        <w:pStyle w:val="Heading1"/>
        <w:keepNext/>
        <w:spacing w:before="320" w:after="120"/>
      </w:pPr>
      <w:r>
        <w:rPr>
          <w:b/>
          <w:color w:val="0F172A"/>
        </w:rPr>
        <w:t>Project-Specific Siting Architecture &amp; Site Enhancement Plan (_LMCC_MacquarieCoal)</w:t>
      </w:r>
    </w:p>
    <w:p>
      <w:pPr>
        <w:pStyle w:val="Heading2"/>
        <w:keepNext/>
        <w:spacing w:before="240" w:after="80"/>
      </w:pPr>
      <w:r>
        <w:rPr>
          <w:b/>
          <w:color w:val="0284C7"/>
        </w:rPr>
        <w:t>Overview &amp; Context</w:t>
      </w:r>
    </w:p>
    <w:p>
      <w:pPr>
        <w:spacing w:before="40" w:after="80" w:line="276" w:lineRule="auto"/>
      </w:pPr>
      <w:r>
        <w:rPr>
          <w:color w:val="334155"/>
          <w:sz w:val="19"/>
        </w:rPr>
        <w:t xml:space="preserve">This plan establishes a scalable, modular architecture for generating </w:t>
      </w:r>
      <w:r>
        <w:rPr>
          <w:b/>
          <w:color w:val="1E293B"/>
          <w:sz w:val="19"/>
        </w:rPr>
        <w:t>Project-Specific Reports and Interactive Apps</w:t>
      </w:r>
      <w:r>
        <w:rPr>
          <w:color w:val="334155"/>
          <w:sz w:val="19"/>
        </w:rPr>
        <w:t xml:space="preserve"> (patterned as </w:t>
      </w:r>
      <w:r>
        <w:rPr>
          <w:rFonts w:ascii="Consolas" w:hAnsi="Consolas"/>
          <w:color w:val="0E7490"/>
          <w:sz w:val="17"/>
        </w:rPr>
        <w:t>_{Org/LGA}_{ProjectName}</w:t>
      </w:r>
      <w:r>
        <w:rPr>
          <w:color w:val="334155"/>
          <w:sz w:val="19"/>
        </w:rPr>
        <w:t xml:space="preserve">, e.g., </w:t>
      </w:r>
      <w:r>
        <w:rPr>
          <w:rFonts w:ascii="Consolas" w:hAnsi="Consolas"/>
          <w:color w:val="0E7490"/>
          <w:sz w:val="17"/>
        </w:rPr>
        <w:t>_LMCC_MacquarieCoal</w:t>
      </w:r>
      <w:r>
        <w:rPr>
          <w:color w:val="334155"/>
          <w:sz w:val="19"/>
        </w:rPr>
        <w:t>) from submitted site data.</w:t>
      </w:r>
    </w:p>
    <w:p>
      <w:pPr>
        <w:spacing w:before="40" w:after="80" w:line="276" w:lineRule="auto"/>
      </w:pPr>
      <w:r>
        <w:rPr>
          <w:color w:val="334155"/>
          <w:sz w:val="19"/>
        </w:rPr>
        <w:t>Under this architecture:</w:t>
      </w:r>
    </w:p>
    <w:p>
      <w:pPr>
        <w:pStyle w:val="ListNumber"/>
        <w:spacing w:before="20" w:after="40"/>
      </w:pPr>
      <w:r>
        <w:rPr>
          <w:b/>
          <w:color w:val="1E293B"/>
          <w:sz w:val="19"/>
        </w:rPr>
        <w:t>The National Products Remain Untouched &amp; Authoritative:</w:t>
      </w:r>
      <w:r>
        <w:rPr>
          <w:color w:val="334155"/>
          <w:sz w:val="19"/>
        </w:rPr>
        <w:t xml:space="preserve"> The national siting viewer (</w:t>
      </w:r>
      <w:r>
        <w:rPr>
          <w:rFonts w:ascii="Consolas" w:hAnsi="Consolas"/>
          <w:color w:val="0E7490"/>
          <w:sz w:val="17"/>
        </w:rPr>
        <w:t>index.html</w:t>
      </w:r>
      <w:r>
        <w:rPr>
          <w:color w:val="334155"/>
          <w:sz w:val="19"/>
        </w:rPr>
        <w:t>) and national statutory report (</w:t>
      </w:r>
      <w:r>
        <w:rPr>
          <w:rFonts w:ascii="Consolas" w:hAnsi="Consolas"/>
          <w:color w:val="0E7490"/>
          <w:sz w:val="17"/>
        </w:rPr>
        <w:t>national_suitability_report.html</w:t>
      </w:r>
      <w:r>
        <w:rPr>
          <w:color w:val="334155"/>
          <w:sz w:val="19"/>
        </w:rPr>
        <w:t xml:space="preserve">) remain the macro-level baseline, updated only to provide a direct deep-link (e.g. </w:t>
      </w:r>
      <w:r>
        <w:rPr>
          <w:rFonts w:ascii="Consolas" w:hAnsi="Consolas"/>
          <w:color w:val="0E7490"/>
          <w:sz w:val="17"/>
        </w:rPr>
        <w:t>View Detailed Site Assessment -&gt;</w:t>
      </w:r>
      <w:r>
        <w:rPr>
          <w:color w:val="334155"/>
          <w:sz w:val="19"/>
        </w:rPr>
        <w:t xml:space="preserve">) when a user selects a candidate site (e.g. </w:t>
      </w:r>
      <w:r>
        <w:rPr>
          <w:rFonts w:ascii="Consolas" w:hAnsi="Consolas"/>
          <w:color w:val="0E7490"/>
          <w:sz w:val="17"/>
        </w:rPr>
        <w:t>AURA-NSW-0001</w:t>
      </w:r>
      <w:r>
        <w:rPr>
          <w:color w:val="334155"/>
          <w:sz w:val="19"/>
        </w:rPr>
        <w:t xml:space="preserve"> Teralba / Macquarie Coal).</w:t>
      </w:r>
    </w:p>
    <w:p>
      <w:pPr>
        <w:pStyle w:val="ListNumber"/>
        <w:spacing w:before="20" w:after="40"/>
      </w:pPr>
      <w:r>
        <w:rPr>
          <w:b/>
          <w:color w:val="1E293B"/>
          <w:sz w:val="19"/>
        </w:rPr>
        <w:t>Dedicated Project-Specific Products:</w:t>
      </w:r>
      <w:r>
        <w:rPr>
          <w:color w:val="334155"/>
          <w:sz w:val="19"/>
        </w:rPr>
        <w:t xml:space="preserve"> Each project receives a self-contained, high-resolution interactive app (</w:t>
      </w:r>
      <w:r>
        <w:rPr>
          <w:rFonts w:ascii="Consolas" w:hAnsi="Consolas"/>
          <w:color w:val="0E7490"/>
          <w:sz w:val="17"/>
        </w:rPr>
        <w:t>index_LMCC_MacquarieCoal.html</w:t>
      </w:r>
      <w:r>
        <w:rPr>
          <w:color w:val="334155"/>
          <w:sz w:val="19"/>
        </w:rPr>
        <w:t>) and statutory site report (</w:t>
      </w:r>
      <w:r>
        <w:rPr>
          <w:rFonts w:ascii="Consolas" w:hAnsi="Consolas"/>
          <w:color w:val="0E7490"/>
          <w:sz w:val="17"/>
        </w:rPr>
        <w:t>report_LMCC_MacquarieCoal.html</w:t>
      </w:r>
      <w:r>
        <w:rPr>
          <w:color w:val="334155"/>
          <w:sz w:val="19"/>
        </w:rPr>
        <w:t>), loading localized micro-layers, pad geometry, staging schedules, and comparative benchmarks against the national baseline.</w:t>
      </w:r>
    </w:p>
    <w:p>
      <w:pPr>
        <w:pStyle w:val="ListNumber"/>
        <w:spacing w:before="20" w:after="40"/>
      </w:pPr>
      <w:r>
        <w:rPr>
          <w:b/>
          <w:color w:val="1E293B"/>
          <w:sz w:val="19"/>
        </w:rPr>
        <w:t>Repeatable Ingestion Blueprint:</w:t>
      </w:r>
      <w:r>
        <w:rPr>
          <w:color w:val="334155"/>
          <w:sz w:val="19"/>
        </w:rPr>
        <w:t xml:space="preserve"> Any proponent, council, or enterprise (e.g., Hunter Water, Latrobe Valley Council, Gladstone Port) can submit site engineering studies, CAD/GIS vectors, or hazard assessments to produce a standardized, audit-ready site package.</w:t>
      </w:r>
    </w:p>
    <w:p>
      <w:pPr>
        <w:spacing w:before="40" w:after="80" w:line="276" w:lineRule="auto"/>
      </w:pPr>
      <w:r>
        <w:rPr>
          <w:color w:val="334155"/>
          <w:sz w:val="19"/>
        </w:rPr>
        <w:t>---</w:t>
      </w:r>
    </w:p>
    <w:p>
      <w:pPr>
        <w:pStyle w:val="Heading2"/>
        <w:keepNext/>
        <w:spacing w:before="240" w:after="80"/>
      </w:pPr>
      <w:r>
        <w:rPr>
          <w:b/>
          <w:color w:val="0284C7"/>
        </w:rPr>
        <w:t>1. Site-Specific Improvements for Macquarie Coal Complex (`_LMCC_MacquarieCoal`)</w:t>
      </w:r>
    </w:p>
    <w:p>
      <w:pPr>
        <w:spacing w:before="40" w:after="80" w:line="276" w:lineRule="auto"/>
      </w:pPr>
      <w:r>
        <w:rPr>
          <w:color w:val="334155"/>
          <w:sz w:val="19"/>
        </w:rPr>
        <w:t>Based on our in-depth review of all 15 public exhibition technical studies, the following 9 site-specific features and interactive components will be added to the project-specific app and report:</w:t>
      </w:r>
    </w:p>
    <w:p>
      <w:pPr>
        <w:spacing w:before="80" w:after="120"/>
        <w:ind w:left="360"/>
      </w:pPr>
      <w:r>
        <w:rPr>
          <w:rFonts w:ascii="Consolas" w:hAnsi="Consolas"/>
          <w:color w:val="0F172A"/>
          <w:sz w:val="17"/>
        </w:rPr>
        <w:t>flowchart TD</w:t>
        <w:br/>
        <w:t xml:space="preserve">    subgraph National["National Master Products (Untouched)"]</w:t>
        <w:br/>
        <w:t xml:space="preserve">        N1["National Siting Viewer (index.html)"] --&gt;|Click Candidate Site AURA-NSW-0001| N2["Site Modal &amp; Link"]</w:t>
        <w:br/>
        <w:t xml:space="preserve">        N3["National Report (national_suitability_report.html)"]</w:t>
        <w:br/>
        <w:t xml:space="preserve">    end</w:t>
        <w:br/>
        <w:br/>
        <w:t xml:space="preserve">    subgraph ProjectSpecific["Project-Specific Products (_LMCC_MacquarieCoal)"]</w:t>
        <w:br/>
        <w:t xml:space="preserve">        N2 --&gt;|Deep Link| P1["Project Interactive WebGIS (index_LMCC_MacquarieCoal.html)"]</w:t>
        <w:br/>
        <w:t xml:space="preserve">        N2 --&gt;|Deep Link| P2["Site Statutory Report (report_LMCC_MacquarieCoal.html)"]</w:t>
        <w:br/>
        <w:t xml:space="preserve">        </w:t>
        <w:br/>
        <w:t xml:space="preserve">        P1 &amp; P2 --&gt; S1["1. 10 Net Developable Pads (NDPs) &amp; 3-Phase Staging"]</w:t>
        <w:br/>
        <w:t xml:space="preserve">        P1 &amp; P2 --&gt; S2["2. TSF Consolidation &amp; Dams Safety De-Declaration Map"]</w:t>
        <w:br/>
        <w:t xml:space="preserve">        P1 &amp; P2 --&gt; S3["3. 330kV Substation Reserve + 49 MWh Pit-Void PHES Model"]</w:t>
        <w:br/>
        <w:t xml:space="preserve">        P1 &amp; P2 --&gt; S4["4. 1.8km Rail Intermodal Loop + 7.8km Haul Road Arterial"]</w:t>
        <w:br/>
        <w:t xml:space="preserve">        P1 &amp; P2 --&gt; S5["5. Subsidence Advisory NSW Foundation Matrix (G1-G3)"]</w:t>
        <w:br/>
        <w:t xml:space="preserve">        P1 &amp; P2 --&gt; S6["6. 250m C2 Koala Bio-Link &amp; Fauna Overpasses"]</w:t>
        <w:br/>
        <w:t xml:space="preserve">        P1 &amp; P2 --&gt; S7["7. 3D Overburden Acoustic Bunds + 500m Buffer Contours"]</w:t>
        <w:br/>
        <w:t xml:space="preserve">        P1 &amp; P2 --&gt; S8["8. Edgeworth WWTW Dual-Pipe Recycled Cooling Pipeline"]</w:t>
        <w:br/>
        <w:t xml:space="preserve">        P1 &amp; P2 --&gt; S9["9. Site vs National Comparative Benchmark Matrix"]</w:t>
        <w:br/>
        <w:t xml:space="preserve">    end</w:t>
      </w:r>
    </w:p>
    <w:p>
      <w:pPr>
        <w:pStyle w:val="Heading3"/>
        <w:keepNext/>
        <w:spacing w:before="160" w:after="40"/>
      </w:pPr>
      <w:r>
        <w:rPr>
          <w:b/>
          <w:color w:val="334155"/>
        </w:rPr>
        <w:t>1.1 Specific Data Layers &amp; Features to Implement:</w:t>
      </w:r>
    </w:p>
    <w:p>
      <w:pPr>
        <w:pStyle w:val="ListNumber"/>
        <w:spacing w:before="20" w:after="40"/>
      </w:pPr>
      <w:r>
        <w:rPr>
          <w:b/>
          <w:color w:val="1E293B"/>
          <w:sz w:val="19"/>
        </w:rPr>
        <w:t>10 Certified Net Developable Pads (NDPs) with Staging Geometry:</w:t>
      </w:r>
    </w:p>
    <w:p>
      <w:pPr>
        <w:pStyle w:val="ListBullet"/>
        <w:spacing w:before="20" w:after="40"/>
      </w:pPr>
      <w:r>
        <w:rPr>
          <w:color w:val="334155"/>
          <w:sz w:val="19"/>
        </w:rPr>
        <w:t xml:space="preserve">Vector polygons for </w:t>
      </w:r>
      <w:r>
        <w:rPr>
          <w:b/>
          <w:color w:val="1E293B"/>
          <w:sz w:val="19"/>
        </w:rPr>
        <w:t>Pads A1–A4 (48.5 ha hardstand)</w:t>
      </w:r>
      <w:r>
        <w:rPr>
          <w:color w:val="334155"/>
          <w:sz w:val="19"/>
        </w:rPr>
        <w:t xml:space="preserve">, </w:t>
      </w:r>
      <w:r>
        <w:rPr>
          <w:b/>
          <w:color w:val="1E293B"/>
          <w:sz w:val="19"/>
        </w:rPr>
        <w:t>Pads B1–B3 (72.0 ha void floor)</w:t>
      </w:r>
      <w:r>
        <w:rPr>
          <w:color w:val="334155"/>
          <w:sz w:val="19"/>
        </w:rPr>
        <w:t xml:space="preserve">, </w:t>
      </w:r>
      <w:r>
        <w:rPr>
          <w:b/>
          <w:color w:val="1E293B"/>
          <w:sz w:val="19"/>
        </w:rPr>
        <w:t>Pads C1–C2 (34.2 ha portal logistics)</w:t>
      </w:r>
      <w:r>
        <w:rPr>
          <w:color w:val="334155"/>
          <w:sz w:val="19"/>
        </w:rPr>
        <w:t xml:space="preserve">, and </w:t>
      </w:r>
      <w:r>
        <w:rPr>
          <w:b/>
          <w:color w:val="1E293B"/>
          <w:sz w:val="19"/>
        </w:rPr>
        <w:t>Pad D1 (85.0 ha TSF solar/storage plateau)</w:t>
      </w:r>
      <w:r>
        <w:rPr>
          <w:color w:val="334155"/>
          <w:sz w:val="19"/>
        </w:rPr>
        <w:t>.</w:t>
      </w:r>
    </w:p>
    <w:p>
      <w:pPr>
        <w:pStyle w:val="ListBullet"/>
        <w:spacing w:before="20" w:after="40"/>
      </w:pPr>
      <w:r>
        <w:rPr>
          <w:color w:val="334155"/>
          <w:sz w:val="19"/>
        </w:rPr>
        <w:t xml:space="preserve">Interactive time-slider toggling </w:t>
      </w:r>
      <w:r>
        <w:rPr>
          <w:b/>
          <w:color w:val="1E293B"/>
          <w:sz w:val="19"/>
        </w:rPr>
        <w:t>Phase 1 (Years 0–3: 82.7 ha)</w:t>
      </w:r>
      <w:r>
        <w:rPr>
          <w:color w:val="334155"/>
          <w:sz w:val="19"/>
        </w:rPr>
        <w:t xml:space="preserve">, </w:t>
      </w:r>
      <w:r>
        <w:rPr>
          <w:b/>
          <w:color w:val="1E293B"/>
          <w:sz w:val="19"/>
        </w:rPr>
        <w:t>Phase 2 (Years 3–7: 125.4 ha)</w:t>
      </w:r>
      <w:r>
        <w:rPr>
          <w:color w:val="334155"/>
          <w:sz w:val="19"/>
        </w:rPr>
        <w:t xml:space="preserve">, and </w:t>
      </w:r>
      <w:r>
        <w:rPr>
          <w:b/>
          <w:color w:val="1E293B"/>
          <w:sz w:val="19"/>
        </w:rPr>
        <w:t>Phase 3 (Years 7–12+: 112.0 ha)</w:t>
      </w:r>
      <w:r>
        <w:rPr>
          <w:color w:val="334155"/>
          <w:sz w:val="19"/>
        </w:rPr>
        <w:t>.</w:t>
      </w:r>
    </w:p>
    <w:p>
      <w:pPr>
        <w:pStyle w:val="ListNumber"/>
        <w:spacing w:before="20" w:after="40"/>
      </w:pPr>
      <w:r>
        <w:rPr>
          <w:b/>
          <w:color w:val="1E293B"/>
          <w:sz w:val="19"/>
        </w:rPr>
        <w:t>TSF &amp; Dams Safety NSW De-Declaration Sandbox:</w:t>
      </w:r>
    </w:p>
    <w:p>
      <w:pPr>
        <w:pStyle w:val="ListBullet"/>
        <w:spacing w:before="20" w:after="40"/>
      </w:pPr>
      <w:r>
        <w:rPr>
          <w:color w:val="334155"/>
          <w:sz w:val="19"/>
        </w:rPr>
        <w:t>3D isopach tailings depth contours (up to 18m fine reject).</w:t>
      </w:r>
    </w:p>
    <w:p>
      <w:pPr>
        <w:pStyle w:val="ListBullet"/>
        <w:spacing w:before="20" w:after="40"/>
      </w:pPr>
      <w:r>
        <w:rPr>
          <w:color w:val="334155"/>
          <w:sz w:val="19"/>
        </w:rPr>
        <w:t>Dynamic wick-drain consolidation simulation showing settlement rate and bearing capacity evolution from 25 kPa to &gt;150 kPa.</w:t>
      </w:r>
    </w:p>
    <w:p>
      <w:pPr>
        <w:pStyle w:val="ListBullet"/>
        <w:spacing w:before="20" w:after="40"/>
      </w:pPr>
      <w:r>
        <w:rPr>
          <w:color w:val="334155"/>
          <w:sz w:val="19"/>
        </w:rPr>
        <w:t>Dam Break Inundation Zone overlay and decommissioning safety buffers.</w:t>
      </w:r>
    </w:p>
    <w:p>
      <w:pPr>
        <w:pStyle w:val="ListNumber"/>
        <w:spacing w:before="20" w:after="40"/>
      </w:pPr>
      <w:r>
        <w:rPr>
          <w:b/>
          <w:color w:val="1E293B"/>
          <w:sz w:val="19"/>
        </w:rPr>
        <w:t>Sovereign High-Voltage &amp; Micro-Pumped Hydro (PHES) Calculator:</w:t>
      </w:r>
    </w:p>
    <w:p>
      <w:pPr>
        <w:pStyle w:val="ListBullet"/>
        <w:spacing w:before="20" w:after="40"/>
      </w:pPr>
      <w:r>
        <w:rPr>
          <w:color w:val="334155"/>
          <w:sz w:val="19"/>
        </w:rPr>
        <w:t>SP2 Substation pad geometry (4.5 ha) with 330kV/132kV dual-bus layout.</w:t>
      </w:r>
    </w:p>
    <w:p>
      <w:pPr>
        <w:pStyle w:val="ListBullet"/>
        <w:spacing w:before="20" w:after="40"/>
      </w:pPr>
      <w:r>
        <w:rPr>
          <w:color w:val="334155"/>
          <w:sz w:val="19"/>
        </w:rPr>
        <w:t>Interactive hydraulic cross-section: 120m elevation head between the upper reservoir (+145m AHD) and pit void (+25m AHD), calculating daily storage capacity (up to 49.0 MWh) and round-trip efficiency (78%).</w:t>
      </w:r>
    </w:p>
    <w:p>
      <w:pPr>
        <w:pStyle w:val="ListNumber"/>
        <w:spacing w:before="20" w:after="40"/>
      </w:pPr>
      <w:r>
        <w:rPr>
          <w:b/>
          <w:color w:val="1E293B"/>
          <w:sz w:val="19"/>
        </w:rPr>
        <w:t>Macquarie Intermodal Rail Terminal (MIRT) &amp; Heavy Haul Road Corridor:</w:t>
      </w:r>
    </w:p>
    <w:p>
      <w:pPr>
        <w:pStyle w:val="ListBullet"/>
        <w:spacing w:before="20" w:after="40"/>
      </w:pPr>
      <w:r>
        <w:rPr>
          <w:color w:val="334155"/>
          <w:sz w:val="19"/>
        </w:rPr>
        <w:t>1.8 km rail loop geometry with 650m siding staging tracks and container reach-stacker hardstand.</w:t>
      </w:r>
    </w:p>
    <w:p>
      <w:pPr>
        <w:pStyle w:val="ListBullet"/>
        <w:spacing w:before="20" w:after="40"/>
      </w:pPr>
      <w:r>
        <w:rPr>
          <w:color w:val="334155"/>
          <w:sz w:val="19"/>
        </w:rPr>
        <w:t>7.8 km gazetted internal haul road arterial route bypassing Barnsley and Teralba residential streets.</w:t>
      </w:r>
    </w:p>
    <w:p>
      <w:pPr>
        <w:pStyle w:val="ListNumber"/>
        <w:spacing w:before="20" w:after="40"/>
      </w:pPr>
      <w:r>
        <w:rPr>
          <w:b/>
          <w:color w:val="1E293B"/>
          <w:sz w:val="19"/>
        </w:rPr>
        <w:t>Subsidence Advisory NSW Pre-Approved Foundation Matrix:</w:t>
      </w:r>
    </w:p>
    <w:p>
      <w:pPr>
        <w:pStyle w:val="ListBullet"/>
        <w:spacing w:before="20" w:after="40"/>
      </w:pPr>
      <w:r>
        <w:rPr>
          <w:color w:val="334155"/>
          <w:sz w:val="19"/>
        </w:rPr>
        <w:t>Overlay of underground workings (Great Northern, Fassifern, Young Wallsend seams).</w:t>
      </w:r>
    </w:p>
    <w:p>
      <w:pPr>
        <w:pStyle w:val="ListBullet"/>
        <w:spacing w:before="20" w:after="40"/>
      </w:pPr>
      <w:r>
        <w:rPr>
          <w:color w:val="334155"/>
          <w:sz w:val="19"/>
        </w:rPr>
        <w:t>Interactive structural lookup tool: Select building footprint -&gt; Returns required foundation engineering (Zone G1 shallow spread footings, Zone G2 articulated stiffened raft, Zone G3 pressure-grouted void piles).</w:t>
      </w:r>
    </w:p>
    <w:p>
      <w:pPr>
        <w:pStyle w:val="ListNumber"/>
        <w:spacing w:before="20" w:after="40"/>
      </w:pPr>
      <w:r>
        <w:rPr>
          <w:b/>
          <w:color w:val="1E293B"/>
          <w:sz w:val="19"/>
        </w:rPr>
        <w:t>Sugarloaf-to-Awaba C2 Biodiversity Bio-Link:</w:t>
      </w:r>
    </w:p>
    <w:p>
      <w:pPr>
        <w:pStyle w:val="ListBullet"/>
        <w:spacing w:before="20" w:after="40"/>
      </w:pPr>
      <w:r>
        <w:rPr>
          <w:color w:val="334155"/>
          <w:sz w:val="19"/>
        </w:rPr>
        <w:t>250m–300m ecological corridor polygon (~320 ha) with preferred Koala feed tree density targets.</w:t>
      </w:r>
    </w:p>
    <w:p>
      <w:pPr>
        <w:pStyle w:val="ListBullet"/>
        <w:spacing w:before="20" w:after="40"/>
      </w:pPr>
      <w:r>
        <w:rPr>
          <w:color w:val="334155"/>
          <w:sz w:val="19"/>
        </w:rPr>
        <w:t>2 engineered fauna overpass bridge locations along the haul road.</w:t>
      </w:r>
    </w:p>
    <w:p>
      <w:pPr>
        <w:pStyle w:val="ListNumber"/>
        <w:spacing w:before="20" w:after="40"/>
      </w:pPr>
      <w:r>
        <w:rPr>
          <w:b/>
          <w:color w:val="1E293B"/>
          <w:sz w:val="19"/>
        </w:rPr>
        <w:t>3D Overburden Acoustic Noise Bunds &amp; 500m Night-Time Buffer Contours:</w:t>
      </w:r>
    </w:p>
    <w:p>
      <w:pPr>
        <w:pStyle w:val="ListBullet"/>
        <w:spacing w:before="20" w:after="40"/>
      </w:pPr>
      <w:r>
        <w:rPr>
          <w:color w:val="334155"/>
          <w:sz w:val="19"/>
        </w:rPr>
        <w:t>Landform topography vectors for 6m–8m sculpted acoustic bunds.</w:t>
      </w:r>
    </w:p>
    <w:p>
      <w:pPr>
        <w:pStyle w:val="ListBullet"/>
        <w:spacing w:before="20" w:after="40"/>
      </w:pPr>
      <w:r>
        <w:rPr>
          <w:color w:val="334155"/>
          <w:sz w:val="19"/>
        </w:rPr>
        <w:t xml:space="preserve">Sound propagation contours validating compliance with the </w:t>
      </w:r>
      <w:r>
        <w:rPr>
          <w:b/>
          <w:color w:val="1E293B"/>
          <w:sz w:val="19"/>
        </w:rPr>
        <w:t>35 dBA night-time PNTL</w:t>
      </w:r>
      <w:r>
        <w:rPr>
          <w:color w:val="334155"/>
          <w:sz w:val="19"/>
        </w:rPr>
        <w:t xml:space="preserve"> at Barnsley, Teralba, and Wakefield receivers for 24/7 hyperscale data centres and freight logistics.</w:t>
      </w:r>
    </w:p>
    <w:p>
      <w:pPr>
        <w:pStyle w:val="ListNumber"/>
        <w:spacing w:before="20" w:after="40"/>
      </w:pPr>
      <w:r>
        <w:rPr>
          <w:b/>
          <w:color w:val="1E293B"/>
          <w:sz w:val="19"/>
        </w:rPr>
        <w:t>Hunter Water Recycled Water Pipeline Route (Zero Potable Cooling):</w:t>
      </w:r>
    </w:p>
    <w:p>
      <w:pPr>
        <w:pStyle w:val="ListBullet"/>
        <w:spacing w:before="20" w:after="40"/>
      </w:pPr>
      <w:r>
        <w:rPr>
          <w:color w:val="334155"/>
          <w:sz w:val="19"/>
        </w:rPr>
        <w:t>4.2 km pipeline alignment connecting Edgeworth WWTW to the precinct boundary.</w:t>
      </w:r>
    </w:p>
    <w:p>
      <w:pPr>
        <w:pStyle w:val="ListBullet"/>
        <w:spacing w:before="20" w:after="40"/>
      </w:pPr>
      <w:r>
        <w:rPr>
          <w:color w:val="334155"/>
          <w:sz w:val="19"/>
        </w:rPr>
        <w:t xml:space="preserve">Water balance model demonstrating </w:t>
      </w:r>
      <w:r>
        <w:rPr>
          <w:b/>
          <w:color w:val="1E293B"/>
          <w:sz w:val="19"/>
        </w:rPr>
        <w:t>1.2 GL/year potable water savings</w:t>
      </w:r>
      <w:r>
        <w:rPr>
          <w:color w:val="334155"/>
          <w:sz w:val="19"/>
        </w:rPr>
        <w:t xml:space="preserve"> via 100% closed-loop / tertiary recycled cooling.</w:t>
      </w:r>
    </w:p>
    <w:p>
      <w:pPr>
        <w:pStyle w:val="ListNumber"/>
        <w:spacing w:before="20" w:after="40"/>
      </w:pPr>
      <w:r>
        <w:rPr>
          <w:b/>
          <w:color w:val="1E293B"/>
          <w:sz w:val="19"/>
        </w:rPr>
        <w:t>Site vs. National Comparative Benchmark Card:</w:t>
      </w:r>
    </w:p>
    <w:p>
      <w:pPr>
        <w:pStyle w:val="ListBullet"/>
        <w:spacing w:before="20" w:after="40"/>
      </w:pPr>
      <w:r>
        <w:rPr>
          <w:color w:val="334155"/>
          <w:sz w:val="19"/>
        </w:rPr>
        <w:t>Radar and bar chart widget comparing the Macquarie site directly against national averages:</w:t>
      </w:r>
    </w:p>
    <w:p>
      <w:pPr>
        <w:pStyle w:val="ListBullet"/>
        <w:spacing w:before="20" w:after="40"/>
      </w:pPr>
      <w:r>
        <w:rPr>
          <w:color w:val="334155"/>
          <w:sz w:val="19"/>
        </w:rPr>
        <w:t xml:space="preserve">*Transmission Distance:* 0.35 km (Macquarie) vs. 4.8 km (National Avg) — </w:t>
      </w:r>
      <w:r>
        <w:rPr>
          <w:b/>
          <w:color w:val="1E293B"/>
          <w:sz w:val="19"/>
        </w:rPr>
        <w:t>Top 5%</w:t>
      </w:r>
    </w:p>
    <w:p>
      <w:pPr>
        <w:pStyle w:val="ListBullet"/>
        <w:spacing w:before="20" w:after="40"/>
      </w:pPr>
      <w:r>
        <w:rPr>
          <w:color w:val="334155"/>
          <w:sz w:val="19"/>
        </w:rPr>
        <w:t>*Data Depth Tier:* 10/10 Tier-1 Micro-Layers (100%) vs. 8/10 Tier-2 (80%)</w:t>
      </w:r>
    </w:p>
    <w:p>
      <w:pPr>
        <w:pStyle w:val="ListBullet"/>
        <w:spacing w:before="20" w:after="40"/>
      </w:pPr>
      <w:r>
        <w:rPr>
          <w:color w:val="334155"/>
          <w:sz w:val="19"/>
        </w:rPr>
        <w:t>*Water Circularity:* 100% Recycled vs. 35% Potable Reliance</w:t>
      </w:r>
    </w:p>
    <w:p>
      <w:pPr>
        <w:pStyle w:val="ListBullet"/>
        <w:spacing w:before="20" w:after="40"/>
      </w:pPr>
      <w:r>
        <w:rPr>
          <w:color w:val="334155"/>
          <w:sz w:val="19"/>
        </w:rPr>
        <w:t>*NDA Efficiency Ratio:* 64% Net-to-Gross vs. 42% Regional Benchmark.</w:t>
      </w:r>
    </w:p>
    <w:p>
      <w:pPr>
        <w:spacing w:before="40" w:after="80" w:line="276" w:lineRule="auto"/>
      </w:pPr>
      <w:r>
        <w:rPr>
          <w:color w:val="334155"/>
          <w:sz w:val="19"/>
        </w:rPr>
        <w:t>---</w:t>
      </w:r>
    </w:p>
    <w:p>
      <w:pPr>
        <w:pStyle w:val="Heading2"/>
        <w:keepNext/>
        <w:spacing w:before="240" w:after="80"/>
      </w:pPr>
      <w:r>
        <w:rPr>
          <w:b/>
          <w:color w:val="0284C7"/>
        </w:rPr>
        <w:t>2. Generic Architecture for Multi-Project Submission &amp; Statutory Report Generation</w:t>
      </w:r>
    </w:p>
    <w:p>
      <w:pPr>
        <w:spacing w:before="40" w:after="80" w:line="276" w:lineRule="auto"/>
      </w:pPr>
      <w:r>
        <w:rPr>
          <w:color w:val="334155"/>
          <w:sz w:val="19"/>
        </w:rPr>
        <w:t>To enable third parties (councils, industrial developers, energy proponents) to submit site data and receive an automated, audit-ready site package, AURA establishes a standardized 4-part framework:</w:t>
      </w:r>
    </w:p>
    <w:p>
      <w:pPr>
        <w:spacing w:before="80" w:after="120"/>
        <w:ind w:left="360"/>
      </w:pPr>
      <w:r>
        <w:rPr>
          <w:rFonts w:ascii="Consolas" w:hAnsi="Consolas"/>
          <w:color w:val="0F172A"/>
          <w:sz w:val="17"/>
        </w:rPr>
        <w:t>flowchart TD</w:t>
        <w:br/>
        <w:t xml:space="preserve">    subgraph Submission["1. Proponent Data Submission"]</w:t>
        <w:br/>
        <w:t xml:space="preserve">        P1["Proponent Engineering Studies &amp; Vectors&lt;br/&gt;(CAD / GIS / Boreholes / EIS Reports)"] --&gt; P2["Structured Project Manifest&lt;br/&gt;(Standardized Spatial Configuration)"]</w:t>
        <w:br/>
        <w:t xml:space="preserve">    end</w:t>
        <w:br/>
        <w:br/>
        <w:t xml:space="preserve">    subgraph Verification["2. Automated Statutory &amp; Geometric Gate"]</w:t>
        <w:br/>
        <w:t xml:space="preserve">        P2 --&gt; V1["Schema &amp; Topology Validation&lt;br/&gt;(GDA2020 CRS &amp; Boundary Checks)"]</w:t>
        <w:br/>
        <w:t xml:space="preserve">        V1 --&gt; V2["Topological Net Developable Area Audit&lt;br/&gt;(Multi-Hazard Constraint Subtraction)"]</w:t>
        <w:br/>
        <w:t xml:space="preserve">    end</w:t>
        <w:br/>
        <w:br/>
        <w:t xml:space="preserve">    subgraph Deliverables["3. Certified Decision Packages"]</w:t>
        <w:br/>
        <w:t xml:space="preserve">        V2 --&gt; D1["Interactive Project WebGIS Portal&lt;br/&gt;(Pad Staging &amp; Localized Spatial Engine)"]</w:t>
        <w:br/>
        <w:t xml:space="preserve">        V2 --&gt; D2["Statutory Site Assessment Report&lt;br/&gt;(Audit-Ready Planning Panel Dossier)"]</w:t>
        <w:br/>
        <w:t xml:space="preserve">        V2 --&gt; D3["National-to-Site Deep-Link Bridge&lt;br/&gt;(Macro Baseline to Micro Inspection)"]</w:t>
        <w:br/>
        <w:t xml:space="preserve">    end</w:t>
        <w:br/>
        <w:br/>
        <w:t xml:space="preserve">    style Submission fill:#1e293b,stroke:#3b82f6,color:#f8fafc</w:t>
        <w:br/>
        <w:t xml:space="preserve">    style Verification fill:#1e1b4b,stroke:#818cf8,color:#ffffff,stroke-width:2px</w:t>
        <w:br/>
        <w:t xml:space="preserve">    style Deliverables fill:#065f46,stroke:#34d399,color:#ffffff,stroke-width:2px</w:t>
      </w:r>
    </w:p>
    <w:p>
      <w:pPr>
        <w:spacing w:before="40" w:after="80" w:line="276" w:lineRule="auto"/>
      </w:pPr>
      <w:r>
        <w:rPr>
          <w:color w:val="334155"/>
          <w:sz w:val="19"/>
        </w:rPr>
        <w:t>---</w:t>
      </w:r>
    </w:p>
    <w:p>
      <w:pPr>
        <w:pStyle w:val="Heading2"/>
        <w:keepNext/>
        <w:spacing w:before="240" w:after="80"/>
      </w:pPr>
      <w:r>
        <w:rPr>
          <w:b/>
          <w:color w:val="0284C7"/>
        </w:rPr>
        <w:t>3. Executive Delivery Architecture &amp; Asset Integration</w:t>
      </w:r>
    </w:p>
    <w:p>
      <w:pPr>
        <w:spacing w:before="40" w:after="80" w:line="276" w:lineRule="auto"/>
      </w:pPr>
      <w:r>
        <w:rPr>
          <w:color w:val="334155"/>
          <w:sz w:val="19"/>
        </w:rPr>
        <w:t>The multi-project delivery framework guarantees that site-level enhancements integrate seamlessly into existing planning infrastructure:</w:t>
      </w:r>
    </w:p>
    <w:p>
      <w:pPr>
        <w:pStyle w:val="ListNumber"/>
        <w:spacing w:before="20" w:after="40"/>
      </w:pPr>
      <w:r>
        <w:rPr>
          <w:b/>
          <w:color w:val="1E293B"/>
          <w:sz w:val="19"/>
        </w:rPr>
        <w:t>Structured Manifest Specifications</w:t>
      </w:r>
      <w:r>
        <w:rPr>
          <w:color w:val="334155"/>
          <w:sz w:val="19"/>
        </w:rPr>
        <w:t>: Standardizes proponent metadata, engineering capacity targets (power MVA, recycled water GL/yr), and localized micro-layer geometries into a unified, version-controlled format.</w:t>
      </w:r>
    </w:p>
    <w:p>
      <w:pPr>
        <w:pStyle w:val="ListNumber"/>
        <w:spacing w:before="20" w:after="40"/>
      </w:pPr>
      <w:r>
        <w:rPr>
          <w:b/>
          <w:color w:val="1E293B"/>
          <w:sz w:val="19"/>
        </w:rPr>
        <w:t>Dedicated Project Spatial Portals</w:t>
      </w:r>
      <w:r>
        <w:rPr>
          <w:color w:val="334155"/>
          <w:sz w:val="19"/>
        </w:rPr>
        <w:t>: Each project receives a self-contained, high-performance WebGIS application featuring pad staging timelines, infrastructure overlays, and real-time DuckDB-WASM analytical filtering.</w:t>
      </w:r>
    </w:p>
    <w:p>
      <w:pPr>
        <w:pStyle w:val="ListNumber"/>
        <w:spacing w:before="20" w:after="40"/>
      </w:pPr>
      <w:r>
        <w:rPr>
          <w:b/>
          <w:color w:val="1E293B"/>
          <w:sz w:val="19"/>
        </w:rPr>
        <w:t>Statutory Decision Dossiers</w:t>
      </w:r>
      <w:r>
        <w:rPr>
          <w:color w:val="334155"/>
          <w:sz w:val="19"/>
        </w:rPr>
        <w:t>: Automated generation of publication-grade assessment reports containing comparative benchmark radar matrices, geotechnical foundation engineering schedules, and environmental bio-link allocations.</w:t>
      </w:r>
    </w:p>
    <w:p>
      <w:pPr>
        <w:pStyle w:val="ListNumber"/>
        <w:spacing w:before="20" w:after="40"/>
      </w:pPr>
      <w:r>
        <w:rPr>
          <w:b/>
          <w:color w:val="1E293B"/>
          <w:sz w:val="19"/>
        </w:rPr>
        <w:t>National Macro-to-Micro Continuity</w:t>
      </w:r>
      <w:r>
        <w:rPr>
          <w:color w:val="334155"/>
          <w:sz w:val="19"/>
        </w:rPr>
        <w:t>: Seamless transition from Australia-wide candidate identification to deep site-level forensic due diligence via authenticated deep-linking.</w:t>
      </w:r>
    </w:p>
    <w:p>
      <w:pPr>
        <w:spacing w:before="40" w:after="80" w:line="276" w:lineRule="auto"/>
      </w:pPr>
      <w:r>
        <w:rPr>
          <w:color w:val="334155"/>
          <w:sz w:val="19"/>
        </w:rPr>
        <w:t>---</w:t>
      </w:r>
    </w:p>
    <w:p>
      <w:pPr>
        <w:pStyle w:val="Heading2"/>
        <w:keepNext/>
        <w:spacing w:before="240" w:after="80"/>
      </w:pPr>
      <w:r>
        <w:rPr>
          <w:b/>
          <w:color w:val="0284C7"/>
        </w:rPr>
        <w:t>4. Statutory Verification &amp; Quality Assurance Protocol</w:t>
      </w:r>
    </w:p>
    <w:p>
      <w:pPr>
        <w:spacing w:before="40" w:after="80" w:line="276" w:lineRule="auto"/>
      </w:pPr>
      <w:r>
        <w:rPr>
          <w:color w:val="334155"/>
          <w:sz w:val="19"/>
        </w:rPr>
        <w:t>Every submitted project package undergoes rigorous automated and statutory quality assurance prior to certification:</w:t>
      </w:r>
    </w:p>
    <w:p>
      <w:pPr>
        <w:pStyle w:val="ListNumber"/>
        <w:spacing w:before="20" w:after="40"/>
      </w:pPr>
      <w:r>
        <w:rPr>
          <w:b/>
          <w:color w:val="1E293B"/>
          <w:sz w:val="19"/>
        </w:rPr>
        <w:t>Automated Schema &amp; Quality Gate Enforcement</w:t>
      </w:r>
      <w:r>
        <w:rPr>
          <w:color w:val="334155"/>
          <w:sz w:val="19"/>
        </w:rPr>
        <w:t>: Ingested datasets are scanned against strict schema definitions to verify structural integrity and data provenance before pipeline processing.</w:t>
      </w:r>
    </w:p>
    <w:p>
      <w:pPr>
        <w:pStyle w:val="ListNumber"/>
        <w:spacing w:before="20" w:after="40"/>
      </w:pPr>
      <w:r>
        <w:rPr>
          <w:b/>
          <w:color w:val="1E293B"/>
          <w:sz w:val="19"/>
        </w:rPr>
        <w:t>Geometric &amp; Topological Integrity Audits</w:t>
      </w:r>
      <w:r>
        <w:rPr>
          <w:color w:val="334155"/>
          <w:sz w:val="19"/>
        </w:rPr>
        <w:t>: Automated spatial validation verifies that all developable pad polygons sit strictly within precinct boundaries, contain zero self-intersections, and maintain statutory clearance from ecological conservation corridors.</w:t>
      </w:r>
    </w:p>
    <w:p>
      <w:pPr>
        <w:pStyle w:val="ListNumber"/>
        <w:spacing w:before="20" w:after="40"/>
      </w:pPr>
      <w:r>
        <w:rPr>
          <w:b/>
          <w:color w:val="1E293B"/>
          <w:sz w:val="19"/>
        </w:rPr>
        <w:t>Statutory Benchmark Verification</w:t>
      </w:r>
      <w:r>
        <w:rPr>
          <w:color w:val="334155"/>
          <w:sz w:val="19"/>
        </w:rPr>
        <w:t>: Geotechnical, acoustic, and hydraulic metrics are benchmarked against NSW EPA, ARR 2019, and Subsidence Advisory guidelines to ensure full compliance before planning panel exhibition.</w:t>
      </w:r>
    </w:p>
    <w:p>
      <w:pPr>
        <w:pStyle w:val="ListNumber"/>
        <w:spacing w:before="20" w:after="40"/>
      </w:pPr>
      <w:r>
        <w:rPr>
          <w:b/>
          <w:color w:val="1E293B"/>
          <w:sz w:val="19"/>
        </w:rPr>
        <w:t>Interactive Digital Twin Audit</w:t>
      </w:r>
      <w:r>
        <w:rPr>
          <w:color w:val="334155"/>
          <w:sz w:val="19"/>
        </w:rPr>
        <w:t>: Visual inspection confirms pad staging schedules, multi-layer toggling, and client-side analytical calculations operate with sub-second responsiveness across all target stakeholder devices.</w:t>
      </w:r>
    </w:p>
    <w:p>
      <w:pPr>
        <w:pStyle w:val="Heading2"/>
      </w:pPr>
      <w:r>
        <w:t>Section 2.3: Statutory Studies Digest &amp; Technical Findings</w:t>
      </w:r>
    </w:p>
    <w:p>
      <w:pPr>
        <w:pStyle w:val="Heading1"/>
        <w:keepNext/>
        <w:spacing w:before="320" w:after="120"/>
      </w:pPr>
      <w:r>
        <w:rPr>
          <w:b/>
          <w:color w:val="0F172A"/>
        </w:rPr>
        <w:t>Key Technical Findings: Macquarie Coal Complex Transformation Precinct</w:t>
      </w:r>
    </w:p>
    <w:p>
      <w:pPr>
        <w:pStyle w:val="Heading2"/>
        <w:keepNext/>
        <w:spacing w:before="240" w:after="80"/>
      </w:pPr>
      <w:r>
        <w:rPr>
          <w:b/>
          <w:color w:val="0284C7"/>
        </w:rPr>
        <w:t>1. Master Plan &amp; EIE Overview</w:t>
      </w:r>
    </w:p>
    <w:p>
      <w:pPr>
        <w:pStyle w:val="Heading3"/>
        <w:keepNext/>
        <w:spacing w:before="160" w:after="40"/>
      </w:pPr>
      <w:r>
        <w:rPr>
          <w:b/>
          <w:color w:val="334155"/>
        </w:rPr>
        <w:t>Master Plan Page 3</w:t>
      </w:r>
    </w:p>
    <w:p>
      <w:pPr>
        <w:spacing w:before="40" w:after="80" w:line="276" w:lineRule="auto"/>
      </w:pPr>
      <w:r>
        <w:rPr>
          <w:color w:val="334155"/>
          <w:sz w:val="19"/>
        </w:rPr>
        <w:t>`</w:t>
      </w:r>
    </w:p>
    <w:p>
      <w:pPr>
        <w:spacing w:before="40" w:after="80" w:line="276" w:lineRule="auto"/>
      </w:pPr>
      <w:r>
        <w:rPr>
          <w:color w:val="334155"/>
          <w:sz w:val="19"/>
        </w:rPr>
        <w:t>Contents</w:t>
      </w:r>
    </w:p>
    <w:p>
      <w:pPr>
        <w:spacing w:before="40" w:after="80" w:line="276" w:lineRule="auto"/>
      </w:pPr>
      <w:r>
        <w:rPr>
          <w:color w:val="334155"/>
          <w:sz w:val="19"/>
        </w:rPr>
        <w:t>1</w:t>
      </w:r>
    </w:p>
    <w:p>
      <w:pPr>
        <w:spacing w:before="40" w:after="80" w:line="276" w:lineRule="auto"/>
      </w:pPr>
      <w:r>
        <w:rPr>
          <w:color w:val="334155"/>
          <w:sz w:val="19"/>
        </w:rPr>
        <w:t>Introduction</w:t>
      </w:r>
    </w:p>
    <w:p>
      <w:pPr>
        <w:spacing w:before="40" w:after="80" w:line="276" w:lineRule="auto"/>
      </w:pPr>
      <w:r>
        <w:rPr>
          <w:color w:val="334155"/>
          <w:sz w:val="19"/>
        </w:rPr>
        <w:t>4</w:t>
      </w:r>
    </w:p>
    <w:p>
      <w:pPr>
        <w:spacing w:before="40" w:after="80" w:line="276" w:lineRule="auto"/>
      </w:pPr>
      <w:r>
        <w:rPr>
          <w:color w:val="334155"/>
          <w:sz w:val="19"/>
        </w:rPr>
        <w:t>Citation and commencement</w:t>
      </w:r>
    </w:p>
    <w:p>
      <w:pPr>
        <w:spacing w:before="40" w:after="80" w:line="276" w:lineRule="auto"/>
      </w:pPr>
      <w:r>
        <w:rPr>
          <w:color w:val="334155"/>
          <w:sz w:val="19"/>
        </w:rPr>
        <w:t>4</w:t>
      </w:r>
    </w:p>
    <w:p>
      <w:pPr>
        <w:spacing w:before="40" w:after="80" w:line="276" w:lineRule="auto"/>
      </w:pPr>
      <w:r>
        <w:rPr>
          <w:color w:val="334155"/>
          <w:sz w:val="19"/>
        </w:rPr>
        <w:t>Land to which this Master Plan applies</w:t>
      </w:r>
    </w:p>
    <w:p>
      <w:pPr>
        <w:spacing w:before="40" w:after="80" w:line="276" w:lineRule="auto"/>
      </w:pPr>
      <w:r>
        <w:rPr>
          <w:color w:val="334155"/>
          <w:sz w:val="19"/>
        </w:rPr>
        <w:t>4</w:t>
      </w:r>
    </w:p>
    <w:p>
      <w:pPr>
        <w:spacing w:before="40" w:after="80" w:line="276" w:lineRule="auto"/>
      </w:pPr>
      <w:r>
        <w:rPr>
          <w:color w:val="334155"/>
          <w:sz w:val="19"/>
        </w:rPr>
        <w:t>Post mining land use policy context</w:t>
      </w:r>
    </w:p>
    <w:p>
      <w:pPr>
        <w:spacing w:before="40" w:after="80" w:line="276" w:lineRule="auto"/>
      </w:pPr>
      <w:r>
        <w:rPr>
          <w:color w:val="334155"/>
          <w:sz w:val="19"/>
        </w:rPr>
        <w:t>4</w:t>
      </w:r>
    </w:p>
    <w:p>
      <w:pPr>
        <w:spacing w:before="40" w:after="80" w:line="276" w:lineRule="auto"/>
      </w:pPr>
      <w:r>
        <w:rPr>
          <w:color w:val="334155"/>
          <w:sz w:val="19"/>
        </w:rPr>
        <w:t>Relationship to other planning instruments</w:t>
      </w:r>
    </w:p>
    <w:p>
      <w:pPr>
        <w:spacing w:before="40" w:after="80" w:line="276" w:lineRule="auto"/>
      </w:pPr>
      <w:r>
        <w:rPr>
          <w:color w:val="334155"/>
          <w:sz w:val="19"/>
        </w:rPr>
        <w:t>5</w:t>
      </w:r>
    </w:p>
    <w:p>
      <w:pPr>
        <w:spacing w:before="40" w:after="80" w:line="276" w:lineRule="auto"/>
      </w:pPr>
      <w:r>
        <w:rPr>
          <w:color w:val="334155"/>
          <w:sz w:val="19"/>
        </w:rPr>
        <w:t>Purpose and how to use this draft Master Plan</w:t>
      </w:r>
    </w:p>
    <w:p>
      <w:pPr>
        <w:spacing w:before="40" w:after="80" w:line="276" w:lineRule="auto"/>
      </w:pPr>
      <w:r>
        <w:rPr>
          <w:color w:val="334155"/>
          <w:sz w:val="19"/>
        </w:rPr>
        <w:t>6</w:t>
      </w:r>
    </w:p>
    <w:p>
      <w:pPr>
        <w:spacing w:before="40" w:after="80" w:line="276" w:lineRule="auto"/>
      </w:pPr>
      <w:r>
        <w:rPr>
          <w:color w:val="334155"/>
          <w:sz w:val="19"/>
        </w:rPr>
        <w:t>Future planning considerations:</w:t>
      </w:r>
    </w:p>
    <w:p>
      <w:pPr>
        <w:spacing w:before="40" w:after="80" w:line="276" w:lineRule="auto"/>
      </w:pPr>
      <w:r>
        <w:rPr>
          <w:color w:val="334155"/>
          <w:sz w:val="19"/>
        </w:rPr>
        <w:t>Addendum to Master Plan</w:t>
      </w:r>
    </w:p>
    <w:p>
      <w:pPr>
        <w:spacing w:before="40" w:after="80" w:line="276" w:lineRule="auto"/>
      </w:pPr>
      <w:r>
        <w:rPr>
          <w:color w:val="334155"/>
          <w:sz w:val="19"/>
        </w:rPr>
        <w:t>6</w:t>
      </w:r>
    </w:p>
    <w:p>
      <w:pPr>
        <w:spacing w:before="40" w:after="80" w:line="276" w:lineRule="auto"/>
      </w:pPr>
      <w:r>
        <w:rPr>
          <w:color w:val="334155"/>
          <w:sz w:val="19"/>
        </w:rPr>
        <w:t>Monitoring and adaptation</w:t>
      </w:r>
    </w:p>
    <w:p>
      <w:pPr>
        <w:spacing w:before="40" w:after="80" w:line="276" w:lineRule="auto"/>
      </w:pPr>
      <w:r>
        <w:rPr>
          <w:color w:val="334155"/>
          <w:sz w:val="19"/>
        </w:rPr>
        <w:t>7</w:t>
      </w:r>
    </w:p>
    <w:p>
      <w:pPr>
        <w:spacing w:before="40" w:after="80" w:line="276" w:lineRule="auto"/>
      </w:pPr>
      <w:r>
        <w:rPr>
          <w:color w:val="334155"/>
          <w:sz w:val="19"/>
        </w:rPr>
        <w:t>2</w:t>
      </w:r>
    </w:p>
    <w:p>
      <w:pPr>
        <w:spacing w:before="40" w:after="80" w:line="276" w:lineRule="auto"/>
      </w:pPr>
      <w:r>
        <w:rPr>
          <w:color w:val="334155"/>
          <w:sz w:val="19"/>
        </w:rPr>
        <w:t>Strategic context</w:t>
      </w:r>
    </w:p>
    <w:p>
      <w:pPr>
        <w:spacing w:before="40" w:after="80" w:line="276" w:lineRule="auto"/>
      </w:pPr>
      <w:r>
        <w:rPr>
          <w:color w:val="334155"/>
          <w:sz w:val="19"/>
        </w:rPr>
        <w:t>8</w:t>
      </w:r>
    </w:p>
    <w:p>
      <w:pPr>
        <w:spacing w:before="40" w:after="80" w:line="276" w:lineRule="auto"/>
      </w:pPr>
      <w:r>
        <w:rPr>
          <w:color w:val="334155"/>
          <w:sz w:val="19"/>
        </w:rPr>
        <w:t>Precinct location and strategic fit</w:t>
      </w:r>
    </w:p>
    <w:p>
      <w:pPr>
        <w:spacing w:before="40" w:after="80" w:line="276" w:lineRule="auto"/>
      </w:pPr>
      <w:r>
        <w:rPr>
          <w:color w:val="334155"/>
          <w:sz w:val="19"/>
        </w:rPr>
        <w:t>8</w:t>
      </w:r>
    </w:p>
    <w:p>
      <w:pPr>
        <w:spacing w:before="40" w:after="80" w:line="276" w:lineRule="auto"/>
      </w:pPr>
      <w:r>
        <w:rPr>
          <w:color w:val="334155"/>
          <w:sz w:val="19"/>
        </w:rPr>
        <w:t>Regionally significant</w:t>
      </w:r>
    </w:p>
    <w:p>
      <w:pPr>
        <w:spacing w:before="40" w:after="80" w:line="276" w:lineRule="auto"/>
      </w:pPr>
      <w:r>
        <w:rPr>
          <w:color w:val="334155"/>
          <w:sz w:val="19"/>
        </w:rPr>
        <w:t>employment opportunity</w:t>
      </w:r>
    </w:p>
    <w:p>
      <w:pPr>
        <w:spacing w:before="40" w:after="80" w:line="276" w:lineRule="auto"/>
      </w:pPr>
      <w:r>
        <w:rPr>
          <w:color w:val="334155"/>
          <w:sz w:val="19"/>
        </w:rPr>
        <w:t>8</w:t>
      </w:r>
    </w:p>
    <w:p>
      <w:pPr>
        <w:spacing w:before="40" w:after="80" w:line="276" w:lineRule="auto"/>
      </w:pPr>
      <w:r>
        <w:rPr>
          <w:color w:val="334155"/>
          <w:sz w:val="19"/>
        </w:rPr>
        <w:t>Precinct opportunities</w:t>
      </w:r>
    </w:p>
    <w:p>
      <w:pPr>
        <w:spacing w:before="40" w:after="80" w:line="276" w:lineRule="auto"/>
      </w:pPr>
      <w:r>
        <w:rPr>
          <w:color w:val="334155"/>
          <w:sz w:val="19"/>
        </w:rPr>
        <w:t>10</w:t>
      </w:r>
    </w:p>
    <w:p>
      <w:pPr>
        <w:spacing w:before="40" w:after="80" w:line="276" w:lineRule="auto"/>
      </w:pPr>
      <w:r>
        <w:rPr>
          <w:color w:val="334155"/>
          <w:sz w:val="19"/>
        </w:rPr>
        <w:t>Precinct constraints</w:t>
      </w:r>
    </w:p>
    <w:p>
      <w:pPr>
        <w:spacing w:before="40" w:after="80" w:line="276" w:lineRule="auto"/>
      </w:pPr>
      <w:r>
        <w:rPr>
          <w:color w:val="334155"/>
          <w:sz w:val="19"/>
        </w:rPr>
        <w:t>11</w:t>
      </w:r>
    </w:p>
    <w:p>
      <w:pPr>
        <w:spacing w:before="40" w:after="80" w:line="276" w:lineRule="auto"/>
      </w:pPr>
      <w:r>
        <w:rPr>
          <w:color w:val="334155"/>
          <w:sz w:val="19"/>
        </w:rPr>
        <w:t>3</w:t>
      </w:r>
    </w:p>
    <w:p>
      <w:pPr>
        <w:spacing w:before="40" w:after="80" w:line="276" w:lineRule="auto"/>
      </w:pPr>
      <w:r>
        <w:rPr>
          <w:color w:val="334155"/>
          <w:sz w:val="19"/>
        </w:rPr>
        <w:t>Macquarie Coal Complex Precinct</w:t>
      </w:r>
    </w:p>
    <w:p>
      <w:pPr>
        <w:spacing w:before="40" w:after="80" w:line="276" w:lineRule="auto"/>
      </w:pPr>
      <w:r>
        <w:rPr>
          <w:color w:val="334155"/>
          <w:sz w:val="19"/>
        </w:rPr>
        <w:t>12</w:t>
      </w:r>
    </w:p>
    <w:p>
      <w:pPr>
        <w:spacing w:before="40" w:after="80" w:line="276" w:lineRule="auto"/>
      </w:pPr>
      <w:r>
        <w:rPr>
          <w:color w:val="334155"/>
          <w:sz w:val="19"/>
        </w:rPr>
        <w:t>Precinct vision</w:t>
      </w:r>
    </w:p>
    <w:p>
      <w:pPr>
        <w:spacing w:before="40" w:after="80" w:line="276" w:lineRule="auto"/>
      </w:pPr>
      <w:r>
        <w:rPr>
          <w:color w:val="334155"/>
          <w:sz w:val="19"/>
        </w:rPr>
        <w:t>12</w:t>
      </w:r>
    </w:p>
    <w:p>
      <w:pPr>
        <w:spacing w:before="40" w:after="80" w:line="276" w:lineRule="auto"/>
      </w:pPr>
      <w:r>
        <w:rPr>
          <w:color w:val="334155"/>
          <w:sz w:val="19"/>
        </w:rPr>
        <w:t>Guiding principles</w:t>
      </w:r>
    </w:p>
    <w:p>
      <w:pPr>
        <w:spacing w:before="40" w:after="80" w:line="276" w:lineRule="auto"/>
      </w:pPr>
      <w:r>
        <w:rPr>
          <w:color w:val="334155"/>
          <w:sz w:val="19"/>
        </w:rPr>
        <w:t>13</w:t>
      </w:r>
    </w:p>
    <w:p>
      <w:pPr>
        <w:spacing w:before="40" w:after="80" w:line="276" w:lineRule="auto"/>
      </w:pPr>
      <w:r>
        <w:rPr>
          <w:color w:val="334155"/>
          <w:sz w:val="19"/>
        </w:rPr>
        <w:t>Connecting with Country</w:t>
      </w:r>
    </w:p>
    <w:p>
      <w:pPr>
        <w:spacing w:before="40" w:after="80" w:line="276" w:lineRule="auto"/>
      </w:pPr>
      <w:r>
        <w:rPr>
          <w:color w:val="334155"/>
          <w:sz w:val="19"/>
        </w:rPr>
        <w:t>15</w:t>
      </w:r>
    </w:p>
    <w:p>
      <w:pPr>
        <w:spacing w:before="40" w:after="80" w:line="276" w:lineRule="auto"/>
      </w:pPr>
      <w:r>
        <w:rPr>
          <w:color w:val="334155"/>
          <w:sz w:val="19"/>
        </w:rPr>
        <w:t>4</w:t>
      </w:r>
    </w:p>
    <w:p>
      <w:pPr>
        <w:spacing w:before="40" w:after="80" w:line="276" w:lineRule="auto"/>
      </w:pPr>
      <w:r>
        <w:rPr>
          <w:color w:val="334155"/>
          <w:sz w:val="19"/>
        </w:rPr>
        <w:t>Structure plan and</w:t>
      </w:r>
    </w:p>
    <w:p>
      <w:pPr>
        <w:spacing w:before="40" w:after="80" w:line="276" w:lineRule="auto"/>
      </w:pPr>
      <w:r>
        <w:rPr>
          <w:color w:val="334155"/>
          <w:sz w:val="19"/>
        </w:rPr>
        <w:t>sub-precinct framework</w:t>
      </w:r>
    </w:p>
    <w:p>
      <w:pPr>
        <w:spacing w:before="40" w:after="80" w:line="276" w:lineRule="auto"/>
      </w:pPr>
      <w:r>
        <w:rPr>
          <w:color w:val="334155"/>
          <w:sz w:val="19"/>
        </w:rPr>
        <w:t>16</w:t>
      </w:r>
    </w:p>
    <w:p>
      <w:pPr>
        <w:spacing w:before="40" w:after="80" w:line="276" w:lineRule="auto"/>
      </w:pPr>
      <w:r>
        <w:rPr>
          <w:color w:val="334155"/>
          <w:sz w:val="19"/>
        </w:rPr>
        <w:t>Structure plan</w:t>
      </w:r>
    </w:p>
    <w:p>
      <w:pPr>
        <w:spacing w:before="40" w:after="80" w:line="276" w:lineRule="auto"/>
      </w:pPr>
      <w:r>
        <w:rPr>
          <w:color w:val="334155"/>
          <w:sz w:val="19"/>
        </w:rPr>
        <w:t>16</w:t>
      </w:r>
    </w:p>
    <w:p>
      <w:pPr>
        <w:spacing w:before="40" w:after="80" w:line="276" w:lineRule="auto"/>
      </w:pPr>
      <w:r>
        <w:rPr>
          <w:color w:val="334155"/>
          <w:sz w:val="19"/>
        </w:rPr>
        <w:t>Sub-precinct framework</w:t>
      </w:r>
    </w:p>
    <w:p>
      <w:pPr>
        <w:spacing w:before="40" w:after="80" w:line="276" w:lineRule="auto"/>
      </w:pPr>
      <w:r>
        <w:rPr>
          <w:color w:val="334155"/>
          <w:sz w:val="19"/>
        </w:rPr>
        <w:t>18</w:t>
      </w:r>
    </w:p>
    <w:p>
      <w:pPr>
        <w:spacing w:before="40" w:after="80" w:line="276" w:lineRule="auto"/>
      </w:pPr>
      <w:r>
        <w:rPr>
          <w:color w:val="334155"/>
          <w:sz w:val="19"/>
        </w:rPr>
        <w:t>Land use intent</w:t>
      </w:r>
    </w:p>
    <w:p>
      <w:pPr>
        <w:spacing w:before="40" w:after="80" w:line="276" w:lineRule="auto"/>
      </w:pPr>
      <w:r>
        <w:rPr>
          <w:color w:val="334155"/>
          <w:sz w:val="19"/>
        </w:rPr>
        <w:t>19</w:t>
      </w:r>
    </w:p>
    <w:p>
      <w:pPr>
        <w:spacing w:before="40" w:after="80" w:line="276" w:lineRule="auto"/>
      </w:pPr>
      <w:r>
        <w:rPr>
          <w:color w:val="334155"/>
          <w:sz w:val="19"/>
        </w:rPr>
        <w:t>Cockle Creek</w:t>
      </w:r>
    </w:p>
    <w:p>
      <w:pPr>
        <w:spacing w:before="40" w:after="80" w:line="276" w:lineRule="auto"/>
      </w:pPr>
      <w:r>
        <w:rPr>
          <w:color w:val="334155"/>
          <w:sz w:val="19"/>
        </w:rPr>
        <w:t>20</w:t>
      </w:r>
    </w:p>
    <w:p>
      <w:pPr>
        <w:spacing w:before="40" w:after="80" w:line="276" w:lineRule="auto"/>
      </w:pPr>
      <w:r>
        <w:rPr>
          <w:color w:val="334155"/>
          <w:sz w:val="19"/>
        </w:rPr>
        <w:t>Killingworth</w:t>
      </w:r>
    </w:p>
    <w:p>
      <w:pPr>
        <w:spacing w:before="40" w:after="80" w:line="276" w:lineRule="auto"/>
      </w:pPr>
      <w:r>
        <w:rPr>
          <w:color w:val="334155"/>
          <w:sz w:val="19"/>
        </w:rPr>
        <w:t>21</w:t>
      </w:r>
    </w:p>
    <w:p>
      <w:pPr>
        <w:spacing w:before="40" w:after="80" w:line="276" w:lineRule="auto"/>
      </w:pPr>
      <w:r>
        <w:rPr>
          <w:color w:val="334155"/>
          <w:sz w:val="19"/>
        </w:rPr>
        <w:t>West Lake</w:t>
      </w:r>
    </w:p>
    <w:p>
      <w:pPr>
        <w:spacing w:before="40" w:after="80" w:line="276" w:lineRule="auto"/>
      </w:pPr>
      <w:r>
        <w:rPr>
          <w:color w:val="334155"/>
          <w:sz w:val="19"/>
        </w:rPr>
        <w:t>22</w:t>
      </w:r>
    </w:p>
    <w:p>
      <w:pPr>
        <w:spacing w:before="40" w:after="80" w:line="276" w:lineRule="auto"/>
      </w:pPr>
      <w:r>
        <w:rPr>
          <w:color w:val="334155"/>
          <w:sz w:val="19"/>
        </w:rPr>
        <w:t>Barnsley West</w:t>
      </w:r>
    </w:p>
    <w:p>
      <w:pPr>
        <w:spacing w:before="40" w:after="80" w:line="276" w:lineRule="auto"/>
      </w:pPr>
      <w:r>
        <w:rPr>
          <w:color w:val="334155"/>
          <w:sz w:val="19"/>
        </w:rPr>
        <w:t>23</w:t>
      </w:r>
    </w:p>
    <w:p>
      <w:pPr>
        <w:spacing w:before="40" w:after="80" w:line="276" w:lineRule="auto"/>
      </w:pPr>
      <w:r>
        <w:rPr>
          <w:color w:val="334155"/>
          <w:sz w:val="19"/>
        </w:rPr>
        <w:t>Teralba</w:t>
      </w:r>
    </w:p>
    <w:p>
      <w:pPr>
        <w:spacing w:before="40" w:after="80" w:line="276" w:lineRule="auto"/>
      </w:pPr>
      <w:r>
        <w:rPr>
          <w:color w:val="334155"/>
          <w:sz w:val="19"/>
        </w:rPr>
        <w:t>24</w:t>
      </w:r>
    </w:p>
    <w:p>
      <w:pPr>
        <w:spacing w:before="40" w:after="80" w:line="276" w:lineRule="auto"/>
      </w:pPr>
      <w:r>
        <w:rPr>
          <w:color w:val="334155"/>
          <w:sz w:val="19"/>
        </w:rPr>
        <w:t>Environmentally constrained areas</w:t>
      </w:r>
    </w:p>
    <w:p>
      <w:pPr>
        <w:spacing w:before="40" w:after="80" w:line="276" w:lineRule="auto"/>
      </w:pPr>
      <w:r>
        <w:rPr>
          <w:color w:val="334155"/>
          <w:sz w:val="19"/>
        </w:rPr>
        <w:t>25</w:t>
      </w:r>
    </w:p>
    <w:p>
      <w:pPr>
        <w:spacing w:before="40" w:after="80" w:line="276" w:lineRule="auto"/>
      </w:pPr>
      <w:r>
        <w:rPr>
          <w:color w:val="334155"/>
          <w:sz w:val="19"/>
        </w:rPr>
        <w:t>Implementation and sequencing</w:t>
      </w:r>
    </w:p>
    <w:p>
      <w:pPr>
        <w:spacing w:before="40" w:after="80" w:line="276" w:lineRule="auto"/>
      </w:pPr>
      <w:r>
        <w:rPr>
          <w:color w:val="334155"/>
          <w:sz w:val="19"/>
        </w:rPr>
        <w:t>26</w:t>
      </w:r>
    </w:p>
    <w:p>
      <w:pPr>
        <w:spacing w:before="40" w:after="80" w:line="276" w:lineRule="auto"/>
      </w:pPr>
      <w:r>
        <w:rPr>
          <w:color w:val="334155"/>
          <w:sz w:val="19"/>
        </w:rPr>
        <w:t>Development horizons</w:t>
      </w:r>
    </w:p>
    <w:p>
      <w:pPr>
        <w:spacing w:before="40" w:after="80" w:line="276" w:lineRule="auto"/>
      </w:pPr>
      <w:r>
        <w:rPr>
          <w:color w:val="334155"/>
          <w:sz w:val="19"/>
        </w:rPr>
        <w:t>28</w:t>
      </w:r>
    </w:p>
    <w:p>
      <w:pPr>
        <w:spacing w:before="40" w:after="80" w:line="276" w:lineRule="auto"/>
      </w:pPr>
      <w:r>
        <w:rPr>
          <w:color w:val="334155"/>
          <w:sz w:val="19"/>
        </w:rPr>
        <w:t>Short term activation</w:t>
      </w:r>
    </w:p>
    <w:p>
      <w:pPr>
        <w:spacing w:before="40" w:after="80" w:line="276" w:lineRule="auto"/>
      </w:pPr>
      <w:r>
        <w:rPr>
          <w:color w:val="334155"/>
          <w:sz w:val="19"/>
        </w:rPr>
        <w:t>29</w:t>
      </w:r>
    </w:p>
    <w:p>
      <w:pPr>
        <w:spacing w:before="40" w:after="80" w:line="276" w:lineRule="auto"/>
      </w:pPr>
      <w:r>
        <w:rPr>
          <w:color w:val="334155"/>
          <w:sz w:val="19"/>
        </w:rPr>
        <w:t>Medium term activation</w:t>
      </w:r>
    </w:p>
    <w:p>
      <w:pPr>
        <w:spacing w:before="40" w:after="80" w:line="276" w:lineRule="auto"/>
      </w:pPr>
      <w:r>
        <w:rPr>
          <w:color w:val="334155"/>
          <w:sz w:val="19"/>
        </w:rPr>
        <w:t>30</w:t>
      </w:r>
    </w:p>
    <w:p>
      <w:pPr>
        <w:spacing w:before="40" w:after="80" w:line="276" w:lineRule="auto"/>
      </w:pPr>
      <w:r>
        <w:rPr>
          <w:color w:val="334155"/>
          <w:sz w:val="19"/>
        </w:rPr>
        <w:t>Long term activation</w:t>
      </w:r>
    </w:p>
    <w:p>
      <w:pPr>
        <w:spacing w:before="40" w:after="80" w:line="276" w:lineRule="auto"/>
      </w:pPr>
      <w:r>
        <w:rPr>
          <w:color w:val="334155"/>
          <w:sz w:val="19"/>
        </w:rPr>
        <w:t>30</w:t>
      </w:r>
    </w:p>
    <w:p>
      <w:pPr>
        <w:spacing w:before="40" w:after="80" w:line="276" w:lineRule="auto"/>
      </w:pPr>
      <w:r>
        <w:rPr>
          <w:color w:val="334155"/>
          <w:sz w:val="19"/>
        </w:rPr>
        <w:t>Staging triggers</w:t>
      </w:r>
    </w:p>
    <w:p>
      <w:pPr>
        <w:spacing w:before="40" w:after="80" w:line="276" w:lineRule="auto"/>
      </w:pPr>
      <w:r>
        <w:rPr>
          <w:color w:val="334155"/>
          <w:sz w:val="19"/>
        </w:rPr>
        <w:t>31</w:t>
      </w:r>
    </w:p>
    <w:p>
      <w:pPr>
        <w:spacing w:before="40" w:after="80" w:line="276" w:lineRule="auto"/>
      </w:pPr>
      <w:r>
        <w:rPr>
          <w:color w:val="334155"/>
          <w:sz w:val="19"/>
        </w:rPr>
        <w:t>5</w:t>
      </w:r>
    </w:p>
    <w:p>
      <w:pPr>
        <w:spacing w:before="40" w:after="80" w:line="276" w:lineRule="auto"/>
      </w:pPr>
      <w:r>
        <w:rPr>
          <w:color w:val="334155"/>
          <w:sz w:val="19"/>
        </w:rPr>
        <w:t>Built form and landscape</w:t>
      </w:r>
    </w:p>
    <w:p>
      <w:pPr>
        <w:spacing w:before="40" w:after="80" w:line="276" w:lineRule="auto"/>
      </w:pPr>
      <w:r>
        <w:rPr>
          <w:color w:val="334155"/>
          <w:sz w:val="19"/>
        </w:rPr>
        <w:t>33</w:t>
      </w:r>
    </w:p>
    <w:p>
      <w:pPr>
        <w:spacing w:before="40" w:after="80" w:line="276" w:lineRule="auto"/>
      </w:pPr>
      <w:r>
        <w:rPr>
          <w:color w:val="334155"/>
          <w:sz w:val="19"/>
        </w:rPr>
        <w:t>Desired future character</w:t>
      </w:r>
    </w:p>
    <w:p>
      <w:pPr>
        <w:spacing w:before="40" w:after="80" w:line="276" w:lineRule="auto"/>
      </w:pPr>
      <w:r>
        <w:rPr>
          <w:color w:val="334155"/>
          <w:sz w:val="19"/>
        </w:rPr>
        <w:t>33</w:t>
      </w:r>
    </w:p>
    <w:p>
      <w:pPr>
        <w:spacing w:before="40" w:after="80" w:line="276" w:lineRule="auto"/>
      </w:pPr>
      <w:r>
        <w:rPr>
          <w:color w:val="334155"/>
          <w:sz w:val="19"/>
        </w:rPr>
        <w:t>Urban design and public realm</w:t>
      </w:r>
    </w:p>
    <w:p>
      <w:pPr>
        <w:spacing w:before="40" w:after="80" w:line="276" w:lineRule="auto"/>
      </w:pPr>
      <w:r>
        <w:rPr>
          <w:color w:val="334155"/>
          <w:sz w:val="19"/>
        </w:rPr>
        <w:t>35</w:t>
      </w:r>
    </w:p>
    <w:p>
      <w:pPr>
        <w:spacing w:before="40" w:after="80" w:line="276" w:lineRule="auto"/>
      </w:pPr>
      <w:r>
        <w:rPr>
          <w:color w:val="334155"/>
          <w:sz w:val="19"/>
        </w:rPr>
        <w:t>Sub-precinct interface consideration</w:t>
      </w:r>
    </w:p>
    <w:p>
      <w:pPr>
        <w:spacing w:before="40" w:after="80" w:line="276" w:lineRule="auto"/>
      </w:pPr>
      <w:r>
        <w:rPr>
          <w:color w:val="334155"/>
          <w:sz w:val="19"/>
        </w:rPr>
        <w:t>36</w:t>
      </w:r>
    </w:p>
    <w:p>
      <w:pPr>
        <w:spacing w:before="40" w:after="80" w:line="276" w:lineRule="auto"/>
      </w:pPr>
      <w:r>
        <w:rPr>
          <w:color w:val="334155"/>
          <w:sz w:val="19"/>
        </w:rPr>
        <w:t>6</w:t>
      </w:r>
    </w:p>
    <w:p>
      <w:pPr>
        <w:spacing w:before="40" w:after="80" w:line="276" w:lineRule="auto"/>
      </w:pPr>
      <w:r>
        <w:rPr>
          <w:color w:val="334155"/>
          <w:sz w:val="19"/>
        </w:rPr>
        <w:t>Ecology, water and landscape</w:t>
      </w:r>
    </w:p>
    <w:p>
      <w:pPr>
        <w:spacing w:before="40" w:after="80" w:line="276" w:lineRule="auto"/>
      </w:pPr>
      <w:r>
        <w:rPr>
          <w:color w:val="334155"/>
          <w:sz w:val="19"/>
        </w:rPr>
        <w:t>systems</w:t>
      </w:r>
    </w:p>
    <w:p>
      <w:pPr>
        <w:spacing w:before="40" w:after="80" w:line="276" w:lineRule="auto"/>
      </w:pPr>
      <w:r>
        <w:rPr>
          <w:color w:val="334155"/>
          <w:sz w:val="19"/>
        </w:rPr>
        <w:t>39</w:t>
      </w:r>
    </w:p>
    <w:p>
      <w:pPr>
        <w:spacing w:before="40" w:after="80" w:line="276" w:lineRule="auto"/>
      </w:pPr>
      <w:r>
        <w:rPr>
          <w:color w:val="334155"/>
          <w:sz w:val="19"/>
        </w:rPr>
        <w:t>Biodiversity and habitat corridors</w:t>
      </w:r>
    </w:p>
    <w:p>
      <w:pPr>
        <w:spacing w:before="40" w:after="80" w:line="276" w:lineRule="auto"/>
      </w:pPr>
      <w:r>
        <w:rPr>
          <w:color w:val="334155"/>
          <w:sz w:val="19"/>
        </w:rPr>
        <w:t>39</w:t>
      </w:r>
    </w:p>
    <w:p>
      <w:pPr>
        <w:spacing w:before="40" w:after="80" w:line="276" w:lineRule="auto"/>
      </w:pPr>
      <w:r>
        <w:rPr>
          <w:color w:val="334155"/>
          <w:sz w:val="19"/>
        </w:rPr>
        <w:t>Water cycle management</w:t>
      </w:r>
    </w:p>
    <w:p>
      <w:pPr>
        <w:spacing w:before="40" w:after="80" w:line="276" w:lineRule="auto"/>
      </w:pPr>
      <w:r>
        <w:rPr>
          <w:color w:val="334155"/>
          <w:sz w:val="19"/>
        </w:rPr>
        <w:t>41</w:t>
      </w:r>
    </w:p>
    <w:p>
      <w:pPr>
        <w:spacing w:before="40" w:after="80" w:line="276" w:lineRule="auto"/>
      </w:pPr>
      <w:r>
        <w:rPr>
          <w:color w:val="334155"/>
          <w:sz w:val="19"/>
        </w:rPr>
        <w:t>7</w:t>
      </w:r>
    </w:p>
    <w:p>
      <w:pPr>
        <w:spacing w:before="40" w:after="80" w:line="276" w:lineRule="auto"/>
      </w:pPr>
      <w:r>
        <w:rPr>
          <w:color w:val="334155"/>
          <w:sz w:val="19"/>
        </w:rPr>
        <w:t>Transport and connectivity</w:t>
      </w:r>
    </w:p>
    <w:p>
      <w:pPr>
        <w:spacing w:before="40" w:after="80" w:line="276" w:lineRule="auto"/>
      </w:pPr>
      <w:r>
        <w:rPr>
          <w:color w:val="334155"/>
          <w:sz w:val="19"/>
        </w:rPr>
        <w:t>42</w:t>
      </w:r>
    </w:p>
    <w:p>
      <w:pPr>
        <w:spacing w:before="40" w:after="80" w:line="276" w:lineRule="auto"/>
      </w:pPr>
      <w:r>
        <w:rPr>
          <w:color w:val="334155"/>
          <w:sz w:val="19"/>
        </w:rPr>
        <w:t>Road network, freight and access</w:t>
      </w:r>
    </w:p>
    <w:p>
      <w:pPr>
        <w:spacing w:before="40" w:after="80" w:line="276" w:lineRule="auto"/>
      </w:pPr>
      <w:r>
        <w:rPr>
          <w:color w:val="334155"/>
          <w:sz w:val="19"/>
        </w:rPr>
        <w:t>42</w:t>
      </w:r>
    </w:p>
    <w:p>
      <w:pPr>
        <w:spacing w:before="40" w:after="80" w:line="276" w:lineRule="auto"/>
      </w:pPr>
      <w:r>
        <w:rPr>
          <w:color w:val="334155"/>
          <w:sz w:val="19"/>
        </w:rPr>
        <w:t>Active transport and connectivity</w:t>
      </w:r>
    </w:p>
    <w:p>
      <w:pPr>
        <w:spacing w:before="40" w:after="80" w:line="276" w:lineRule="auto"/>
      </w:pPr>
      <w:r>
        <w:rPr>
          <w:color w:val="334155"/>
          <w:sz w:val="19"/>
        </w:rPr>
        <w:t>47</w:t>
      </w:r>
    </w:p>
    <w:p>
      <w:pPr>
        <w:spacing w:before="40" w:after="80" w:line="276" w:lineRule="auto"/>
      </w:pPr>
      <w:r>
        <w:rPr>
          <w:color w:val="334155"/>
          <w:sz w:val="19"/>
        </w:rPr>
        <w:t>8</w:t>
      </w:r>
    </w:p>
    <w:p>
      <w:pPr>
        <w:spacing w:before="40" w:after="80" w:line="276" w:lineRule="auto"/>
      </w:pPr>
      <w:r>
        <w:rPr>
          <w:color w:val="334155"/>
          <w:sz w:val="19"/>
        </w:rPr>
        <w:t>Social infrastructure and</w:t>
      </w:r>
    </w:p>
    <w:p>
      <w:pPr>
        <w:spacing w:before="40" w:after="80" w:line="276" w:lineRule="auto"/>
      </w:pPr>
      <w:r>
        <w:rPr>
          <w:color w:val="334155"/>
          <w:sz w:val="19"/>
        </w:rPr>
        <w:t>community facilities</w:t>
      </w:r>
    </w:p>
    <w:p>
      <w:pPr>
        <w:spacing w:before="40" w:after="80" w:line="276" w:lineRule="auto"/>
      </w:pPr>
      <w:r>
        <w:rPr>
          <w:color w:val="334155"/>
          <w:sz w:val="19"/>
        </w:rPr>
        <w:t>49</w:t>
      </w:r>
    </w:p>
    <w:p>
      <w:pPr>
        <w:spacing w:before="40" w:after="80" w:line="276" w:lineRule="auto"/>
      </w:pPr>
      <w:r>
        <w:rPr>
          <w:color w:val="334155"/>
          <w:sz w:val="19"/>
        </w:rPr>
        <w:t>Community facilities</w:t>
      </w:r>
    </w:p>
    <w:p>
      <w:pPr>
        <w:spacing w:before="40" w:after="80" w:line="276" w:lineRule="auto"/>
      </w:pPr>
      <w:r>
        <w:rPr>
          <w:color w:val="334155"/>
          <w:sz w:val="19"/>
        </w:rPr>
        <w:t>49</w:t>
      </w:r>
    </w:p>
    <w:p>
      <w:pPr>
        <w:spacing w:before="40" w:after="80" w:line="276" w:lineRule="auto"/>
      </w:pPr>
      <w:r>
        <w:rPr>
          <w:color w:val="334155"/>
          <w:sz w:val="19"/>
        </w:rPr>
        <w:t>Social infrastructure</w:t>
      </w:r>
    </w:p>
    <w:p>
      <w:pPr>
        <w:spacing w:before="40" w:after="80" w:line="276" w:lineRule="auto"/>
      </w:pPr>
      <w:r>
        <w:rPr>
          <w:color w:val="334155"/>
          <w:sz w:val="19"/>
        </w:rPr>
        <w:t>50</w:t>
      </w:r>
    </w:p>
    <w:p>
      <w:pPr>
        <w:spacing w:before="40" w:after="80" w:line="276" w:lineRule="auto"/>
      </w:pPr>
      <w:r>
        <w:rPr>
          <w:color w:val="334155"/>
          <w:sz w:val="19"/>
        </w:rPr>
        <w:t>9</w:t>
      </w:r>
    </w:p>
    <w:p>
      <w:pPr>
        <w:spacing w:before="40" w:after="80" w:line="276" w:lineRule="auto"/>
      </w:pPr>
      <w:r>
        <w:rPr>
          <w:color w:val="334155"/>
          <w:sz w:val="19"/>
        </w:rPr>
        <w:t>Sustainability and resilience</w:t>
      </w:r>
    </w:p>
    <w:p>
      <w:pPr>
        <w:spacing w:before="40" w:after="80" w:line="276" w:lineRule="auto"/>
      </w:pPr>
      <w:r>
        <w:rPr>
          <w:color w:val="334155"/>
          <w:sz w:val="19"/>
        </w:rPr>
        <w:t>51</w:t>
      </w:r>
    </w:p>
    <w:p>
      <w:pPr>
        <w:spacing w:before="40" w:after="80" w:line="276" w:lineRule="auto"/>
      </w:pPr>
      <w:r>
        <w:rPr>
          <w:color w:val="334155"/>
          <w:sz w:val="19"/>
        </w:rPr>
        <w:t>Tailings storage and</w:t>
      </w:r>
    </w:p>
    <w:p>
      <w:pPr>
        <w:spacing w:before="40" w:after="80" w:line="276" w:lineRule="auto"/>
      </w:pPr>
      <w:r>
        <w:rPr>
          <w:color w:val="334155"/>
          <w:sz w:val="19"/>
        </w:rPr>
        <w:t>dam break inundation zone</w:t>
      </w:r>
    </w:p>
    <w:p>
      <w:pPr>
        <w:spacing w:before="40" w:after="80" w:line="276" w:lineRule="auto"/>
      </w:pPr>
      <w:r>
        <w:rPr>
          <w:color w:val="334155"/>
          <w:sz w:val="19"/>
        </w:rPr>
        <w:t>51</w:t>
      </w:r>
    </w:p>
    <w:p>
      <w:pPr>
        <w:spacing w:before="40" w:after="80" w:line="276" w:lineRule="auto"/>
      </w:pPr>
      <w:r>
        <w:rPr>
          <w:color w:val="334155"/>
          <w:sz w:val="19"/>
        </w:rPr>
        <w:t>Flooding and risk management</w:t>
      </w:r>
    </w:p>
    <w:p>
      <w:pPr>
        <w:spacing w:before="40" w:after="80" w:line="276" w:lineRule="auto"/>
      </w:pPr>
      <w:r>
        <w:rPr>
          <w:color w:val="334155"/>
          <w:sz w:val="19"/>
        </w:rPr>
        <w:t>53</w:t>
      </w:r>
    </w:p>
    <w:p>
      <w:pPr>
        <w:spacing w:before="40" w:after="80" w:line="276" w:lineRule="auto"/>
      </w:pPr>
      <w:r>
        <w:rPr>
          <w:color w:val="334155"/>
          <w:sz w:val="19"/>
        </w:rPr>
        <w:t>Bush fire resilience</w:t>
      </w:r>
    </w:p>
    <w:p>
      <w:pPr>
        <w:spacing w:before="40" w:after="80" w:line="276" w:lineRule="auto"/>
      </w:pPr>
      <w:r>
        <w:rPr>
          <w:color w:val="334155"/>
          <w:sz w:val="19"/>
        </w:rPr>
        <w:t>55</w:t>
      </w:r>
    </w:p>
    <w:p>
      <w:pPr>
        <w:spacing w:before="40" w:after="80" w:line="276" w:lineRule="auto"/>
      </w:pPr>
      <w:r>
        <w:rPr>
          <w:color w:val="334155"/>
          <w:sz w:val="19"/>
        </w:rPr>
        <w:t>Geotechnical</w:t>
      </w:r>
    </w:p>
    <w:p>
      <w:pPr>
        <w:spacing w:before="40" w:after="80" w:line="276" w:lineRule="auto"/>
      </w:pPr>
      <w:r>
        <w:rPr>
          <w:color w:val="334155"/>
          <w:sz w:val="19"/>
        </w:rPr>
        <w:t>55</w:t>
      </w:r>
    </w:p>
    <w:p>
      <w:pPr>
        <w:spacing w:before="40" w:after="80" w:line="276" w:lineRule="auto"/>
      </w:pPr>
      <w:r>
        <w:rPr>
          <w:color w:val="334155"/>
          <w:sz w:val="19"/>
        </w:rPr>
        <w:t>Contamination</w:t>
      </w:r>
    </w:p>
    <w:p>
      <w:pPr>
        <w:spacing w:before="40" w:after="80" w:line="276" w:lineRule="auto"/>
      </w:pPr>
      <w:r>
        <w:rPr>
          <w:color w:val="334155"/>
          <w:sz w:val="19"/>
        </w:rPr>
        <w:t>56</w:t>
      </w:r>
    </w:p>
    <w:p>
      <w:pPr>
        <w:spacing w:before="40" w:after="80" w:line="276" w:lineRule="auto"/>
      </w:pPr>
      <w:r>
        <w:rPr>
          <w:color w:val="334155"/>
          <w:sz w:val="19"/>
        </w:rPr>
        <w:t>Air quality and odour</w:t>
      </w:r>
    </w:p>
    <w:p>
      <w:pPr>
        <w:spacing w:before="40" w:after="80" w:line="276" w:lineRule="auto"/>
      </w:pPr>
      <w:r>
        <w:rPr>
          <w:color w:val="334155"/>
          <w:sz w:val="19"/>
        </w:rPr>
        <w:t>57</w:t>
      </w:r>
    </w:p>
    <w:p>
      <w:pPr>
        <w:spacing w:before="40" w:after="80" w:line="276" w:lineRule="auto"/>
      </w:pPr>
      <w:r>
        <w:rPr>
          <w:color w:val="334155"/>
          <w:sz w:val="19"/>
        </w:rPr>
        <w:t>Noise and vibration</w:t>
      </w:r>
    </w:p>
    <w:p>
      <w:pPr>
        <w:spacing w:before="40" w:after="80" w:line="276" w:lineRule="auto"/>
      </w:pPr>
      <w:r>
        <w:rPr>
          <w:color w:val="334155"/>
          <w:sz w:val="19"/>
        </w:rPr>
        <w:t>57</w:t>
      </w:r>
    </w:p>
    <w:p>
      <w:pPr>
        <w:spacing w:before="40" w:after="80" w:line="276" w:lineRule="auto"/>
      </w:pPr>
      <w:r>
        <w:rPr>
          <w:color w:val="334155"/>
          <w:sz w:val="19"/>
        </w:rPr>
        <w:t>10 Infrastructure, utilities</w:t>
      </w:r>
    </w:p>
    <w:p>
      <w:pPr>
        <w:spacing w:before="40" w:after="80" w:line="276" w:lineRule="auto"/>
      </w:pPr>
      <w:r>
        <w:rPr>
          <w:color w:val="334155"/>
          <w:sz w:val="19"/>
        </w:rPr>
        <w:t>and servicing</w:t>
      </w:r>
    </w:p>
    <w:p>
      <w:pPr>
        <w:spacing w:before="40" w:after="80" w:line="276" w:lineRule="auto"/>
      </w:pPr>
      <w:r>
        <w:rPr>
          <w:color w:val="334155"/>
          <w:sz w:val="19"/>
        </w:rPr>
        <w:t>58</w:t>
      </w:r>
    </w:p>
    <w:p>
      <w:pPr>
        <w:spacing w:before="40" w:after="80" w:line="276" w:lineRule="auto"/>
      </w:pPr>
      <w:r>
        <w:rPr>
          <w:color w:val="334155"/>
          <w:sz w:val="19"/>
        </w:rPr>
        <w:t>`</w:t>
      </w:r>
    </w:p>
    <w:p>
      <w:pPr>
        <w:pStyle w:val="Heading3"/>
        <w:keepNext/>
        <w:spacing w:before="160" w:after="40"/>
      </w:pPr>
      <w:r>
        <w:rPr>
          <w:b/>
          <w:color w:val="334155"/>
        </w:rPr>
        <w:t>Master Plan Page 5</w:t>
      </w:r>
    </w:p>
    <w:p>
      <w:pPr>
        <w:spacing w:before="40" w:after="80" w:line="276" w:lineRule="auto"/>
      </w:pPr>
      <w:r>
        <w:rPr>
          <w:color w:val="334155"/>
          <w:sz w:val="19"/>
        </w:rPr>
        <w:t>`</w:t>
      </w:r>
    </w:p>
    <w:p>
      <w:pPr>
        <w:spacing w:before="40" w:after="80" w:line="276" w:lineRule="auto"/>
      </w:pPr>
      <w:r>
        <w:rPr>
          <w:color w:val="334155"/>
          <w:sz w:val="19"/>
        </w:rPr>
        <w:t>Figure 2: Process of the Precinct transforming to an employment generating precinct</w:t>
      </w:r>
    </w:p>
    <w:p>
      <w:pPr>
        <w:spacing w:before="40" w:after="80" w:line="276" w:lineRule="auto"/>
      </w:pPr>
      <w:r>
        <w:rPr>
          <w:color w:val="334155"/>
          <w:sz w:val="19"/>
        </w:rPr>
        <w:t>Consistent with this policy direction, the</w:t>
      </w:r>
    </w:p>
    <w:p>
      <w:pPr>
        <w:spacing w:before="40" w:after="80" w:line="276" w:lineRule="auto"/>
      </w:pPr>
      <w:r>
        <w:rPr>
          <w:color w:val="334155"/>
          <w:sz w:val="19"/>
        </w:rPr>
        <w:t>Department and Council have undertaken master</w:t>
      </w:r>
    </w:p>
    <w:p>
      <w:pPr>
        <w:spacing w:before="40" w:after="80" w:line="276" w:lineRule="auto"/>
      </w:pPr>
      <w:r>
        <w:rPr>
          <w:color w:val="334155"/>
          <w:sz w:val="19"/>
        </w:rPr>
        <w:t>planning informed by technical studies to support</w:t>
      </w:r>
    </w:p>
    <w:p>
      <w:pPr>
        <w:spacing w:before="40" w:after="80" w:line="276" w:lineRule="auto"/>
      </w:pPr>
      <w:r>
        <w:rPr>
          <w:color w:val="334155"/>
          <w:sz w:val="19"/>
        </w:rPr>
        <w:t>the coordinated transformation of the former mine</w:t>
      </w:r>
    </w:p>
    <w:p>
      <w:pPr>
        <w:spacing w:before="40" w:after="80" w:line="276" w:lineRule="auto"/>
      </w:pPr>
      <w:r>
        <w:rPr>
          <w:color w:val="334155"/>
          <w:sz w:val="19"/>
        </w:rPr>
        <w:t>site to alternative, employment-generating land</w:t>
      </w:r>
    </w:p>
    <w:p>
      <w:pPr>
        <w:spacing w:before="40" w:after="80" w:line="276" w:lineRule="auto"/>
      </w:pPr>
      <w:r>
        <w:rPr>
          <w:color w:val="334155"/>
          <w:sz w:val="19"/>
        </w:rPr>
        <w:t>uses in the Precinct (Figure 2). The draft Master</w:t>
      </w:r>
    </w:p>
    <w:p>
      <w:pPr>
        <w:spacing w:before="40" w:after="80" w:line="276" w:lineRule="auto"/>
      </w:pPr>
      <w:r>
        <w:rPr>
          <w:color w:val="334155"/>
          <w:sz w:val="19"/>
        </w:rPr>
        <w:t>Plan establishes the design framework to realise</w:t>
      </w:r>
    </w:p>
    <w:p>
      <w:pPr>
        <w:spacing w:before="40" w:after="80" w:line="276" w:lineRule="auto"/>
      </w:pPr>
      <w:r>
        <w:rPr>
          <w:color w:val="334155"/>
          <w:sz w:val="19"/>
        </w:rPr>
        <w:t>this opportunity, providing the certainty needed</w:t>
      </w:r>
    </w:p>
    <w:p>
      <w:pPr>
        <w:spacing w:before="40" w:after="80" w:line="276" w:lineRule="auto"/>
      </w:pPr>
      <w:r>
        <w:rPr>
          <w:color w:val="334155"/>
          <w:sz w:val="19"/>
        </w:rPr>
        <w:t>by investors, industry partners and the</w:t>
      </w:r>
    </w:p>
    <w:p>
      <w:pPr>
        <w:spacing w:before="40" w:after="80" w:line="276" w:lineRule="auto"/>
      </w:pPr>
      <w:r>
        <w:rPr>
          <w:color w:val="334155"/>
          <w:sz w:val="19"/>
        </w:rPr>
        <w:t>community, demonstrating a transferable model</w:t>
      </w:r>
    </w:p>
    <w:p>
      <w:pPr>
        <w:spacing w:before="40" w:after="80" w:line="276" w:lineRule="auto"/>
      </w:pPr>
      <w:r>
        <w:rPr>
          <w:color w:val="334155"/>
          <w:sz w:val="19"/>
        </w:rPr>
        <w:t>for productive post mining land use across NSW.</w:t>
      </w:r>
    </w:p>
    <w:p>
      <w:pPr>
        <w:spacing w:before="40" w:after="80" w:line="276" w:lineRule="auto"/>
      </w:pPr>
      <w:r>
        <w:rPr>
          <w:color w:val="334155"/>
          <w:sz w:val="19"/>
        </w:rPr>
        <w:t>Relationship to other</w:t>
      </w:r>
    </w:p>
    <w:p>
      <w:pPr>
        <w:spacing w:before="40" w:after="80" w:line="276" w:lineRule="auto"/>
      </w:pPr>
      <w:r>
        <w:rPr>
          <w:color w:val="334155"/>
          <w:sz w:val="19"/>
        </w:rPr>
        <w:t>planning instruments</w:t>
      </w:r>
    </w:p>
    <w:p>
      <w:pPr>
        <w:spacing w:before="40" w:after="80" w:line="276" w:lineRule="auto"/>
      </w:pPr>
      <w:r>
        <w:rPr>
          <w:color w:val="334155"/>
          <w:sz w:val="19"/>
        </w:rPr>
        <w:t>State Environmental Planning Policy (Precincts –</w:t>
      </w:r>
    </w:p>
    <w:p>
      <w:pPr>
        <w:spacing w:before="40" w:after="80" w:line="276" w:lineRule="auto"/>
      </w:pPr>
      <w:r>
        <w:rPr>
          <w:color w:val="334155"/>
          <w:sz w:val="19"/>
        </w:rPr>
        <w:t>Regional) 2021</w:t>
      </w:r>
    </w:p>
    <w:p>
      <w:pPr>
        <w:spacing w:before="40" w:after="80" w:line="276" w:lineRule="auto"/>
      </w:pPr>
      <w:r>
        <w:rPr>
          <w:color w:val="334155"/>
          <w:sz w:val="19"/>
        </w:rPr>
        <w:t>A new chapter will be prepared for the Macquarie</w:t>
      </w:r>
    </w:p>
    <w:p>
      <w:pPr>
        <w:spacing w:before="40" w:after="80" w:line="276" w:lineRule="auto"/>
      </w:pPr>
      <w:r>
        <w:rPr>
          <w:color w:val="334155"/>
          <w:sz w:val="19"/>
        </w:rPr>
        <w:t>Coal Complex Precinct in the State Environmental</w:t>
      </w:r>
    </w:p>
    <w:p>
      <w:pPr>
        <w:spacing w:before="40" w:after="80" w:line="276" w:lineRule="auto"/>
      </w:pPr>
      <w:r>
        <w:rPr>
          <w:color w:val="334155"/>
          <w:sz w:val="19"/>
        </w:rPr>
        <w:t>Planning Policy (Precincts – Regional) 2021</w:t>
      </w:r>
    </w:p>
    <w:p>
      <w:pPr>
        <w:spacing w:before="40" w:after="80" w:line="276" w:lineRule="auto"/>
      </w:pPr>
      <w:r>
        <w:rPr>
          <w:color w:val="334155"/>
          <w:sz w:val="19"/>
        </w:rPr>
        <w:t>(Precincts – Regional SEPP). The chapter will:</w:t>
      </w:r>
    </w:p>
    <w:p>
      <w:pPr>
        <w:spacing w:before="40" w:after="80" w:line="276" w:lineRule="auto"/>
      </w:pPr>
      <w:r>
        <w:rPr>
          <w:color w:val="334155"/>
          <w:sz w:val="19"/>
        </w:rPr>
        <w:t>•</w:t>
      </w:r>
    </w:p>
    <w:p>
      <w:pPr>
        <w:spacing w:before="40" w:after="80" w:line="276" w:lineRule="auto"/>
      </w:pPr>
      <w:r>
        <w:rPr>
          <w:color w:val="334155"/>
          <w:sz w:val="19"/>
        </w:rPr>
        <w:t>Provide zoning and land use controls</w:t>
      </w:r>
    </w:p>
    <w:p>
      <w:pPr>
        <w:spacing w:before="40" w:after="80" w:line="276" w:lineRule="auto"/>
      </w:pPr>
      <w:r>
        <w:rPr>
          <w:color w:val="334155"/>
          <w:sz w:val="19"/>
        </w:rPr>
        <w:t>•</w:t>
      </w:r>
    </w:p>
    <w:p>
      <w:pPr>
        <w:spacing w:before="40" w:after="80" w:line="276" w:lineRule="auto"/>
      </w:pPr>
      <w:r>
        <w:rPr>
          <w:color w:val="334155"/>
          <w:sz w:val="19"/>
        </w:rPr>
        <w:t>Determine permissible and prohibited land</w:t>
      </w:r>
    </w:p>
    <w:p>
      <w:pPr>
        <w:spacing w:before="40" w:after="80" w:line="276" w:lineRule="auto"/>
      </w:pPr>
      <w:r>
        <w:rPr>
          <w:color w:val="334155"/>
          <w:sz w:val="19"/>
        </w:rPr>
        <w:t>uses</w:t>
      </w:r>
    </w:p>
    <w:p>
      <w:pPr>
        <w:spacing w:before="40" w:after="80" w:line="276" w:lineRule="auto"/>
      </w:pPr>
      <w:r>
        <w:rPr>
          <w:color w:val="334155"/>
          <w:sz w:val="19"/>
        </w:rPr>
        <w:t>•</w:t>
      </w:r>
    </w:p>
    <w:p>
      <w:pPr>
        <w:spacing w:before="40" w:after="80" w:line="276" w:lineRule="auto"/>
      </w:pPr>
      <w:r>
        <w:rPr>
          <w:color w:val="334155"/>
          <w:sz w:val="19"/>
        </w:rPr>
        <w:t>Set general and site-specific provisions</w:t>
      </w:r>
    </w:p>
    <w:p>
      <w:pPr>
        <w:spacing w:before="40" w:after="80" w:line="276" w:lineRule="auto"/>
      </w:pPr>
      <w:r>
        <w:rPr>
          <w:color w:val="334155"/>
          <w:sz w:val="19"/>
        </w:rPr>
        <w:t>•</w:t>
      </w:r>
    </w:p>
    <w:p>
      <w:pPr>
        <w:spacing w:before="40" w:after="80" w:line="276" w:lineRule="auto"/>
      </w:pPr>
      <w:r>
        <w:rPr>
          <w:color w:val="334155"/>
          <w:sz w:val="19"/>
        </w:rPr>
        <w:t>Present the role and requirements of the draft</w:t>
      </w:r>
    </w:p>
    <w:p>
      <w:pPr>
        <w:spacing w:before="40" w:after="80" w:line="276" w:lineRule="auto"/>
      </w:pPr>
      <w:r>
        <w:rPr>
          <w:color w:val="334155"/>
          <w:sz w:val="19"/>
        </w:rPr>
        <w:t>Master Plan</w:t>
      </w:r>
    </w:p>
    <w:p>
      <w:pPr>
        <w:spacing w:before="40" w:after="80" w:line="276" w:lineRule="auto"/>
      </w:pPr>
      <w:r>
        <w:rPr>
          <w:color w:val="334155"/>
          <w:sz w:val="19"/>
        </w:rPr>
        <w:t>•</w:t>
      </w:r>
    </w:p>
    <w:p>
      <w:pPr>
        <w:spacing w:before="40" w:after="80" w:line="276" w:lineRule="auto"/>
      </w:pPr>
      <w:r>
        <w:rPr>
          <w:color w:val="334155"/>
          <w:sz w:val="19"/>
        </w:rPr>
        <w:t>Excise pilot project sites from relevant Local</w:t>
      </w:r>
    </w:p>
    <w:p>
      <w:pPr>
        <w:spacing w:before="40" w:after="80" w:line="276" w:lineRule="auto"/>
      </w:pPr>
      <w:r>
        <w:rPr>
          <w:color w:val="334155"/>
          <w:sz w:val="19"/>
        </w:rPr>
        <w:t>Environmental Plans.</w:t>
      </w:r>
    </w:p>
    <w:p>
      <w:pPr>
        <w:spacing w:before="40" w:after="80" w:line="276" w:lineRule="auto"/>
      </w:pPr>
      <w:r>
        <w:rPr>
          <w:color w:val="334155"/>
          <w:sz w:val="19"/>
        </w:rPr>
        <w:t>Existing planning pathways will be utilised.</w:t>
      </w:r>
    </w:p>
    <w:p>
      <w:pPr>
        <w:spacing w:before="40" w:after="80" w:line="276" w:lineRule="auto"/>
      </w:pPr>
      <w:r>
        <w:rPr>
          <w:color w:val="334155"/>
          <w:sz w:val="19"/>
        </w:rPr>
        <w:t>Macquarie Coal Complex Post-Mining</w:t>
      </w:r>
    </w:p>
    <w:p>
      <w:pPr>
        <w:spacing w:before="40" w:after="80" w:line="276" w:lineRule="auto"/>
      </w:pPr>
      <w:r>
        <w:rPr>
          <w:color w:val="334155"/>
          <w:sz w:val="19"/>
        </w:rPr>
        <w:t>Land Use Master Plan</w:t>
      </w:r>
    </w:p>
    <w:p>
      <w:pPr>
        <w:spacing w:before="40" w:after="80" w:line="276" w:lineRule="auto"/>
      </w:pPr>
      <w:r>
        <w:rPr>
          <w:color w:val="334155"/>
          <w:sz w:val="19"/>
        </w:rPr>
        <w:t>Prepared by the Department and approved by the</w:t>
      </w:r>
    </w:p>
    <w:p>
      <w:pPr>
        <w:spacing w:before="40" w:after="80" w:line="276" w:lineRule="auto"/>
      </w:pPr>
      <w:r>
        <w:rPr>
          <w:color w:val="334155"/>
          <w:sz w:val="19"/>
        </w:rPr>
        <w:t>Minister of Planning and Public Spaces, the draft</w:t>
      </w:r>
    </w:p>
    <w:p>
      <w:pPr>
        <w:spacing w:before="40" w:after="80" w:line="276" w:lineRule="auto"/>
      </w:pPr>
      <w:r>
        <w:rPr>
          <w:color w:val="334155"/>
          <w:sz w:val="19"/>
        </w:rPr>
        <w:t>Master Plan is a statutory document that</w:t>
      </w:r>
    </w:p>
    <w:p>
      <w:pPr>
        <w:spacing w:before="40" w:after="80" w:line="276" w:lineRule="auto"/>
      </w:pPr>
      <w:r>
        <w:rPr>
          <w:color w:val="334155"/>
          <w:sz w:val="19"/>
        </w:rPr>
        <w:t>supports the Precincts – Regional SEPP and:</w:t>
      </w:r>
    </w:p>
    <w:p>
      <w:pPr>
        <w:spacing w:before="40" w:after="80" w:line="276" w:lineRule="auto"/>
      </w:pPr>
      <w:r>
        <w:rPr>
          <w:color w:val="334155"/>
          <w:sz w:val="19"/>
        </w:rPr>
        <w:t>•</w:t>
      </w:r>
    </w:p>
    <w:p>
      <w:pPr>
        <w:spacing w:before="40" w:after="80" w:line="276" w:lineRule="auto"/>
      </w:pPr>
      <w:r>
        <w:rPr>
          <w:color w:val="334155"/>
          <w:sz w:val="19"/>
        </w:rPr>
        <w:t>Provides the strategic vision, guiding principles,</w:t>
      </w:r>
    </w:p>
    <w:p>
      <w:pPr>
        <w:spacing w:before="40" w:after="80" w:line="276" w:lineRule="auto"/>
      </w:pPr>
      <w:r>
        <w:rPr>
          <w:color w:val="334155"/>
          <w:sz w:val="19"/>
        </w:rPr>
        <w:t>strategic context and describes overarching</w:t>
      </w:r>
    </w:p>
    <w:p>
      <w:pPr>
        <w:spacing w:before="40" w:after="80" w:line="276" w:lineRule="auto"/>
      </w:pPr>
      <w:r>
        <w:rPr>
          <w:color w:val="334155"/>
          <w:sz w:val="19"/>
        </w:rPr>
        <w:t>Precinct opportunities and constraints</w:t>
      </w:r>
    </w:p>
    <w:p>
      <w:pPr>
        <w:spacing w:before="40" w:after="80" w:line="276" w:lineRule="auto"/>
      </w:pPr>
      <w:r>
        <w:rPr>
          <w:color w:val="334155"/>
          <w:sz w:val="19"/>
        </w:rPr>
        <w:t>•</w:t>
      </w:r>
    </w:p>
    <w:p>
      <w:pPr>
        <w:spacing w:before="40" w:after="80" w:line="276" w:lineRule="auto"/>
      </w:pPr>
      <w:r>
        <w:rPr>
          <w:color w:val="334155"/>
          <w:sz w:val="19"/>
        </w:rPr>
        <w:t>Provides an overarching structure plan and aims</w:t>
      </w:r>
    </w:p>
    <w:p>
      <w:pPr>
        <w:spacing w:before="40" w:after="80" w:line="276" w:lineRule="auto"/>
      </w:pPr>
      <w:r>
        <w:rPr>
          <w:color w:val="334155"/>
          <w:sz w:val="19"/>
        </w:rPr>
        <w:t>and performance criteria to make sure</w:t>
      </w:r>
    </w:p>
    <w:p>
      <w:pPr>
        <w:spacing w:before="40" w:after="80" w:line="276" w:lineRule="auto"/>
      </w:pPr>
      <w:r>
        <w:rPr>
          <w:color w:val="334155"/>
          <w:sz w:val="19"/>
        </w:rPr>
        <w:t>objectives are met</w:t>
      </w:r>
    </w:p>
    <w:p>
      <w:pPr>
        <w:spacing w:before="40" w:after="80" w:line="276" w:lineRule="auto"/>
      </w:pPr>
      <w:r>
        <w:rPr>
          <w:color w:val="334155"/>
          <w:sz w:val="19"/>
        </w:rPr>
        <w:t>•</w:t>
      </w:r>
    </w:p>
    <w:p>
      <w:pPr>
        <w:spacing w:before="40" w:after="80" w:line="276" w:lineRule="auto"/>
      </w:pPr>
      <w:r>
        <w:rPr>
          <w:color w:val="334155"/>
          <w:sz w:val="19"/>
        </w:rPr>
        <w:t>Must be considered by the consent authority</w:t>
      </w:r>
    </w:p>
    <w:p>
      <w:pPr>
        <w:spacing w:before="40" w:after="80" w:line="276" w:lineRule="auto"/>
      </w:pPr>
      <w:r>
        <w:rPr>
          <w:color w:val="334155"/>
          <w:sz w:val="19"/>
        </w:rPr>
        <w:t>when determining an application for consent</w:t>
      </w:r>
    </w:p>
    <w:p>
      <w:pPr>
        <w:spacing w:before="40" w:after="80" w:line="276" w:lineRule="auto"/>
      </w:pPr>
      <w:r>
        <w:rPr>
          <w:color w:val="334155"/>
          <w:sz w:val="19"/>
        </w:rPr>
        <w:t>•</w:t>
      </w:r>
    </w:p>
    <w:p>
      <w:pPr>
        <w:spacing w:before="40" w:after="80" w:line="276" w:lineRule="auto"/>
      </w:pPr>
      <w:r>
        <w:rPr>
          <w:color w:val="334155"/>
          <w:sz w:val="19"/>
        </w:rPr>
        <w:t>Identifies environmental, transport and utility</w:t>
      </w:r>
    </w:p>
    <w:p>
      <w:pPr>
        <w:spacing w:before="40" w:after="80" w:line="276" w:lineRule="auto"/>
      </w:pPr>
      <w:r>
        <w:rPr>
          <w:color w:val="334155"/>
          <w:sz w:val="19"/>
        </w:rPr>
        <w:t>infrastructure to support future development</w:t>
      </w:r>
    </w:p>
    <w:p>
      <w:pPr>
        <w:spacing w:before="40" w:after="80" w:line="276" w:lineRule="auto"/>
      </w:pPr>
      <w:r>
        <w:rPr>
          <w:color w:val="334155"/>
          <w:sz w:val="19"/>
        </w:rPr>
        <w:t>within the Precinct.</w:t>
      </w:r>
    </w:p>
    <w:p>
      <w:pPr>
        <w:spacing w:before="40" w:after="80" w:line="276" w:lineRule="auto"/>
      </w:pPr>
      <w:r>
        <w:rPr>
          <w:color w:val="334155"/>
          <w:sz w:val="19"/>
        </w:rPr>
        <w:t>The Lake Macquarie Local Environment Plan 2014</w:t>
      </w:r>
    </w:p>
    <w:p>
      <w:pPr>
        <w:spacing w:before="40" w:after="80" w:line="276" w:lineRule="auto"/>
      </w:pPr>
      <w:r>
        <w:rPr>
          <w:color w:val="334155"/>
          <w:sz w:val="19"/>
        </w:rPr>
        <w:t>and Lake Macquarie Development Control Plan 2014</w:t>
      </w:r>
    </w:p>
    <w:p>
      <w:pPr>
        <w:spacing w:before="40" w:after="80" w:line="276" w:lineRule="auto"/>
      </w:pPr>
      <w:r>
        <w:rPr>
          <w:color w:val="334155"/>
          <w:sz w:val="19"/>
        </w:rPr>
        <w:t>do not apply to the Precinct.</w:t>
      </w:r>
    </w:p>
    <w:p>
      <w:pPr>
        <w:spacing w:before="40" w:after="80" w:line="276" w:lineRule="auto"/>
      </w:pPr>
      <w:r>
        <w:rPr>
          <w:color w:val="334155"/>
          <w:sz w:val="19"/>
        </w:rPr>
        <w:t>Figure 3: Proposed rezoning planning framework</w:t>
      </w:r>
    </w:p>
    <w:p>
      <w:pPr>
        <w:spacing w:before="40" w:after="80" w:line="276" w:lineRule="auto"/>
      </w:pPr>
      <w:r>
        <w:rPr>
          <w:color w:val="334155"/>
          <w:sz w:val="19"/>
        </w:rPr>
        <w:t>Precincts - Regional SEPP</w:t>
      </w:r>
    </w:p>
    <w:p>
      <w:pPr>
        <w:spacing w:before="40" w:after="80" w:line="276" w:lineRule="auto"/>
      </w:pPr>
      <w:r>
        <w:rPr>
          <w:color w:val="334155"/>
          <w:sz w:val="19"/>
        </w:rPr>
        <w:t>Master Plan</w:t>
      </w:r>
    </w:p>
    <w:p>
      <w:pPr>
        <w:spacing w:before="40" w:after="80" w:line="276" w:lineRule="auto"/>
      </w:pPr>
      <w:r>
        <w:rPr>
          <w:color w:val="334155"/>
          <w:sz w:val="19"/>
        </w:rPr>
        <w:t>Development Consent</w:t>
      </w:r>
    </w:p>
    <w:p>
      <w:pPr>
        <w:spacing w:before="40" w:after="80" w:line="276" w:lineRule="auto"/>
      </w:pPr>
      <w:r>
        <w:rPr>
          <w:color w:val="334155"/>
          <w:sz w:val="19"/>
        </w:rPr>
        <w:t>5</w:t>
      </w:r>
    </w:p>
    <w:p>
      <w:pPr>
        <w:spacing w:before="40" w:after="80" w:line="276" w:lineRule="auto"/>
      </w:pPr>
      <w:r>
        <w:rPr>
          <w:color w:val="334155"/>
          <w:sz w:val="19"/>
        </w:rPr>
        <w:t>1  Introduction</w:t>
      </w:r>
    </w:p>
    <w:p>
      <w:pPr>
        <w:spacing w:before="40" w:after="80" w:line="276" w:lineRule="auto"/>
      </w:pPr>
      <w:r>
        <w:rPr>
          <w:color w:val="334155"/>
          <w:sz w:val="19"/>
        </w:rPr>
        <w:t>`</w:t>
      </w:r>
    </w:p>
    <w:p>
      <w:pPr>
        <w:pStyle w:val="Heading3"/>
        <w:keepNext/>
        <w:spacing w:before="160" w:after="40"/>
      </w:pPr>
      <w:r>
        <w:rPr>
          <w:b/>
          <w:color w:val="334155"/>
        </w:rPr>
        <w:t>Master Plan Page 6</w:t>
      </w:r>
    </w:p>
    <w:p>
      <w:pPr>
        <w:spacing w:before="40" w:after="80" w:line="276" w:lineRule="auto"/>
      </w:pPr>
      <w:r>
        <w:rPr>
          <w:color w:val="334155"/>
          <w:sz w:val="19"/>
        </w:rPr>
        <w:t>`</w:t>
      </w:r>
    </w:p>
    <w:p>
      <w:pPr>
        <w:spacing w:before="40" w:after="80" w:line="276" w:lineRule="auto"/>
      </w:pPr>
      <w:r>
        <w:rPr>
          <w:color w:val="334155"/>
          <w:sz w:val="19"/>
        </w:rPr>
        <w:t>Purpose and how to</w:t>
      </w:r>
    </w:p>
    <w:p>
      <w:pPr>
        <w:spacing w:before="40" w:after="80" w:line="276" w:lineRule="auto"/>
      </w:pPr>
      <w:r>
        <w:rPr>
          <w:color w:val="334155"/>
          <w:sz w:val="19"/>
        </w:rPr>
        <w:t>use this draft Master Plan</w:t>
      </w:r>
    </w:p>
    <w:p>
      <w:pPr>
        <w:spacing w:before="40" w:after="80" w:line="276" w:lineRule="auto"/>
      </w:pPr>
      <w:r>
        <w:rPr>
          <w:color w:val="334155"/>
          <w:sz w:val="19"/>
        </w:rPr>
        <w:t>The purpose of this draft Master Plan is to provide</w:t>
      </w:r>
    </w:p>
    <w:p>
      <w:pPr>
        <w:spacing w:before="40" w:after="80" w:line="276" w:lineRule="auto"/>
      </w:pPr>
      <w:r>
        <w:rPr>
          <w:color w:val="334155"/>
          <w:sz w:val="19"/>
        </w:rPr>
        <w:t>a hierarchy of Precinct-wide aims and establish</w:t>
      </w:r>
    </w:p>
    <w:p>
      <w:pPr>
        <w:spacing w:before="40" w:after="80" w:line="276" w:lineRule="auto"/>
      </w:pPr>
      <w:r>
        <w:rPr>
          <w:color w:val="334155"/>
          <w:sz w:val="19"/>
        </w:rPr>
        <w:t>performance criteria to support the delivery of a</w:t>
      </w:r>
    </w:p>
    <w:p>
      <w:pPr>
        <w:spacing w:before="40" w:after="80" w:line="276" w:lineRule="auto"/>
      </w:pPr>
      <w:r>
        <w:rPr>
          <w:color w:val="334155"/>
          <w:sz w:val="19"/>
        </w:rPr>
        <w:t>diverse range of land uses that support regional</w:t>
      </w:r>
    </w:p>
    <w:p>
      <w:pPr>
        <w:spacing w:before="40" w:after="80" w:line="276" w:lineRule="auto"/>
      </w:pPr>
      <w:r>
        <w:rPr>
          <w:color w:val="334155"/>
          <w:sz w:val="19"/>
        </w:rPr>
        <w:t>economic diversification, attract investment and</w:t>
      </w:r>
    </w:p>
    <w:p>
      <w:pPr>
        <w:spacing w:before="40" w:after="80" w:line="276" w:lineRule="auto"/>
      </w:pPr>
      <w:r>
        <w:rPr>
          <w:color w:val="334155"/>
          <w:sz w:val="19"/>
        </w:rPr>
        <w:t>create local jobs and protect high value biodiversity</w:t>
      </w:r>
    </w:p>
    <w:p>
      <w:pPr>
        <w:spacing w:before="40" w:after="80" w:line="276" w:lineRule="auto"/>
      </w:pPr>
      <w:r>
        <w:rPr>
          <w:color w:val="334155"/>
          <w:sz w:val="19"/>
        </w:rPr>
        <w:t>(Figure 4). It is intended to establish a broad</w:t>
      </w:r>
    </w:p>
    <w:p>
      <w:pPr>
        <w:spacing w:before="40" w:after="80" w:line="276" w:lineRule="auto"/>
      </w:pPr>
      <w:r>
        <w:rPr>
          <w:color w:val="334155"/>
          <w:sz w:val="19"/>
        </w:rPr>
        <w:t>framework for implementation where detailed</w:t>
      </w:r>
    </w:p>
    <w:p>
      <w:pPr>
        <w:spacing w:before="40" w:after="80" w:line="276" w:lineRule="auto"/>
      </w:pPr>
      <w:r>
        <w:rPr>
          <w:color w:val="334155"/>
          <w:sz w:val="19"/>
        </w:rPr>
        <w:t>design, operational and market feasibility must be</w:t>
      </w:r>
    </w:p>
    <w:p>
      <w:pPr>
        <w:spacing w:before="40" w:after="80" w:line="276" w:lineRule="auto"/>
      </w:pPr>
      <w:r>
        <w:rPr>
          <w:color w:val="334155"/>
          <w:sz w:val="19"/>
        </w:rPr>
        <w:t>balanced to achieve the vision. The draft Master</w:t>
      </w:r>
    </w:p>
    <w:p>
      <w:pPr>
        <w:spacing w:before="40" w:after="80" w:line="276" w:lineRule="auto"/>
      </w:pPr>
      <w:r>
        <w:rPr>
          <w:color w:val="334155"/>
          <w:sz w:val="19"/>
        </w:rPr>
        <w:t>Plan is to be applied with flexibility and the consent</w:t>
      </w:r>
    </w:p>
    <w:p>
      <w:pPr>
        <w:spacing w:before="40" w:after="80" w:line="276" w:lineRule="auto"/>
      </w:pPr>
      <w:r>
        <w:rPr>
          <w:color w:val="334155"/>
          <w:sz w:val="19"/>
        </w:rPr>
        <w:t>authority may allow for alternate viable solutions</w:t>
      </w:r>
    </w:p>
    <w:p>
      <w:pPr>
        <w:spacing w:before="40" w:after="80" w:line="276" w:lineRule="auto"/>
      </w:pPr>
      <w:r>
        <w:rPr>
          <w:color w:val="334155"/>
          <w:sz w:val="19"/>
        </w:rPr>
        <w:t>so that otherwise permissible development can be</w:t>
      </w:r>
    </w:p>
    <w:p>
      <w:pPr>
        <w:spacing w:before="40" w:after="80" w:line="276" w:lineRule="auto"/>
      </w:pPr>
      <w:r>
        <w:rPr>
          <w:color w:val="334155"/>
          <w:sz w:val="19"/>
        </w:rPr>
        <w:t>carried out.</w:t>
      </w:r>
    </w:p>
    <w:p>
      <w:pPr>
        <w:spacing w:before="40" w:after="80" w:line="276" w:lineRule="auto"/>
      </w:pPr>
      <w:r>
        <w:rPr>
          <w:color w:val="334155"/>
          <w:sz w:val="19"/>
        </w:rPr>
        <w:t>This draft Master Plan details the overall planning</w:t>
      </w:r>
    </w:p>
    <w:p>
      <w:pPr>
        <w:spacing w:before="40" w:after="80" w:line="276" w:lineRule="auto"/>
      </w:pPr>
      <w:r>
        <w:rPr>
          <w:color w:val="334155"/>
          <w:sz w:val="19"/>
        </w:rPr>
        <w:t>direction for the Precinct and is not prescriptive with</w:t>
      </w:r>
    </w:p>
    <w:p>
      <w:pPr>
        <w:spacing w:before="40" w:after="80" w:line="276" w:lineRule="auto"/>
      </w:pPr>
      <w:r>
        <w:rPr>
          <w:color w:val="334155"/>
          <w:sz w:val="19"/>
        </w:rPr>
        <w:t>regards to built form design solutions, rather sets</w:t>
      </w:r>
    </w:p>
    <w:p>
      <w:pPr>
        <w:spacing w:before="40" w:after="80" w:line="276" w:lineRule="auto"/>
      </w:pPr>
      <w:r>
        <w:rPr>
          <w:color w:val="334155"/>
          <w:sz w:val="19"/>
        </w:rPr>
        <w:t>outcomes to be achieved through flexible solutions,</w:t>
      </w:r>
    </w:p>
    <w:p>
      <w:pPr>
        <w:spacing w:before="40" w:after="80" w:line="276" w:lineRule="auto"/>
      </w:pPr>
      <w:r>
        <w:rPr>
          <w:color w:val="334155"/>
          <w:sz w:val="19"/>
        </w:rPr>
        <w:t>such as adaptive reuse and staged delivery.</w:t>
      </w:r>
    </w:p>
    <w:p>
      <w:pPr>
        <w:spacing w:before="40" w:after="80" w:line="276" w:lineRule="auto"/>
      </w:pPr>
      <w:r>
        <w:rPr>
          <w:color w:val="334155"/>
          <w:sz w:val="19"/>
        </w:rPr>
        <w:t>Development applications must:</w:t>
      </w:r>
    </w:p>
    <w:p>
      <w:pPr>
        <w:spacing w:before="40" w:after="80" w:line="276" w:lineRule="auto"/>
      </w:pPr>
      <w:r>
        <w:rPr>
          <w:color w:val="334155"/>
          <w:sz w:val="19"/>
        </w:rPr>
        <w:t>•</w:t>
      </w:r>
    </w:p>
    <w:p>
      <w:pPr>
        <w:spacing w:before="40" w:after="80" w:line="276" w:lineRule="auto"/>
      </w:pPr>
      <w:r>
        <w:rPr>
          <w:color w:val="334155"/>
          <w:sz w:val="19"/>
        </w:rPr>
        <w:t>Consider the relevant aims and performance</w:t>
      </w:r>
    </w:p>
    <w:p>
      <w:pPr>
        <w:spacing w:before="40" w:after="80" w:line="276" w:lineRule="auto"/>
      </w:pPr>
      <w:r>
        <w:rPr>
          <w:color w:val="334155"/>
          <w:sz w:val="19"/>
        </w:rPr>
        <w:t>criteria</w:t>
      </w:r>
    </w:p>
    <w:p>
      <w:pPr>
        <w:spacing w:before="40" w:after="80" w:line="276" w:lineRule="auto"/>
      </w:pPr>
      <w:r>
        <w:rPr>
          <w:color w:val="334155"/>
          <w:sz w:val="19"/>
        </w:rPr>
        <w:t>•</w:t>
      </w:r>
    </w:p>
    <w:p>
      <w:pPr>
        <w:spacing w:before="40" w:after="80" w:line="276" w:lineRule="auto"/>
      </w:pPr>
      <w:r>
        <w:rPr>
          <w:color w:val="334155"/>
          <w:sz w:val="19"/>
        </w:rPr>
        <w:t>Provide site-specific technical assessments</w:t>
      </w:r>
    </w:p>
    <w:p>
      <w:pPr>
        <w:spacing w:before="40" w:after="80" w:line="276" w:lineRule="auto"/>
      </w:pPr>
      <w:r>
        <w:rPr>
          <w:color w:val="334155"/>
          <w:sz w:val="19"/>
        </w:rPr>
        <w:t>(such as access, flooding, drainage,</w:t>
      </w:r>
    </w:p>
    <w:p>
      <w:pPr>
        <w:spacing w:before="40" w:after="80" w:line="276" w:lineRule="auto"/>
      </w:pPr>
      <w:r>
        <w:rPr>
          <w:color w:val="334155"/>
          <w:sz w:val="19"/>
        </w:rPr>
        <w:t>water quality, tree preservation, utilities,</w:t>
      </w:r>
    </w:p>
    <w:p>
      <w:pPr>
        <w:spacing w:before="40" w:after="80" w:line="276" w:lineRule="auto"/>
      </w:pPr>
      <w:r>
        <w:rPr>
          <w:color w:val="334155"/>
          <w:sz w:val="19"/>
        </w:rPr>
        <w:t>contamination and acoustic separation) as</w:t>
      </w:r>
    </w:p>
    <w:p>
      <w:pPr>
        <w:spacing w:before="40" w:after="80" w:line="276" w:lineRule="auto"/>
      </w:pPr>
      <w:r>
        <w:rPr>
          <w:color w:val="334155"/>
          <w:sz w:val="19"/>
        </w:rPr>
        <w:t>required</w:t>
      </w:r>
    </w:p>
    <w:p>
      <w:pPr>
        <w:spacing w:before="40" w:after="80" w:line="276" w:lineRule="auto"/>
      </w:pPr>
      <w:r>
        <w:rPr>
          <w:color w:val="334155"/>
          <w:sz w:val="19"/>
        </w:rPr>
        <w:t>•</w:t>
      </w:r>
    </w:p>
    <w:p>
      <w:pPr>
        <w:spacing w:before="40" w:after="80" w:line="276" w:lineRule="auto"/>
      </w:pPr>
      <w:r>
        <w:rPr>
          <w:color w:val="334155"/>
          <w:sz w:val="19"/>
        </w:rPr>
        <w:t>Demonstrate the development’s proposed use is</w:t>
      </w:r>
    </w:p>
    <w:p>
      <w:pPr>
        <w:spacing w:before="40" w:after="80" w:line="276" w:lineRule="auto"/>
      </w:pPr>
      <w:r>
        <w:rPr>
          <w:color w:val="334155"/>
          <w:sz w:val="19"/>
        </w:rPr>
        <w:t>consistent with this draft Master Plan</w:t>
      </w:r>
    </w:p>
    <w:p>
      <w:pPr>
        <w:spacing w:before="40" w:after="80" w:line="276" w:lineRule="auto"/>
      </w:pPr>
      <w:r>
        <w:rPr>
          <w:color w:val="334155"/>
          <w:sz w:val="19"/>
        </w:rPr>
        <w:t>•</w:t>
      </w:r>
    </w:p>
    <w:p>
      <w:pPr>
        <w:spacing w:before="40" w:after="80" w:line="276" w:lineRule="auto"/>
      </w:pPr>
      <w:r>
        <w:rPr>
          <w:color w:val="334155"/>
          <w:sz w:val="19"/>
        </w:rPr>
        <w:t>Demonstrate built form suitability for the</w:t>
      </w:r>
    </w:p>
    <w:p>
      <w:pPr>
        <w:spacing w:before="40" w:after="80" w:line="276" w:lineRule="auto"/>
      </w:pPr>
      <w:r>
        <w:rPr>
          <w:color w:val="334155"/>
          <w:sz w:val="19"/>
        </w:rPr>
        <w:t>Precinct.</w:t>
      </w:r>
    </w:p>
    <w:p>
      <w:pPr>
        <w:spacing w:before="40" w:after="80" w:line="276" w:lineRule="auto"/>
      </w:pPr>
      <w:r>
        <w:rPr>
          <w:color w:val="334155"/>
          <w:sz w:val="19"/>
        </w:rPr>
        <w:t>Future planning considerations:</w:t>
      </w:r>
    </w:p>
    <w:p>
      <w:pPr>
        <w:spacing w:before="40" w:after="80" w:line="276" w:lineRule="auto"/>
      </w:pPr>
      <w:r>
        <w:rPr>
          <w:color w:val="334155"/>
          <w:sz w:val="19"/>
        </w:rPr>
        <w:t>Addendum to Master Plan</w:t>
      </w:r>
    </w:p>
    <w:p>
      <w:pPr>
        <w:spacing w:before="40" w:after="80" w:line="276" w:lineRule="auto"/>
      </w:pPr>
      <w:r>
        <w:rPr>
          <w:color w:val="334155"/>
          <w:sz w:val="19"/>
        </w:rPr>
        <w:t>The Precincts - Regional SEPP, Chapter 7 requires</w:t>
      </w:r>
    </w:p>
    <w:p>
      <w:pPr>
        <w:spacing w:before="40" w:after="80" w:line="276" w:lineRule="auto"/>
      </w:pPr>
      <w:r>
        <w:rPr>
          <w:color w:val="334155"/>
          <w:sz w:val="19"/>
        </w:rPr>
        <w:t>that a Master Plan apply to the Macquarie Coal</w:t>
      </w:r>
    </w:p>
    <w:p>
      <w:pPr>
        <w:spacing w:before="40" w:after="80" w:line="276" w:lineRule="auto"/>
      </w:pPr>
      <w:r>
        <w:rPr>
          <w:color w:val="334155"/>
          <w:sz w:val="19"/>
        </w:rPr>
        <w:t>Complex Precinct and that the Master Plan is to be</w:t>
      </w:r>
    </w:p>
    <w:p>
      <w:pPr>
        <w:spacing w:before="40" w:after="80" w:line="276" w:lineRule="auto"/>
      </w:pPr>
      <w:r>
        <w:rPr>
          <w:color w:val="334155"/>
          <w:sz w:val="19"/>
        </w:rPr>
        <w:t>considered in the assessment of any development</w:t>
      </w:r>
    </w:p>
    <w:p>
      <w:pPr>
        <w:spacing w:before="40" w:after="80" w:line="276" w:lineRule="auto"/>
      </w:pPr>
      <w:r>
        <w:rPr>
          <w:color w:val="334155"/>
          <w:sz w:val="19"/>
        </w:rPr>
        <w:t>application within the Precinct.</w:t>
      </w:r>
    </w:p>
    <w:p>
      <w:pPr>
        <w:spacing w:before="40" w:after="80" w:line="276" w:lineRule="auto"/>
      </w:pPr>
      <w:r>
        <w:rPr>
          <w:color w:val="334155"/>
          <w:sz w:val="19"/>
        </w:rPr>
        <w:t>To provide for the orderly and economic</w:t>
      </w:r>
    </w:p>
    <w:p>
      <w:pPr>
        <w:spacing w:before="40" w:after="80" w:line="276" w:lineRule="auto"/>
      </w:pPr>
      <w:r>
        <w:rPr>
          <w:color w:val="334155"/>
          <w:sz w:val="19"/>
        </w:rPr>
        <w:t>development of the Precinct, some development</w:t>
      </w:r>
    </w:p>
    <w:p>
      <w:pPr>
        <w:spacing w:before="40" w:after="80" w:line="276" w:lineRule="auto"/>
      </w:pPr>
      <w:r>
        <w:rPr>
          <w:color w:val="334155"/>
          <w:sz w:val="19"/>
        </w:rPr>
        <w:t>will require an addendum to the Master Plan to be</w:t>
      </w:r>
    </w:p>
    <w:p>
      <w:pPr>
        <w:spacing w:before="40" w:after="80" w:line="276" w:lineRule="auto"/>
      </w:pPr>
      <w:r>
        <w:rPr>
          <w:color w:val="334155"/>
          <w:sz w:val="19"/>
        </w:rPr>
        <w:t>prepared before a development application can be</w:t>
      </w:r>
    </w:p>
    <w:p>
      <w:pPr>
        <w:spacing w:before="40" w:after="80" w:line="276" w:lineRule="auto"/>
      </w:pPr>
      <w:r>
        <w:rPr>
          <w:color w:val="334155"/>
          <w:sz w:val="19"/>
        </w:rPr>
        <w:t>lodged through the Planning Portal.</w:t>
      </w:r>
    </w:p>
    <w:p>
      <w:pPr>
        <w:spacing w:before="40" w:after="80" w:line="276" w:lineRule="auto"/>
      </w:pPr>
      <w:r>
        <w:rPr>
          <w:color w:val="334155"/>
          <w:sz w:val="19"/>
        </w:rPr>
        <w:t>Figure 4: Master Plan Precinct-wide</w:t>
      </w:r>
    </w:p>
    <w:p>
      <w:pPr>
        <w:spacing w:before="40" w:after="80" w:line="276" w:lineRule="auto"/>
      </w:pPr>
      <w:r>
        <w:rPr>
          <w:color w:val="334155"/>
          <w:sz w:val="19"/>
        </w:rPr>
        <w:t>planning hierarchy</w:t>
      </w:r>
    </w:p>
    <w:p>
      <w:pPr>
        <w:spacing w:before="40" w:after="80" w:line="276" w:lineRule="auto"/>
      </w:pPr>
      <w:r>
        <w:rPr>
          <w:color w:val="334155"/>
          <w:sz w:val="19"/>
        </w:rPr>
        <w:t>When is an addendum required?</w:t>
      </w:r>
    </w:p>
    <w:p>
      <w:pPr>
        <w:spacing w:before="40" w:after="80" w:line="276" w:lineRule="auto"/>
      </w:pPr>
      <w:r>
        <w:rPr>
          <w:color w:val="334155"/>
          <w:sz w:val="19"/>
        </w:rPr>
        <w:t>You must prepare an addendum to the Master Plan</w:t>
      </w:r>
    </w:p>
    <w:p>
      <w:pPr>
        <w:spacing w:before="40" w:after="80" w:line="276" w:lineRule="auto"/>
      </w:pPr>
      <w:r>
        <w:rPr>
          <w:color w:val="334155"/>
          <w:sz w:val="19"/>
        </w:rPr>
        <w:t>before lodging a development application if:</w:t>
      </w:r>
    </w:p>
    <w:p>
      <w:pPr>
        <w:spacing w:before="40" w:after="80" w:line="276" w:lineRule="auto"/>
      </w:pPr>
      <w:r>
        <w:rPr>
          <w:color w:val="334155"/>
          <w:sz w:val="19"/>
        </w:rPr>
        <w:t>•</w:t>
      </w:r>
    </w:p>
    <w:p>
      <w:pPr>
        <w:spacing w:before="40" w:after="80" w:line="276" w:lineRule="auto"/>
      </w:pPr>
      <w:r>
        <w:rPr>
          <w:color w:val="334155"/>
          <w:sz w:val="19"/>
        </w:rPr>
        <w:t>The proposal is located on land identified as</w:t>
      </w:r>
    </w:p>
    <w:p>
      <w:pPr>
        <w:spacing w:before="40" w:after="80" w:line="276" w:lineRule="auto"/>
      </w:pPr>
      <w:r>
        <w:rPr>
          <w:color w:val="334155"/>
          <w:sz w:val="19"/>
        </w:rPr>
        <w:t>environmentally constrained on the Structure</w:t>
      </w:r>
    </w:p>
    <w:p>
      <w:pPr>
        <w:spacing w:before="40" w:after="80" w:line="276" w:lineRule="auto"/>
      </w:pPr>
      <w:r>
        <w:rPr>
          <w:color w:val="334155"/>
          <w:sz w:val="19"/>
        </w:rPr>
        <w:t>Plan (Figure 9).</w:t>
      </w:r>
    </w:p>
    <w:p>
      <w:pPr>
        <w:spacing w:before="40" w:after="80" w:line="276" w:lineRule="auto"/>
      </w:pPr>
      <w:r>
        <w:rPr>
          <w:color w:val="334155"/>
          <w:sz w:val="19"/>
        </w:rPr>
        <w:t>•</w:t>
      </w:r>
    </w:p>
    <w:p>
      <w:pPr>
        <w:spacing w:before="40" w:after="80" w:line="276" w:lineRule="auto"/>
      </w:pPr>
      <w:r>
        <w:rPr>
          <w:color w:val="334155"/>
          <w:sz w:val="19"/>
        </w:rPr>
        <w:t>The proposal is located on land identified as</w:t>
      </w:r>
    </w:p>
    <w:p>
      <w:pPr>
        <w:spacing w:before="40" w:after="80" w:line="276" w:lineRule="auto"/>
      </w:pPr>
      <w:r>
        <w:rPr>
          <w:color w:val="334155"/>
          <w:sz w:val="19"/>
        </w:rPr>
        <w:t>requiring further investigation on the Structure</w:t>
      </w:r>
    </w:p>
    <w:p>
      <w:pPr>
        <w:spacing w:before="40" w:after="80" w:line="276" w:lineRule="auto"/>
      </w:pPr>
      <w:r>
        <w:rPr>
          <w:color w:val="334155"/>
          <w:sz w:val="19"/>
        </w:rPr>
        <w:t>Plan (Figure 9).</w:t>
      </w:r>
    </w:p>
    <w:p>
      <w:pPr>
        <w:spacing w:before="40" w:after="80" w:line="276" w:lineRule="auto"/>
      </w:pPr>
      <w:r>
        <w:rPr>
          <w:color w:val="334155"/>
          <w:sz w:val="19"/>
        </w:rPr>
        <w:t>What should the addendum include?</w:t>
      </w:r>
    </w:p>
    <w:p>
      <w:pPr>
        <w:spacing w:before="40" w:after="80" w:line="276" w:lineRule="auto"/>
      </w:pPr>
      <w:r>
        <w:rPr>
          <w:color w:val="334155"/>
          <w:sz w:val="19"/>
        </w:rPr>
        <w:t>•</w:t>
      </w:r>
    </w:p>
    <w:p>
      <w:pPr>
        <w:spacing w:before="40" w:after="80" w:line="276" w:lineRule="auto"/>
      </w:pPr>
      <w:r>
        <w:rPr>
          <w:color w:val="334155"/>
          <w:sz w:val="19"/>
        </w:rPr>
        <w:t>A map showing proposed land uses within the</w:t>
      </w:r>
    </w:p>
    <w:p>
      <w:pPr>
        <w:spacing w:before="40" w:after="80" w:line="276" w:lineRule="auto"/>
      </w:pPr>
      <w:r>
        <w:rPr>
          <w:color w:val="334155"/>
          <w:sz w:val="19"/>
        </w:rPr>
        <w:t>sub-precinct(s).</w:t>
      </w:r>
    </w:p>
    <w:p>
      <w:pPr>
        <w:spacing w:before="40" w:after="80" w:line="276" w:lineRule="auto"/>
      </w:pPr>
      <w:r>
        <w:rPr>
          <w:color w:val="334155"/>
          <w:sz w:val="19"/>
        </w:rPr>
        <w:t>6</w:t>
      </w:r>
    </w:p>
    <w:p>
      <w:pPr>
        <w:spacing w:before="40" w:after="80" w:line="276" w:lineRule="auto"/>
      </w:pPr>
      <w:r>
        <w:rPr>
          <w:color w:val="334155"/>
          <w:sz w:val="19"/>
        </w:rPr>
        <w:t>1  Introduction</w:t>
      </w:r>
    </w:p>
    <w:p>
      <w:pPr>
        <w:spacing w:before="40" w:after="80" w:line="276" w:lineRule="auto"/>
      </w:pPr>
      <w:r>
        <w:rPr>
          <w:color w:val="334155"/>
          <w:sz w:val="19"/>
        </w:rPr>
        <w:t>`</w:t>
      </w:r>
    </w:p>
    <w:p>
      <w:pPr>
        <w:pStyle w:val="Heading3"/>
        <w:keepNext/>
        <w:spacing w:before="160" w:after="40"/>
      </w:pPr>
      <w:r>
        <w:rPr>
          <w:b/>
          <w:color w:val="334155"/>
        </w:rPr>
        <w:t>Master Plan Page 11</w:t>
      </w:r>
    </w:p>
    <w:p>
      <w:pPr>
        <w:spacing w:before="40" w:after="80" w:line="276" w:lineRule="auto"/>
      </w:pPr>
      <w:r>
        <w:rPr>
          <w:color w:val="334155"/>
          <w:sz w:val="19"/>
        </w:rPr>
        <w:t>`</w:t>
      </w:r>
    </w:p>
    <w:p>
      <w:pPr>
        <w:spacing w:before="40" w:after="80" w:line="276" w:lineRule="auto"/>
      </w:pPr>
      <w:r>
        <w:rPr>
          <w:color w:val="334155"/>
          <w:sz w:val="19"/>
        </w:rPr>
        <w:t>Precinct constraints</w:t>
      </w:r>
    </w:p>
    <w:p>
      <w:pPr>
        <w:spacing w:before="40" w:after="80" w:line="276" w:lineRule="auto"/>
      </w:pPr>
      <w:r>
        <w:rPr>
          <w:color w:val="334155"/>
          <w:sz w:val="19"/>
        </w:rPr>
        <w:t>The Precinct presents a range of environmental, physical and infrastructure</w:t>
      </w:r>
    </w:p>
    <w:p>
      <w:pPr>
        <w:spacing w:before="40" w:after="80" w:line="276" w:lineRule="auto"/>
      </w:pPr>
      <w:r>
        <w:rPr>
          <w:color w:val="334155"/>
          <w:sz w:val="19"/>
        </w:rPr>
        <w:t>constraints that are managed through the structure plan and addressed</w:t>
      </w:r>
    </w:p>
    <w:p>
      <w:pPr>
        <w:spacing w:before="40" w:after="80" w:line="276" w:lineRule="auto"/>
      </w:pPr>
      <w:r>
        <w:rPr>
          <w:color w:val="334155"/>
          <w:sz w:val="19"/>
        </w:rPr>
        <w:t>progressively through staged development and site-specific assessment at the</w:t>
      </w:r>
    </w:p>
    <w:p>
      <w:pPr>
        <w:spacing w:before="40" w:after="80" w:line="276" w:lineRule="auto"/>
      </w:pPr>
      <w:r>
        <w:rPr>
          <w:color w:val="334155"/>
          <w:sz w:val="19"/>
        </w:rPr>
        <w:t>development application stage.</w:t>
      </w:r>
    </w:p>
    <w:p>
      <w:pPr>
        <w:spacing w:before="40" w:after="80" w:line="276" w:lineRule="auto"/>
      </w:pPr>
      <w:r>
        <w:rPr>
          <w:color w:val="334155"/>
          <w:sz w:val="19"/>
        </w:rPr>
        <w:t>Geotechnical stability and risk management – Development on the TSF and the</w:t>
      </w:r>
    </w:p>
    <w:p>
      <w:pPr>
        <w:spacing w:before="40" w:after="80" w:line="276" w:lineRule="auto"/>
      </w:pPr>
      <w:r>
        <w:rPr>
          <w:color w:val="334155"/>
          <w:sz w:val="19"/>
        </w:rPr>
        <w:t>land located in the dam break inundation zone to the north is currently limited.</w:t>
      </w:r>
    </w:p>
    <w:p>
      <w:pPr>
        <w:spacing w:before="40" w:after="80" w:line="276" w:lineRule="auto"/>
      </w:pPr>
      <w:r>
        <w:rPr>
          <w:color w:val="334155"/>
          <w:sz w:val="19"/>
        </w:rPr>
        <w:t>Soft alluvial soils located around the coastal wetlands in the north of the site</w:t>
      </w:r>
    </w:p>
    <w:p>
      <w:pPr>
        <w:spacing w:before="40" w:after="80" w:line="276" w:lineRule="auto"/>
      </w:pPr>
      <w:r>
        <w:rPr>
          <w:color w:val="334155"/>
          <w:sz w:val="19"/>
        </w:rPr>
        <w:t>influence construction methods.</w:t>
      </w:r>
    </w:p>
    <w:p>
      <w:pPr>
        <w:spacing w:before="40" w:after="80" w:line="276" w:lineRule="auto"/>
      </w:pPr>
      <w:r>
        <w:rPr>
          <w:color w:val="334155"/>
          <w:sz w:val="19"/>
        </w:rPr>
        <w:t>Environmental – Existing areas of high biodiversity values, high bush fire risk</w:t>
      </w:r>
    </w:p>
    <w:p>
      <w:pPr>
        <w:spacing w:before="40" w:after="80" w:line="276" w:lineRule="auto"/>
      </w:pPr>
      <w:r>
        <w:rPr>
          <w:color w:val="334155"/>
          <w:sz w:val="19"/>
        </w:rPr>
        <w:t>and flood affected areas require further investigation to inform development</w:t>
      </w:r>
    </w:p>
    <w:p>
      <w:pPr>
        <w:spacing w:before="40" w:after="80" w:line="276" w:lineRule="auto"/>
      </w:pPr>
      <w:r>
        <w:rPr>
          <w:color w:val="334155"/>
          <w:sz w:val="19"/>
        </w:rPr>
        <w:t>siting and design.</w:t>
      </w:r>
    </w:p>
    <w:p>
      <w:pPr>
        <w:spacing w:before="40" w:after="80" w:line="276" w:lineRule="auto"/>
      </w:pPr>
      <w:r>
        <w:rPr>
          <w:color w:val="334155"/>
          <w:sz w:val="19"/>
        </w:rPr>
        <w:t>Sensitive uses – Interfaces between existing land uses, including residential</w:t>
      </w:r>
    </w:p>
    <w:p>
      <w:pPr>
        <w:spacing w:before="40" w:after="80" w:line="276" w:lineRule="auto"/>
      </w:pPr>
      <w:r>
        <w:rPr>
          <w:color w:val="334155"/>
          <w:sz w:val="19"/>
        </w:rPr>
        <w:t>receivers and potential future industrial land uses will need to be managed to</w:t>
      </w:r>
    </w:p>
    <w:p>
      <w:pPr>
        <w:spacing w:before="40" w:after="80" w:line="276" w:lineRule="auto"/>
      </w:pPr>
      <w:r>
        <w:rPr>
          <w:color w:val="334155"/>
          <w:sz w:val="19"/>
        </w:rPr>
        <w:t>mitigate negative noise, odour and visual impacts.</w:t>
      </w:r>
    </w:p>
    <w:p>
      <w:pPr>
        <w:spacing w:before="40" w:after="80" w:line="276" w:lineRule="auto"/>
      </w:pPr>
      <w:r>
        <w:rPr>
          <w:color w:val="334155"/>
          <w:sz w:val="19"/>
        </w:rPr>
        <w:t>Infrastructure – Heavy vehicle access to parts of the site is currently limited</w:t>
      </w:r>
    </w:p>
    <w:p>
      <w:pPr>
        <w:spacing w:before="40" w:after="80" w:line="276" w:lineRule="auto"/>
      </w:pPr>
      <w:r>
        <w:rPr>
          <w:color w:val="334155"/>
          <w:sz w:val="19"/>
        </w:rPr>
        <w:t>due to steep gradients, access through local residential areas and existing rail</w:t>
      </w:r>
    </w:p>
    <w:p>
      <w:pPr>
        <w:spacing w:before="40" w:after="80" w:line="276" w:lineRule="auto"/>
      </w:pPr>
      <w:r>
        <w:rPr>
          <w:color w:val="334155"/>
          <w:sz w:val="19"/>
        </w:rPr>
        <w:t>crossings. The location of the existing oil pipeline, electrical transmission lines</w:t>
      </w:r>
    </w:p>
    <w:p>
      <w:pPr>
        <w:spacing w:before="40" w:after="80" w:line="276" w:lineRule="auto"/>
      </w:pPr>
      <w:r>
        <w:rPr>
          <w:color w:val="334155"/>
          <w:sz w:val="19"/>
        </w:rPr>
        <w:t>and their associated easements, setbacks and design measures will need to be</w:t>
      </w:r>
    </w:p>
    <w:p>
      <w:pPr>
        <w:spacing w:before="40" w:after="80" w:line="276" w:lineRule="auto"/>
      </w:pPr>
      <w:r>
        <w:rPr>
          <w:color w:val="334155"/>
          <w:sz w:val="19"/>
        </w:rPr>
        <w:t>considered.</w:t>
      </w:r>
    </w:p>
    <w:p>
      <w:pPr>
        <w:spacing w:before="40" w:after="80" w:line="276" w:lineRule="auto"/>
      </w:pPr>
      <w:r>
        <w:rPr>
          <w:color w:val="334155"/>
          <w:sz w:val="19"/>
        </w:rPr>
        <w:t>Utility infrastructure – Viability and sequencing of the provision of utilities,</w:t>
      </w:r>
    </w:p>
    <w:p>
      <w:pPr>
        <w:spacing w:before="40" w:after="80" w:line="276" w:lineRule="auto"/>
      </w:pPr>
      <w:r>
        <w:rPr>
          <w:color w:val="334155"/>
          <w:sz w:val="19"/>
        </w:rPr>
        <w:t>particularly to the West Lake sub-precinct, will need further investigation.</w:t>
      </w:r>
    </w:p>
    <w:p>
      <w:pPr>
        <w:spacing w:before="40" w:after="80" w:line="276" w:lineRule="auto"/>
      </w:pPr>
      <w:r>
        <w:rPr>
          <w:color w:val="334155"/>
          <w:sz w:val="19"/>
        </w:rPr>
        <w:t>11</w:t>
      </w:r>
    </w:p>
    <w:p>
      <w:pPr>
        <w:spacing w:before="40" w:after="80" w:line="276" w:lineRule="auto"/>
      </w:pPr>
      <w:r>
        <w:rPr>
          <w:color w:val="334155"/>
          <w:sz w:val="19"/>
        </w:rPr>
        <w:t>2  Strategic context</w:t>
      </w:r>
    </w:p>
    <w:p>
      <w:pPr>
        <w:spacing w:before="40" w:after="80" w:line="276" w:lineRule="auto"/>
      </w:pPr>
      <w:r>
        <w:rPr>
          <w:color w:val="334155"/>
          <w:sz w:val="19"/>
        </w:rPr>
        <w:t>-</w:t>
      </w:r>
    </w:p>
    <w:p>
      <w:pPr>
        <w:spacing w:before="40" w:after="80" w:line="276" w:lineRule="auto"/>
      </w:pPr>
      <w:r>
        <w:rPr>
          <w:color w:val="334155"/>
          <w:sz w:val="19"/>
        </w:rPr>
        <w:t>`</w:t>
      </w:r>
    </w:p>
    <w:p>
      <w:pPr>
        <w:pStyle w:val="Heading3"/>
        <w:keepNext/>
        <w:spacing w:before="160" w:after="40"/>
      </w:pPr>
      <w:r>
        <w:rPr>
          <w:b/>
          <w:color w:val="334155"/>
        </w:rPr>
        <w:t>Master Plan Page 12</w:t>
      </w:r>
    </w:p>
    <w:p>
      <w:pPr>
        <w:spacing w:before="40" w:after="80" w:line="276" w:lineRule="auto"/>
      </w:pPr>
      <w:r>
        <w:rPr>
          <w:color w:val="334155"/>
          <w:sz w:val="19"/>
        </w:rPr>
        <w:t>`</w:t>
      </w:r>
    </w:p>
    <w:p>
      <w:pPr>
        <w:spacing w:before="40" w:after="80" w:line="276" w:lineRule="auto"/>
      </w:pPr>
      <w:r>
        <w:rPr>
          <w:color w:val="334155"/>
          <w:sz w:val="19"/>
        </w:rPr>
        <w:t>Precinct vision</w:t>
      </w:r>
    </w:p>
    <w:p>
      <w:pPr>
        <w:spacing w:before="40" w:after="80" w:line="276" w:lineRule="auto"/>
      </w:pPr>
      <w:r>
        <w:rPr>
          <w:color w:val="334155"/>
          <w:sz w:val="19"/>
        </w:rPr>
        <w:t>3</w:t>
        <w:tab/>
        <w:t xml:space="preserve"> Macquarie Coal</w:t>
      </w:r>
    </w:p>
    <w:p>
      <w:pPr>
        <w:spacing w:before="40" w:after="80" w:line="276" w:lineRule="auto"/>
      </w:pPr>
      <w:r>
        <w:rPr>
          <w:color w:val="334155"/>
          <w:sz w:val="19"/>
        </w:rPr>
        <w:t>Complex Precinct</w:t>
      </w:r>
    </w:p>
    <w:p>
      <w:pPr>
        <w:spacing w:before="40" w:after="80" w:line="276" w:lineRule="auto"/>
      </w:pPr>
      <w:r>
        <w:rPr>
          <w:color w:val="334155"/>
          <w:sz w:val="19"/>
        </w:rPr>
        <w:t>Figure 6: Vision: A new generational-scale employment precinct for the Hunter</w:t>
      </w:r>
    </w:p>
    <w:p>
      <w:pPr>
        <w:spacing w:before="40" w:after="80" w:line="276" w:lineRule="auto"/>
      </w:pPr>
      <w:r>
        <w:rPr>
          <w:color w:val="334155"/>
          <w:sz w:val="19"/>
        </w:rPr>
        <w:t>12</w:t>
      </w:r>
    </w:p>
    <w:p>
      <w:pPr>
        <w:spacing w:before="40" w:after="80" w:line="276" w:lineRule="auto"/>
      </w:pPr>
      <w:r>
        <w:rPr>
          <w:color w:val="334155"/>
          <w:sz w:val="19"/>
        </w:rPr>
        <w:t>`</w:t>
      </w:r>
    </w:p>
    <w:p>
      <w:pPr>
        <w:pStyle w:val="Heading3"/>
        <w:keepNext/>
        <w:spacing w:before="160" w:after="40"/>
      </w:pPr>
      <w:r>
        <w:rPr>
          <w:b/>
          <w:color w:val="334155"/>
        </w:rPr>
        <w:t>Master Plan Page 16</w:t>
      </w:r>
    </w:p>
    <w:p>
      <w:pPr>
        <w:spacing w:before="40" w:after="80" w:line="276" w:lineRule="auto"/>
      </w:pPr>
      <w:r>
        <w:rPr>
          <w:color w:val="334155"/>
          <w:sz w:val="19"/>
        </w:rPr>
        <w:t>`</w:t>
      </w:r>
    </w:p>
    <w:p>
      <w:pPr>
        <w:spacing w:before="40" w:after="80" w:line="276" w:lineRule="auto"/>
      </w:pPr>
      <w:r>
        <w:rPr>
          <w:color w:val="334155"/>
          <w:sz w:val="19"/>
        </w:rPr>
        <w:t>Structure plan</w:t>
      </w:r>
    </w:p>
    <w:p>
      <w:pPr>
        <w:spacing w:before="40" w:after="80" w:line="276" w:lineRule="auto"/>
      </w:pPr>
      <w:r>
        <w:rPr>
          <w:color w:val="334155"/>
          <w:sz w:val="19"/>
        </w:rPr>
        <w:t>The structure plan (Figure 9) is the principal</w:t>
      </w:r>
    </w:p>
    <w:p>
      <w:pPr>
        <w:spacing w:before="40" w:after="80" w:line="276" w:lineRule="auto"/>
      </w:pPr>
      <w:r>
        <w:rPr>
          <w:color w:val="334155"/>
          <w:sz w:val="19"/>
        </w:rPr>
        <w:t>spatial framework for the draft Master Plan. It</w:t>
      </w:r>
    </w:p>
    <w:p>
      <w:pPr>
        <w:spacing w:before="40" w:after="80" w:line="276" w:lineRule="auto"/>
      </w:pPr>
      <w:r>
        <w:rPr>
          <w:color w:val="334155"/>
          <w:sz w:val="19"/>
        </w:rPr>
        <w:t>identifies the arrangement of developable areas,</w:t>
      </w:r>
    </w:p>
    <w:p>
      <w:pPr>
        <w:spacing w:before="40" w:after="80" w:line="276" w:lineRule="auto"/>
      </w:pPr>
      <w:r>
        <w:rPr>
          <w:color w:val="334155"/>
          <w:sz w:val="19"/>
        </w:rPr>
        <w:t>environmentally constrained areas, recreational</w:t>
      </w:r>
    </w:p>
    <w:p>
      <w:pPr>
        <w:spacing w:before="40" w:after="80" w:line="276" w:lineRule="auto"/>
      </w:pPr>
      <w:r>
        <w:rPr>
          <w:color w:val="334155"/>
          <w:sz w:val="19"/>
        </w:rPr>
        <w:t>areas, movement networks and key constraints</w:t>
      </w:r>
    </w:p>
    <w:p>
      <w:pPr>
        <w:spacing w:before="40" w:after="80" w:line="276" w:lineRule="auto"/>
      </w:pPr>
      <w:r>
        <w:rPr>
          <w:color w:val="334155"/>
          <w:sz w:val="19"/>
        </w:rPr>
        <w:t>across the Precinct to guide development.</w:t>
      </w:r>
    </w:p>
    <w:p>
      <w:pPr>
        <w:spacing w:before="40" w:after="80" w:line="276" w:lineRule="auto"/>
      </w:pPr>
      <w:r>
        <w:rPr>
          <w:color w:val="334155"/>
          <w:sz w:val="19"/>
        </w:rPr>
        <w:t>The structure plan outlines the spatial logic for</w:t>
      </w:r>
    </w:p>
    <w:p>
      <w:pPr>
        <w:spacing w:before="40" w:after="80" w:line="276" w:lineRule="auto"/>
      </w:pPr>
      <w:r>
        <w:rPr>
          <w:color w:val="334155"/>
          <w:sz w:val="19"/>
        </w:rPr>
        <w:t>future development at a precinct scale, providing</w:t>
      </w:r>
    </w:p>
    <w:p>
      <w:pPr>
        <w:spacing w:before="40" w:after="80" w:line="276" w:lineRule="auto"/>
      </w:pPr>
      <w:r>
        <w:rPr>
          <w:color w:val="334155"/>
          <w:sz w:val="19"/>
        </w:rPr>
        <w:t>a framework within which detailed design,</w:t>
      </w:r>
    </w:p>
    <w:p>
      <w:pPr>
        <w:spacing w:before="40" w:after="80" w:line="276" w:lineRule="auto"/>
      </w:pPr>
      <w:r>
        <w:rPr>
          <w:color w:val="334155"/>
          <w:sz w:val="19"/>
        </w:rPr>
        <w:t>subdivision and development assessment will</w:t>
      </w:r>
    </w:p>
    <w:p>
      <w:pPr>
        <w:spacing w:before="40" w:after="80" w:line="276" w:lineRule="auto"/>
      </w:pPr>
      <w:r>
        <w:rPr>
          <w:color w:val="334155"/>
          <w:sz w:val="19"/>
        </w:rPr>
        <w:t>occur. The structure plan is supported by technical</w:t>
      </w:r>
    </w:p>
    <w:p>
      <w:pPr>
        <w:spacing w:before="40" w:after="80" w:line="276" w:lineRule="auto"/>
      </w:pPr>
      <w:r>
        <w:rPr>
          <w:color w:val="334155"/>
          <w:sz w:val="19"/>
        </w:rPr>
        <w:t>studies.</w:t>
      </w:r>
    </w:p>
    <w:p>
      <w:pPr>
        <w:spacing w:before="40" w:after="80" w:line="276" w:lineRule="auto"/>
      </w:pPr>
      <w:r>
        <w:rPr>
          <w:color w:val="334155"/>
          <w:sz w:val="19"/>
        </w:rPr>
        <w:t>The following categories are used to describe land</w:t>
      </w:r>
    </w:p>
    <w:p>
      <w:pPr>
        <w:spacing w:before="40" w:after="80" w:line="276" w:lineRule="auto"/>
      </w:pPr>
      <w:r>
        <w:rPr>
          <w:color w:val="334155"/>
          <w:sz w:val="19"/>
        </w:rPr>
        <w:t>within the structure plan:</w:t>
      </w:r>
    </w:p>
    <w:p>
      <w:pPr>
        <w:spacing w:before="40" w:after="80" w:line="276" w:lineRule="auto"/>
      </w:pPr>
      <w:r>
        <w:rPr>
          <w:color w:val="334155"/>
          <w:sz w:val="19"/>
        </w:rPr>
        <w:t>•</w:t>
      </w:r>
    </w:p>
    <w:p>
      <w:pPr>
        <w:spacing w:before="40" w:after="80" w:line="276" w:lineRule="auto"/>
      </w:pPr>
      <w:r>
        <w:rPr>
          <w:color w:val="334155"/>
          <w:sz w:val="19"/>
        </w:rPr>
        <w:t>Developable areas – Land that is potentially</w:t>
      </w:r>
    </w:p>
    <w:p>
      <w:pPr>
        <w:spacing w:before="40" w:after="80" w:line="276" w:lineRule="auto"/>
      </w:pPr>
      <w:r>
        <w:rPr>
          <w:color w:val="334155"/>
          <w:sz w:val="19"/>
        </w:rPr>
        <w:t>suitable for development, subject to further</w:t>
      </w:r>
    </w:p>
    <w:p>
      <w:pPr>
        <w:spacing w:before="40" w:after="80" w:line="276" w:lineRule="auto"/>
      </w:pPr>
      <w:r>
        <w:rPr>
          <w:color w:val="334155"/>
          <w:sz w:val="19"/>
        </w:rPr>
        <w:t>technical investigation and site-specific</w:t>
      </w:r>
    </w:p>
    <w:p>
      <w:pPr>
        <w:spacing w:before="40" w:after="80" w:line="276" w:lineRule="auto"/>
      </w:pPr>
      <w:r>
        <w:rPr>
          <w:color w:val="334155"/>
          <w:sz w:val="19"/>
        </w:rPr>
        <w:t>assessment at the development application</w:t>
      </w:r>
    </w:p>
    <w:p>
      <w:pPr>
        <w:spacing w:before="40" w:after="80" w:line="276" w:lineRule="auto"/>
      </w:pPr>
      <w:r>
        <w:rPr>
          <w:color w:val="334155"/>
          <w:sz w:val="19"/>
        </w:rPr>
        <w:t>stage.</w:t>
      </w:r>
    </w:p>
    <w:p>
      <w:pPr>
        <w:spacing w:before="40" w:after="80" w:line="276" w:lineRule="auto"/>
      </w:pPr>
      <w:r>
        <w:rPr>
          <w:color w:val="334155"/>
          <w:sz w:val="19"/>
        </w:rPr>
        <w:t>•</w:t>
      </w:r>
    </w:p>
    <w:p>
      <w:pPr>
        <w:spacing w:before="40" w:after="80" w:line="276" w:lineRule="auto"/>
      </w:pPr>
      <w:r>
        <w:rPr>
          <w:color w:val="334155"/>
          <w:sz w:val="19"/>
        </w:rPr>
        <w:t>Environmentally constrained areas – Land</w:t>
      </w:r>
    </w:p>
    <w:p>
      <w:pPr>
        <w:spacing w:before="40" w:after="80" w:line="276" w:lineRule="auto"/>
      </w:pPr>
      <w:r>
        <w:rPr>
          <w:color w:val="334155"/>
          <w:sz w:val="19"/>
        </w:rPr>
        <w:t>identified as having biodiversity values or where</w:t>
      </w:r>
    </w:p>
    <w:p>
      <w:pPr>
        <w:spacing w:before="40" w:after="80" w:line="276" w:lineRule="auto"/>
      </w:pPr>
      <w:r>
        <w:rPr>
          <w:color w:val="334155"/>
          <w:sz w:val="19"/>
        </w:rPr>
        <w:t>natural features (watercourses, wetlands, steep</w:t>
      </w:r>
    </w:p>
    <w:p>
      <w:pPr>
        <w:spacing w:before="40" w:after="80" w:line="276" w:lineRule="auto"/>
      </w:pPr>
      <w:r>
        <w:rPr>
          <w:color w:val="334155"/>
          <w:sz w:val="19"/>
        </w:rPr>
        <w:t>slope, flooding) constrain development.</w:t>
      </w:r>
    </w:p>
    <w:p>
      <w:pPr>
        <w:spacing w:before="40" w:after="80" w:line="276" w:lineRule="auto"/>
      </w:pPr>
      <w:r>
        <w:rPr>
          <w:color w:val="334155"/>
          <w:sz w:val="19"/>
        </w:rPr>
        <w:t>•</w:t>
      </w:r>
    </w:p>
    <w:p>
      <w:pPr>
        <w:spacing w:before="40" w:after="80" w:line="276" w:lineRule="auto"/>
      </w:pPr>
      <w:r>
        <w:rPr>
          <w:color w:val="334155"/>
          <w:sz w:val="19"/>
        </w:rPr>
        <w:t>Recreation areas – Land potentially suitable for</w:t>
      </w:r>
    </w:p>
    <w:p>
      <w:pPr>
        <w:spacing w:before="40" w:after="80" w:line="276" w:lineRule="auto"/>
      </w:pPr>
      <w:r>
        <w:rPr>
          <w:color w:val="334155"/>
          <w:sz w:val="19"/>
        </w:rPr>
        <w:t>active and passive recreation facilities,</w:t>
      </w:r>
    </w:p>
    <w:p>
      <w:pPr>
        <w:spacing w:before="40" w:after="80" w:line="276" w:lineRule="auto"/>
      </w:pPr>
      <w:r>
        <w:rPr>
          <w:color w:val="334155"/>
          <w:sz w:val="19"/>
        </w:rPr>
        <w:t>balanced with protecting biodiversity and</w:t>
      </w:r>
    </w:p>
    <w:p>
      <w:pPr>
        <w:spacing w:before="40" w:after="80" w:line="276" w:lineRule="auto"/>
      </w:pPr>
      <w:r>
        <w:rPr>
          <w:color w:val="334155"/>
          <w:sz w:val="19"/>
        </w:rPr>
        <w:t>cultural values.</w:t>
      </w:r>
    </w:p>
    <w:p>
      <w:pPr>
        <w:spacing w:before="40" w:after="80" w:line="276" w:lineRule="auto"/>
      </w:pPr>
      <w:r>
        <w:rPr>
          <w:color w:val="334155"/>
          <w:sz w:val="19"/>
        </w:rPr>
        <w:t>•</w:t>
      </w:r>
    </w:p>
    <w:p>
      <w:pPr>
        <w:spacing w:before="40" w:after="80" w:line="276" w:lineRule="auto"/>
      </w:pPr>
      <w:r>
        <w:rPr>
          <w:color w:val="334155"/>
          <w:sz w:val="19"/>
        </w:rPr>
        <w:t>Further investigation – Potentially developable</w:t>
      </w:r>
    </w:p>
    <w:p>
      <w:pPr>
        <w:spacing w:before="40" w:after="80" w:line="276" w:lineRule="auto"/>
      </w:pPr>
      <w:r>
        <w:rPr>
          <w:color w:val="334155"/>
          <w:sz w:val="19"/>
        </w:rPr>
        <w:t>land that is constrained in the short to medium</w:t>
      </w:r>
    </w:p>
    <w:p>
      <w:pPr>
        <w:spacing w:before="40" w:after="80" w:line="276" w:lineRule="auto"/>
      </w:pPr>
      <w:r>
        <w:rPr>
          <w:color w:val="334155"/>
          <w:sz w:val="19"/>
        </w:rPr>
        <w:t>term by geotechnical, dam safety, biodiversity</w:t>
      </w:r>
    </w:p>
    <w:p>
      <w:pPr>
        <w:spacing w:before="40" w:after="80" w:line="276" w:lineRule="auto"/>
      </w:pPr>
      <w:r>
        <w:rPr>
          <w:color w:val="334155"/>
          <w:sz w:val="19"/>
        </w:rPr>
        <w:t>or flood risk factors, requiring resolution before</w:t>
      </w:r>
    </w:p>
    <w:p>
      <w:pPr>
        <w:spacing w:before="40" w:after="80" w:line="276" w:lineRule="auto"/>
      </w:pPr>
      <w:r>
        <w:rPr>
          <w:color w:val="334155"/>
          <w:sz w:val="19"/>
        </w:rPr>
        <w:t>development can proceed. Development of this</w:t>
      </w:r>
    </w:p>
    <w:p>
      <w:pPr>
        <w:spacing w:before="40" w:after="80" w:line="276" w:lineRule="auto"/>
      </w:pPr>
      <w:r>
        <w:rPr>
          <w:color w:val="334155"/>
          <w:sz w:val="19"/>
        </w:rPr>
        <w:t>land is contingent upon the completion</w:t>
      </w:r>
    </w:p>
    <w:p>
      <w:pPr>
        <w:spacing w:before="40" w:after="80" w:line="276" w:lineRule="auto"/>
      </w:pPr>
      <w:r>
        <w:rPr>
          <w:color w:val="334155"/>
          <w:sz w:val="19"/>
        </w:rPr>
        <w:t>of relevant technical investigations and the</w:t>
      </w:r>
    </w:p>
    <w:p>
      <w:pPr>
        <w:spacing w:before="40" w:after="80" w:line="276" w:lineRule="auto"/>
      </w:pPr>
      <w:r>
        <w:rPr>
          <w:color w:val="334155"/>
          <w:sz w:val="19"/>
        </w:rPr>
        <w:t>achievement of applicable staging triggers.</w:t>
      </w:r>
    </w:p>
    <w:p>
      <w:pPr>
        <w:spacing w:before="40" w:after="80" w:line="276" w:lineRule="auto"/>
      </w:pPr>
      <w:r>
        <w:rPr>
          <w:color w:val="334155"/>
          <w:sz w:val="19"/>
        </w:rPr>
        <w:t>4</w:t>
        <w:tab/>
        <w:t xml:space="preserve"> Structure plan and</w:t>
      </w:r>
    </w:p>
    <w:p>
      <w:pPr>
        <w:spacing w:before="40" w:after="80" w:line="276" w:lineRule="auto"/>
      </w:pPr>
      <w:r>
        <w:rPr>
          <w:color w:val="334155"/>
          <w:sz w:val="19"/>
        </w:rPr>
        <w:t>sub-precinct framework</w:t>
      </w:r>
    </w:p>
    <w:p>
      <w:pPr>
        <w:spacing w:before="40" w:after="80" w:line="276" w:lineRule="auto"/>
      </w:pPr>
      <w:r>
        <w:rPr>
          <w:color w:val="334155"/>
          <w:sz w:val="19"/>
        </w:rPr>
        <w:t>Figure 7: Indicative visualisation east over</w:t>
      </w:r>
    </w:p>
    <w:p>
      <w:pPr>
        <w:spacing w:before="40" w:after="80" w:line="276" w:lineRule="auto"/>
      </w:pPr>
      <w:r>
        <w:rPr>
          <w:color w:val="334155"/>
          <w:sz w:val="19"/>
        </w:rPr>
        <w:t>Macquarie Coal Complex Precinct</w:t>
      </w:r>
    </w:p>
    <w:p>
      <w:pPr>
        <w:spacing w:before="40" w:after="80" w:line="276" w:lineRule="auto"/>
      </w:pPr>
      <w:r>
        <w:rPr>
          <w:color w:val="334155"/>
          <w:sz w:val="19"/>
        </w:rPr>
        <w:t>Figure 8: Indicative visualisation west over</w:t>
      </w:r>
    </w:p>
    <w:p>
      <w:pPr>
        <w:spacing w:before="40" w:after="80" w:line="276" w:lineRule="auto"/>
      </w:pPr>
      <w:r>
        <w:rPr>
          <w:color w:val="334155"/>
          <w:sz w:val="19"/>
        </w:rPr>
        <w:t>Macquarie Coal Complex Precinct</w:t>
      </w:r>
    </w:p>
    <w:p>
      <w:pPr>
        <w:spacing w:before="40" w:after="80" w:line="276" w:lineRule="auto"/>
      </w:pPr>
      <w:r>
        <w:rPr>
          <w:color w:val="334155"/>
          <w:sz w:val="19"/>
        </w:rPr>
        <w:t>16</w:t>
      </w:r>
    </w:p>
    <w:p>
      <w:pPr>
        <w:spacing w:before="40" w:after="80" w:line="276" w:lineRule="auto"/>
      </w:pPr>
      <w:r>
        <w:rPr>
          <w:color w:val="334155"/>
          <w:sz w:val="19"/>
        </w:rPr>
        <w:t>`</w:t>
      </w:r>
    </w:p>
    <w:p>
      <w:pPr>
        <w:pStyle w:val="Heading3"/>
        <w:keepNext/>
        <w:spacing w:before="160" w:after="40"/>
      </w:pPr>
      <w:r>
        <w:rPr>
          <w:b/>
          <w:color w:val="334155"/>
        </w:rPr>
        <w:t>Master Plan Page 17</w:t>
      </w:r>
    </w:p>
    <w:p>
      <w:pPr>
        <w:spacing w:before="40" w:after="80" w:line="276" w:lineRule="auto"/>
      </w:pPr>
      <w:r>
        <w:rPr>
          <w:color w:val="334155"/>
          <w:sz w:val="19"/>
        </w:rPr>
        <w:t>`</w:t>
      </w:r>
    </w:p>
    <w:p>
      <w:pPr>
        <w:spacing w:before="40" w:after="80" w:line="276" w:lineRule="auto"/>
      </w:pPr>
      <w:r>
        <w:rPr>
          <w:color w:val="334155"/>
          <w:sz w:val="19"/>
        </w:rPr>
        <w:t>Figure 9: Macquarie Coal Complex Precinct Structure Plan</w:t>
      </w:r>
    </w:p>
    <w:p>
      <w:pPr>
        <w:spacing w:before="40" w:after="80" w:line="276" w:lineRule="auto"/>
      </w:pPr>
      <w:r>
        <w:rPr>
          <w:color w:val="334155"/>
          <w:sz w:val="19"/>
        </w:rPr>
        <w:t>17</w:t>
      </w:r>
    </w:p>
    <w:p>
      <w:pPr>
        <w:spacing w:before="40" w:after="80" w:line="276" w:lineRule="auto"/>
      </w:pPr>
      <w:r>
        <w:rPr>
          <w:color w:val="334155"/>
          <w:sz w:val="19"/>
        </w:rPr>
        <w:t>4  Structure plan and sub-precinct framework</w:t>
      </w:r>
    </w:p>
    <w:p>
      <w:pPr>
        <w:spacing w:before="40" w:after="80" w:line="276" w:lineRule="auto"/>
      </w:pPr>
      <w:r>
        <w:rPr>
          <w:color w:val="334155"/>
          <w:sz w:val="19"/>
        </w:rPr>
        <w:t>`</w:t>
      </w:r>
    </w:p>
    <w:p>
      <w:pPr>
        <w:pStyle w:val="Heading3"/>
        <w:keepNext/>
        <w:spacing w:before="160" w:after="40"/>
      </w:pPr>
      <w:r>
        <w:rPr>
          <w:b/>
          <w:color w:val="334155"/>
        </w:rPr>
        <w:t>Master Plan Page 18</w:t>
      </w:r>
    </w:p>
    <w:p>
      <w:pPr>
        <w:spacing w:before="40" w:after="80" w:line="276" w:lineRule="auto"/>
      </w:pPr>
      <w:r>
        <w:rPr>
          <w:color w:val="334155"/>
          <w:sz w:val="19"/>
        </w:rPr>
        <w:t>`</w:t>
      </w:r>
    </w:p>
    <w:p>
      <w:pPr>
        <w:spacing w:before="40" w:after="80" w:line="276" w:lineRule="auto"/>
      </w:pPr>
      <w:r>
        <w:rPr>
          <w:color w:val="334155"/>
          <w:sz w:val="19"/>
        </w:rPr>
        <w:t>Sub-precinct framework</w:t>
      </w:r>
    </w:p>
    <w:p>
      <w:pPr>
        <w:spacing w:before="40" w:after="80" w:line="276" w:lineRule="auto"/>
      </w:pPr>
      <w:r>
        <w:rPr>
          <w:color w:val="334155"/>
          <w:sz w:val="19"/>
        </w:rPr>
        <w:t>The structure plan organises the Precinct into</w:t>
      </w:r>
    </w:p>
    <w:p>
      <w:pPr>
        <w:spacing w:before="40" w:after="80" w:line="276" w:lineRule="auto"/>
      </w:pPr>
      <w:r>
        <w:rPr>
          <w:color w:val="334155"/>
          <w:sz w:val="19"/>
        </w:rPr>
        <w:t>five development sub-precincts (Figure 10), set</w:t>
      </w:r>
    </w:p>
    <w:p>
      <w:pPr>
        <w:spacing w:before="40" w:after="80" w:line="276" w:lineRule="auto"/>
      </w:pPr>
      <w:r>
        <w:rPr>
          <w:color w:val="334155"/>
          <w:sz w:val="19"/>
        </w:rPr>
        <w:t>within a connected network of environmentally</w:t>
      </w:r>
    </w:p>
    <w:p>
      <w:pPr>
        <w:spacing w:before="40" w:after="80" w:line="276" w:lineRule="auto"/>
      </w:pPr>
      <w:r>
        <w:rPr>
          <w:color w:val="334155"/>
          <w:sz w:val="19"/>
        </w:rPr>
        <w:t>constrained areas that define the Precinct’s</w:t>
      </w:r>
    </w:p>
    <w:p>
      <w:pPr>
        <w:spacing w:before="40" w:after="80" w:line="276" w:lineRule="auto"/>
      </w:pPr>
      <w:r>
        <w:rPr>
          <w:color w:val="334155"/>
          <w:sz w:val="19"/>
        </w:rPr>
        <w:t>landscape framework. Each sub-precinct presents</w:t>
      </w:r>
    </w:p>
    <w:p>
      <w:pPr>
        <w:spacing w:before="40" w:after="80" w:line="276" w:lineRule="auto"/>
      </w:pPr>
      <w:r>
        <w:rPr>
          <w:color w:val="334155"/>
          <w:sz w:val="19"/>
        </w:rPr>
        <w:t>a distinctive opportunity, shaped by its topography,</w:t>
      </w:r>
    </w:p>
    <w:p>
      <w:pPr>
        <w:spacing w:before="40" w:after="80" w:line="276" w:lineRule="auto"/>
      </w:pPr>
      <w:r>
        <w:rPr>
          <w:color w:val="334155"/>
          <w:sz w:val="19"/>
        </w:rPr>
        <w:t>legacy mining features, environmental values,</w:t>
      </w:r>
    </w:p>
    <w:p>
      <w:pPr>
        <w:spacing w:before="40" w:after="80" w:line="276" w:lineRule="auto"/>
      </w:pPr>
      <w:r>
        <w:rPr>
          <w:color w:val="334155"/>
          <w:sz w:val="19"/>
        </w:rPr>
        <w:t>access and proximity to existing communities and</w:t>
      </w:r>
    </w:p>
    <w:p>
      <w:pPr>
        <w:spacing w:before="40" w:after="80" w:line="276" w:lineRule="auto"/>
      </w:pPr>
      <w:r>
        <w:rPr>
          <w:color w:val="334155"/>
          <w:sz w:val="19"/>
        </w:rPr>
        <w:t>infrastructure.</w:t>
      </w:r>
    </w:p>
    <w:p>
      <w:pPr>
        <w:spacing w:before="40" w:after="80" w:line="276" w:lineRule="auto"/>
      </w:pPr>
      <w:r>
        <w:rPr>
          <w:color w:val="334155"/>
          <w:sz w:val="19"/>
        </w:rPr>
        <w:t>Together the sub-precincts enable a coordinated,</w:t>
      </w:r>
    </w:p>
    <w:p>
      <w:pPr>
        <w:spacing w:before="40" w:after="80" w:line="276" w:lineRule="auto"/>
      </w:pPr>
      <w:r>
        <w:rPr>
          <w:color w:val="334155"/>
          <w:sz w:val="19"/>
        </w:rPr>
        <w:t>staged transformation of the Precinct that</w:t>
      </w:r>
    </w:p>
    <w:p>
      <w:pPr>
        <w:spacing w:before="40" w:after="80" w:line="276" w:lineRule="auto"/>
      </w:pPr>
      <w:r>
        <w:rPr>
          <w:color w:val="334155"/>
          <w:sz w:val="19"/>
        </w:rPr>
        <w:t>responds to physical setting while delivering</w:t>
      </w:r>
    </w:p>
    <w:p>
      <w:pPr>
        <w:spacing w:before="40" w:after="80" w:line="276" w:lineRule="auto"/>
      </w:pPr>
      <w:r>
        <w:rPr>
          <w:color w:val="334155"/>
          <w:sz w:val="19"/>
        </w:rPr>
        <w:t>a diverse range of employment, recreation</w:t>
      </w:r>
    </w:p>
    <w:p>
      <w:pPr>
        <w:spacing w:before="40" w:after="80" w:line="276" w:lineRule="auto"/>
      </w:pPr>
      <w:r>
        <w:rPr>
          <w:color w:val="334155"/>
          <w:sz w:val="19"/>
        </w:rPr>
        <w:t>and community outcomes. Each sub-precinct</w:t>
      </w:r>
    </w:p>
    <w:p>
      <w:pPr>
        <w:spacing w:before="40" w:after="80" w:line="276" w:lineRule="auto"/>
      </w:pPr>
      <w:r>
        <w:rPr>
          <w:color w:val="334155"/>
          <w:sz w:val="19"/>
        </w:rPr>
        <w:t>description presents key characteristics, land use</w:t>
      </w:r>
    </w:p>
    <w:p>
      <w:pPr>
        <w:spacing w:before="40" w:after="80" w:line="276" w:lineRule="auto"/>
      </w:pPr>
      <w:r>
        <w:rPr>
          <w:color w:val="334155"/>
          <w:sz w:val="19"/>
        </w:rPr>
        <w:t>intent and opportunities for future planning and</w:t>
      </w:r>
    </w:p>
    <w:p>
      <w:pPr>
        <w:spacing w:before="40" w:after="80" w:line="276" w:lineRule="auto"/>
      </w:pPr>
      <w:r>
        <w:rPr>
          <w:color w:val="334155"/>
          <w:sz w:val="19"/>
        </w:rPr>
        <w:t>development, against which development proposals</w:t>
      </w:r>
    </w:p>
    <w:p>
      <w:pPr>
        <w:spacing w:before="40" w:after="80" w:line="276" w:lineRule="auto"/>
      </w:pPr>
      <w:r>
        <w:rPr>
          <w:color w:val="334155"/>
          <w:sz w:val="19"/>
        </w:rPr>
        <w:t>will be assessed.</w:t>
      </w:r>
    </w:p>
    <w:p>
      <w:pPr>
        <w:spacing w:before="40" w:after="80" w:line="276" w:lineRule="auto"/>
      </w:pPr>
      <w:r>
        <w:rPr>
          <w:color w:val="334155"/>
          <w:sz w:val="19"/>
        </w:rPr>
        <w:t>Figure 10: Sub-precincts</w:t>
      </w:r>
    </w:p>
    <w:p>
      <w:pPr>
        <w:spacing w:before="40" w:after="80" w:line="276" w:lineRule="auto"/>
      </w:pPr>
      <w:r>
        <w:rPr>
          <w:color w:val="334155"/>
          <w:sz w:val="19"/>
        </w:rPr>
        <w:t>18</w:t>
      </w:r>
    </w:p>
    <w:p>
      <w:pPr>
        <w:spacing w:before="40" w:after="80" w:line="276" w:lineRule="auto"/>
      </w:pPr>
      <w:r>
        <w:rPr>
          <w:color w:val="334155"/>
          <w:sz w:val="19"/>
        </w:rPr>
        <w:t>4  Structure plan and sub-precinct framework</w:t>
      </w:r>
    </w:p>
    <w:p>
      <w:pPr>
        <w:spacing w:before="40" w:after="80" w:line="276" w:lineRule="auto"/>
      </w:pPr>
      <w:r>
        <w:rPr>
          <w:color w:val="334155"/>
          <w:sz w:val="19"/>
        </w:rPr>
        <w:t>`</w:t>
      </w:r>
    </w:p>
    <w:p>
      <w:pPr>
        <w:pStyle w:val="Heading3"/>
        <w:keepNext/>
        <w:spacing w:before="160" w:after="40"/>
      </w:pPr>
      <w:r>
        <w:rPr>
          <w:b/>
          <w:color w:val="334155"/>
        </w:rPr>
        <w:t>Master Plan Page 19</w:t>
      </w:r>
    </w:p>
    <w:p>
      <w:pPr>
        <w:spacing w:before="40" w:after="80" w:line="276" w:lineRule="auto"/>
      </w:pPr>
      <w:r>
        <w:rPr>
          <w:color w:val="334155"/>
          <w:sz w:val="19"/>
        </w:rPr>
        <w:t>`</w:t>
      </w:r>
    </w:p>
    <w:p>
      <w:pPr>
        <w:spacing w:before="40" w:after="80" w:line="276" w:lineRule="auto"/>
      </w:pPr>
      <w:r>
        <w:rPr>
          <w:color w:val="334155"/>
          <w:sz w:val="19"/>
        </w:rPr>
        <w:t>Land use intent</w:t>
      </w:r>
    </w:p>
    <w:p>
      <w:pPr>
        <w:spacing w:before="40" w:after="80" w:line="276" w:lineRule="auto"/>
      </w:pPr>
      <w:r>
        <w:rPr>
          <w:color w:val="334155"/>
          <w:sz w:val="19"/>
        </w:rPr>
        <w:t>Future development will be anchored by</w:t>
      </w:r>
    </w:p>
    <w:p>
      <w:pPr>
        <w:spacing w:before="40" w:after="80" w:line="276" w:lineRule="auto"/>
      </w:pPr>
      <w:r>
        <w:rPr>
          <w:color w:val="334155"/>
          <w:sz w:val="19"/>
        </w:rPr>
        <w:t>employment-generating activity that supports</w:t>
      </w:r>
    </w:p>
    <w:p>
      <w:pPr>
        <w:spacing w:before="40" w:after="80" w:line="276" w:lineRule="auto"/>
      </w:pPr>
      <w:r>
        <w:rPr>
          <w:color w:val="334155"/>
          <w:sz w:val="19"/>
        </w:rPr>
        <w:t>regional economic diversification, attracts</w:t>
      </w:r>
    </w:p>
    <w:p>
      <w:pPr>
        <w:spacing w:before="40" w:after="80" w:line="276" w:lineRule="auto"/>
      </w:pPr>
      <w:r>
        <w:rPr>
          <w:color w:val="334155"/>
          <w:sz w:val="19"/>
        </w:rPr>
        <w:t>investment and creates local jobs. Complementary</w:t>
      </w:r>
    </w:p>
    <w:p>
      <w:pPr>
        <w:spacing w:before="40" w:after="80" w:line="276" w:lineRule="auto"/>
      </w:pPr>
      <w:r>
        <w:rPr>
          <w:color w:val="334155"/>
          <w:sz w:val="19"/>
        </w:rPr>
        <w:t>commercial, recreation, community and visitor land</w:t>
      </w:r>
    </w:p>
    <w:p>
      <w:pPr>
        <w:spacing w:before="40" w:after="80" w:line="276" w:lineRule="auto"/>
      </w:pPr>
      <w:r>
        <w:rPr>
          <w:color w:val="334155"/>
          <w:sz w:val="19"/>
        </w:rPr>
        <w:t>uses will support the workforce, deliver community</w:t>
      </w:r>
    </w:p>
    <w:p>
      <w:pPr>
        <w:spacing w:before="40" w:after="80" w:line="276" w:lineRule="auto"/>
      </w:pPr>
      <w:r>
        <w:rPr>
          <w:color w:val="334155"/>
          <w:sz w:val="19"/>
        </w:rPr>
        <w:t>benefit and contribute to the broader public value</w:t>
      </w:r>
    </w:p>
    <w:p>
      <w:pPr>
        <w:spacing w:before="40" w:after="80" w:line="276" w:lineRule="auto"/>
      </w:pPr>
      <w:r>
        <w:rPr>
          <w:color w:val="334155"/>
          <w:sz w:val="19"/>
        </w:rPr>
        <w:t>of the post mining tranformation.</w:t>
      </w:r>
    </w:p>
    <w:p>
      <w:pPr>
        <w:spacing w:before="40" w:after="80" w:line="276" w:lineRule="auto"/>
      </w:pPr>
      <w:r>
        <w:rPr>
          <w:color w:val="334155"/>
          <w:sz w:val="19"/>
        </w:rPr>
        <w:t>Figure 11: Employment land use envisaged in the Precinct</w:t>
      </w:r>
    </w:p>
    <w:p>
      <w:pPr>
        <w:spacing w:before="40" w:after="80" w:line="276" w:lineRule="auto"/>
      </w:pPr>
      <w:r>
        <w:rPr>
          <w:color w:val="334155"/>
          <w:sz w:val="19"/>
        </w:rPr>
        <w:t>Figure 12: Complementary land use typologies envisaged</w:t>
      </w:r>
    </w:p>
    <w:p>
      <w:pPr>
        <w:spacing w:before="40" w:after="80" w:line="276" w:lineRule="auto"/>
      </w:pPr>
      <w:r>
        <w:rPr>
          <w:color w:val="334155"/>
          <w:sz w:val="19"/>
        </w:rPr>
        <w:t>19</w:t>
      </w:r>
    </w:p>
    <w:p>
      <w:pPr>
        <w:spacing w:before="40" w:after="80" w:line="276" w:lineRule="auto"/>
      </w:pPr>
      <w:r>
        <w:rPr>
          <w:color w:val="334155"/>
          <w:sz w:val="19"/>
        </w:rPr>
        <w:t>4  Structure plan and sub-precinct framework</w:t>
      </w:r>
    </w:p>
    <w:p>
      <w:pPr>
        <w:spacing w:before="40" w:after="80" w:line="276" w:lineRule="auto"/>
      </w:pPr>
      <w:r>
        <w:rPr>
          <w:color w:val="334155"/>
          <w:sz w:val="19"/>
        </w:rPr>
        <w:t>`</w:t>
      </w:r>
    </w:p>
    <w:p>
      <w:pPr>
        <w:pStyle w:val="Heading3"/>
        <w:keepNext/>
        <w:spacing w:before="160" w:after="40"/>
      </w:pPr>
      <w:r>
        <w:rPr>
          <w:b/>
          <w:color w:val="334155"/>
        </w:rPr>
        <w:t>Master Plan Page 20</w:t>
      </w:r>
    </w:p>
    <w:p>
      <w:pPr>
        <w:spacing w:before="40" w:after="80" w:line="276" w:lineRule="auto"/>
      </w:pPr>
      <w:r>
        <w:rPr>
          <w:color w:val="334155"/>
          <w:sz w:val="19"/>
        </w:rPr>
        <w:t>`</w:t>
      </w:r>
    </w:p>
    <w:p>
      <w:pPr>
        <w:spacing w:before="40" w:after="80" w:line="276" w:lineRule="auto"/>
      </w:pPr>
      <w:r>
        <w:rPr>
          <w:color w:val="334155"/>
          <w:sz w:val="19"/>
        </w:rPr>
        <w:t>Cockle Creek</w:t>
      </w:r>
    </w:p>
    <w:p>
      <w:pPr>
        <w:spacing w:before="40" w:after="80" w:line="276" w:lineRule="auto"/>
      </w:pPr>
      <w:r>
        <w:rPr>
          <w:color w:val="334155"/>
          <w:sz w:val="19"/>
        </w:rPr>
        <w:t>Characteristics</w:t>
      </w:r>
    </w:p>
    <w:p>
      <w:pPr>
        <w:spacing w:before="40" w:after="80" w:line="276" w:lineRule="auto"/>
      </w:pPr>
      <w:r>
        <w:rPr>
          <w:color w:val="334155"/>
          <w:sz w:val="19"/>
        </w:rPr>
        <w:t>Cockle Creek sub-precinct is located in the eastern</w:t>
      </w:r>
    </w:p>
    <w:p>
      <w:pPr>
        <w:spacing w:before="40" w:after="80" w:line="276" w:lineRule="auto"/>
      </w:pPr>
      <w:r>
        <w:rPr>
          <w:color w:val="334155"/>
          <w:sz w:val="19"/>
        </w:rPr>
        <w:t>portion of the Precinct and encompasses the</w:t>
      </w:r>
    </w:p>
    <w:p>
      <w:pPr>
        <w:spacing w:before="40" w:after="80" w:line="276" w:lineRule="auto"/>
      </w:pPr>
      <w:r>
        <w:rPr>
          <w:color w:val="334155"/>
          <w:sz w:val="19"/>
        </w:rPr>
        <w:t>former MCPP, TSF, mine rail loop and associated</w:t>
      </w:r>
    </w:p>
    <w:p>
      <w:pPr>
        <w:spacing w:before="40" w:after="80" w:line="276" w:lineRule="auto"/>
      </w:pPr>
      <w:r>
        <w:rPr>
          <w:color w:val="334155"/>
          <w:sz w:val="19"/>
        </w:rPr>
        <w:t>operational infrastructure. Its direct interface</w:t>
      </w:r>
    </w:p>
    <w:p>
      <w:pPr>
        <w:spacing w:before="40" w:after="80" w:line="276" w:lineRule="auto"/>
      </w:pPr>
      <w:r>
        <w:rPr>
          <w:color w:val="334155"/>
          <w:sz w:val="19"/>
        </w:rPr>
        <w:t>with the Main Northern Railway, together with</w:t>
      </w:r>
    </w:p>
    <w:p>
      <w:pPr>
        <w:spacing w:before="40" w:after="80" w:line="276" w:lineRule="auto"/>
      </w:pPr>
      <w:r>
        <w:rPr>
          <w:color w:val="334155"/>
          <w:sz w:val="19"/>
        </w:rPr>
        <w:t>established access from Racecourse Road,</w:t>
      </w:r>
    </w:p>
    <w:p>
      <w:pPr>
        <w:spacing w:before="40" w:after="80" w:line="276" w:lineRule="auto"/>
      </w:pPr>
      <w:r>
        <w:rPr>
          <w:color w:val="334155"/>
          <w:sz w:val="19"/>
        </w:rPr>
        <w:t>Railway Street and The Weir Road, positions the</w:t>
      </w:r>
    </w:p>
    <w:p>
      <w:pPr>
        <w:spacing w:before="40" w:after="80" w:line="276" w:lineRule="auto"/>
      </w:pPr>
      <w:r>
        <w:rPr>
          <w:color w:val="334155"/>
          <w:sz w:val="19"/>
        </w:rPr>
        <w:t>sub-precinct as a strategically connected gateway</w:t>
      </w:r>
    </w:p>
    <w:p>
      <w:pPr>
        <w:spacing w:before="40" w:after="80" w:line="276" w:lineRule="auto"/>
      </w:pPr>
      <w:r>
        <w:rPr>
          <w:color w:val="334155"/>
          <w:sz w:val="19"/>
        </w:rPr>
        <w:t>within the broader Precinct.</w:t>
      </w:r>
    </w:p>
    <w:p>
      <w:pPr>
        <w:spacing w:before="40" w:after="80" w:line="276" w:lineRule="auto"/>
      </w:pPr>
      <w:r>
        <w:rPr>
          <w:color w:val="334155"/>
          <w:sz w:val="19"/>
        </w:rPr>
        <w:t>Historic industrial use has shaped a substantially</w:t>
      </w:r>
    </w:p>
    <w:p>
      <w:pPr>
        <w:spacing w:before="40" w:after="80" w:line="276" w:lineRule="auto"/>
      </w:pPr>
      <w:r>
        <w:rPr>
          <w:color w:val="334155"/>
          <w:sz w:val="19"/>
        </w:rPr>
        <w:t>modified landscape of previously disturbed land</w:t>
      </w:r>
    </w:p>
    <w:p>
      <w:pPr>
        <w:spacing w:before="40" w:after="80" w:line="276" w:lineRule="auto"/>
      </w:pPr>
      <w:r>
        <w:rPr>
          <w:color w:val="334155"/>
          <w:sz w:val="19"/>
        </w:rPr>
        <w:t>and legacy infrastructure. These attributes provide</w:t>
      </w:r>
    </w:p>
    <w:p>
      <w:pPr>
        <w:spacing w:before="40" w:after="80" w:line="276" w:lineRule="auto"/>
      </w:pPr>
      <w:r>
        <w:rPr>
          <w:color w:val="334155"/>
          <w:sz w:val="19"/>
        </w:rPr>
        <w:t>a strong foundation for early activation and support</w:t>
      </w:r>
    </w:p>
    <w:p>
      <w:pPr>
        <w:spacing w:before="40" w:after="80" w:line="276" w:lineRule="auto"/>
      </w:pPr>
      <w:r>
        <w:rPr>
          <w:color w:val="334155"/>
          <w:sz w:val="19"/>
        </w:rPr>
        <w:t>the efficient reuse of land.</w:t>
      </w:r>
    </w:p>
    <w:p>
      <w:pPr>
        <w:spacing w:before="40" w:after="80" w:line="276" w:lineRule="auto"/>
      </w:pPr>
      <w:r>
        <w:rPr>
          <w:color w:val="334155"/>
          <w:sz w:val="19"/>
        </w:rPr>
        <w:t>Key opportunities</w:t>
      </w:r>
    </w:p>
    <w:p>
      <w:pPr>
        <w:spacing w:before="40" w:after="80" w:line="276" w:lineRule="auto"/>
      </w:pPr>
      <w:r>
        <w:rPr>
          <w:color w:val="334155"/>
          <w:sz w:val="19"/>
        </w:rPr>
        <w:t>The following attributes shape the sub-precinct’s</w:t>
      </w:r>
    </w:p>
    <w:p>
      <w:pPr>
        <w:spacing w:before="40" w:after="80" w:line="276" w:lineRule="auto"/>
      </w:pPr>
      <w:r>
        <w:rPr>
          <w:color w:val="334155"/>
          <w:sz w:val="19"/>
        </w:rPr>
        <w:t>development context and inform a flexible,</w:t>
      </w:r>
    </w:p>
    <w:p>
      <w:pPr>
        <w:spacing w:before="40" w:after="80" w:line="276" w:lineRule="auto"/>
      </w:pPr>
      <w:r>
        <w:rPr>
          <w:color w:val="334155"/>
          <w:sz w:val="19"/>
        </w:rPr>
        <w:t>opportunity-led planning response:</w:t>
      </w:r>
    </w:p>
    <w:p>
      <w:pPr>
        <w:spacing w:before="40" w:after="80" w:line="276" w:lineRule="auto"/>
      </w:pPr>
      <w:r>
        <w:rPr>
          <w:color w:val="334155"/>
          <w:sz w:val="19"/>
        </w:rPr>
        <w:t>•</w:t>
      </w:r>
    </w:p>
    <w:p>
      <w:pPr>
        <w:spacing w:before="40" w:after="80" w:line="276" w:lineRule="auto"/>
      </w:pPr>
      <w:r>
        <w:rPr>
          <w:color w:val="334155"/>
          <w:sz w:val="19"/>
        </w:rPr>
        <w:t>Reuse of legacy industrial assets – The former</w:t>
      </w:r>
    </w:p>
    <w:p>
      <w:pPr>
        <w:spacing w:before="40" w:after="80" w:line="276" w:lineRule="auto"/>
      </w:pPr>
      <w:r>
        <w:rPr>
          <w:color w:val="334155"/>
          <w:sz w:val="19"/>
        </w:rPr>
        <w:t>coal preparation plant, mine rail loop and</w:t>
      </w:r>
    </w:p>
    <w:p>
      <w:pPr>
        <w:spacing w:before="40" w:after="80" w:line="276" w:lineRule="auto"/>
      </w:pPr>
      <w:r>
        <w:rPr>
          <w:color w:val="334155"/>
          <w:sz w:val="19"/>
        </w:rPr>
        <w:t>existing rail interface with the Main Northern</w:t>
      </w:r>
    </w:p>
    <w:p>
      <w:pPr>
        <w:spacing w:before="40" w:after="80" w:line="276" w:lineRule="auto"/>
      </w:pPr>
      <w:r>
        <w:rPr>
          <w:color w:val="334155"/>
          <w:sz w:val="19"/>
        </w:rPr>
        <w:t>railway provide a platform for new industrial,</w:t>
      </w:r>
    </w:p>
    <w:p>
      <w:pPr>
        <w:spacing w:before="40" w:after="80" w:line="276" w:lineRule="auto"/>
      </w:pPr>
      <w:r>
        <w:rPr>
          <w:color w:val="334155"/>
          <w:sz w:val="19"/>
        </w:rPr>
        <w:t>manufacturing, energy and rail-related uses that</w:t>
      </w:r>
    </w:p>
    <w:p>
      <w:pPr>
        <w:spacing w:before="40" w:after="80" w:line="276" w:lineRule="auto"/>
      </w:pPr>
      <w:r>
        <w:rPr>
          <w:color w:val="334155"/>
          <w:sz w:val="19"/>
        </w:rPr>
        <w:t>leverage available infrastructure.</w:t>
      </w:r>
    </w:p>
    <w:p>
      <w:pPr>
        <w:spacing w:before="40" w:after="80" w:line="276" w:lineRule="auto"/>
      </w:pPr>
      <w:r>
        <w:rPr>
          <w:color w:val="334155"/>
          <w:sz w:val="19"/>
        </w:rPr>
        <w:t>•</w:t>
      </w:r>
    </w:p>
    <w:p>
      <w:pPr>
        <w:spacing w:before="40" w:after="80" w:line="276" w:lineRule="auto"/>
      </w:pPr>
      <w:r>
        <w:rPr>
          <w:color w:val="334155"/>
          <w:sz w:val="19"/>
        </w:rPr>
        <w:t>Early activation of available land – Areas outside</w:t>
      </w:r>
    </w:p>
    <w:p>
      <w:pPr>
        <w:spacing w:before="40" w:after="80" w:line="276" w:lineRule="auto"/>
      </w:pPr>
      <w:r>
        <w:rPr>
          <w:color w:val="334155"/>
          <w:sz w:val="19"/>
        </w:rPr>
        <w:t>the TSF and dam break inundation zone are well-</w:t>
      </w:r>
    </w:p>
    <w:p>
      <w:pPr>
        <w:spacing w:before="40" w:after="80" w:line="276" w:lineRule="auto"/>
      </w:pPr>
      <w:r>
        <w:rPr>
          <w:color w:val="334155"/>
          <w:sz w:val="19"/>
        </w:rPr>
        <w:t>positioned for near-term development, with</w:t>
      </w:r>
    </w:p>
    <w:p>
      <w:pPr>
        <w:spacing w:before="40" w:after="80" w:line="276" w:lineRule="auto"/>
      </w:pPr>
      <w:r>
        <w:rPr>
          <w:color w:val="334155"/>
          <w:sz w:val="19"/>
        </w:rPr>
        <w:t>further land progressively released as TSF</w:t>
      </w:r>
    </w:p>
    <w:p>
      <w:pPr>
        <w:spacing w:before="40" w:after="80" w:line="276" w:lineRule="auto"/>
      </w:pPr>
      <w:r>
        <w:rPr>
          <w:color w:val="334155"/>
          <w:sz w:val="19"/>
        </w:rPr>
        <w:t>rehabilitation advances.</w:t>
      </w:r>
    </w:p>
    <w:p>
      <w:pPr>
        <w:spacing w:before="40" w:after="80" w:line="276" w:lineRule="auto"/>
      </w:pPr>
      <w:r>
        <w:rPr>
          <w:color w:val="334155"/>
          <w:sz w:val="19"/>
        </w:rPr>
        <w:t>•</w:t>
      </w:r>
    </w:p>
    <w:p>
      <w:pPr>
        <w:spacing w:before="40" w:after="80" w:line="276" w:lineRule="auto"/>
      </w:pPr>
      <w:r>
        <w:rPr>
          <w:color w:val="334155"/>
          <w:sz w:val="19"/>
        </w:rPr>
        <w:t>Enhanced connectivity – A potential new bridge</w:t>
      </w:r>
    </w:p>
    <w:p>
      <w:pPr>
        <w:spacing w:before="40" w:after="80" w:line="276" w:lineRule="auto"/>
      </w:pPr>
      <w:r>
        <w:rPr>
          <w:color w:val="334155"/>
          <w:sz w:val="19"/>
        </w:rPr>
        <w:t>crossing of Cockle Creek is identified for</w:t>
      </w:r>
    </w:p>
    <w:p>
      <w:pPr>
        <w:spacing w:before="40" w:after="80" w:line="276" w:lineRule="auto"/>
      </w:pPr>
      <w:r>
        <w:rPr>
          <w:color w:val="334155"/>
          <w:sz w:val="19"/>
        </w:rPr>
        <w:t>investigation to strengthen road access and</w:t>
      </w:r>
    </w:p>
    <w:p>
      <w:pPr>
        <w:spacing w:before="40" w:after="80" w:line="276" w:lineRule="auto"/>
      </w:pPr>
      <w:r>
        <w:rPr>
          <w:color w:val="334155"/>
          <w:sz w:val="19"/>
        </w:rPr>
        <w:t>unlock additional development opportunities</w:t>
      </w:r>
    </w:p>
    <w:p>
      <w:pPr>
        <w:spacing w:before="40" w:after="80" w:line="276" w:lineRule="auto"/>
      </w:pPr>
      <w:r>
        <w:rPr>
          <w:color w:val="334155"/>
          <w:sz w:val="19"/>
        </w:rPr>
        <w:t>across the sub-precinct.</w:t>
      </w:r>
    </w:p>
    <w:p>
      <w:pPr>
        <w:spacing w:before="40" w:after="80" w:line="276" w:lineRule="auto"/>
      </w:pPr>
      <w:r>
        <w:rPr>
          <w:color w:val="334155"/>
          <w:sz w:val="19"/>
        </w:rPr>
        <w:t>•</w:t>
      </w:r>
    </w:p>
    <w:p>
      <w:pPr>
        <w:spacing w:before="40" w:after="80" w:line="276" w:lineRule="auto"/>
      </w:pPr>
      <w:r>
        <w:rPr>
          <w:color w:val="334155"/>
          <w:sz w:val="19"/>
        </w:rPr>
        <w:t>Improved internal movement networks – New</w:t>
      </w:r>
    </w:p>
    <w:p>
      <w:pPr>
        <w:spacing w:before="40" w:after="80" w:line="276" w:lineRule="auto"/>
      </w:pPr>
      <w:r>
        <w:rPr>
          <w:color w:val="334155"/>
          <w:sz w:val="19"/>
        </w:rPr>
        <w:t>internal road links will support integrated</w:t>
      </w:r>
    </w:p>
    <w:p>
      <w:pPr>
        <w:spacing w:before="40" w:after="80" w:line="276" w:lineRule="auto"/>
      </w:pPr>
      <w:r>
        <w:rPr>
          <w:color w:val="334155"/>
          <w:sz w:val="19"/>
        </w:rPr>
        <w:t>movement across the sub-precinct, enabled by</w:t>
      </w:r>
    </w:p>
    <w:p>
      <w:pPr>
        <w:spacing w:before="40" w:after="80" w:line="276" w:lineRule="auto"/>
      </w:pPr>
      <w:r>
        <w:rPr>
          <w:color w:val="334155"/>
          <w:sz w:val="19"/>
        </w:rPr>
        <w:t>revocation of the TSF dam declaration or</w:t>
      </w:r>
    </w:p>
    <w:p>
      <w:pPr>
        <w:spacing w:before="40" w:after="80" w:line="276" w:lineRule="auto"/>
      </w:pPr>
      <w:r>
        <w:rPr>
          <w:color w:val="334155"/>
          <w:sz w:val="19"/>
        </w:rPr>
        <w:t>delivery of bridge infrastructure above the</w:t>
      </w:r>
    </w:p>
    <w:p>
      <w:pPr>
        <w:spacing w:before="40" w:after="80" w:line="276" w:lineRule="auto"/>
      </w:pPr>
      <w:r>
        <w:rPr>
          <w:color w:val="334155"/>
          <w:sz w:val="19"/>
        </w:rPr>
        <w:t>inundation level.</w:t>
      </w:r>
    </w:p>
    <w:p>
      <w:pPr>
        <w:spacing w:before="40" w:after="80" w:line="276" w:lineRule="auto"/>
      </w:pPr>
      <w:r>
        <w:rPr>
          <w:color w:val="334155"/>
          <w:sz w:val="19"/>
        </w:rPr>
        <w:t>•</w:t>
      </w:r>
    </w:p>
    <w:p>
      <w:pPr>
        <w:spacing w:before="40" w:after="80" w:line="276" w:lineRule="auto"/>
      </w:pPr>
      <w:r>
        <w:rPr>
          <w:color w:val="334155"/>
          <w:sz w:val="19"/>
        </w:rPr>
        <w:t>Supporting industries that would facilitate rail</w:t>
      </w:r>
    </w:p>
    <w:p>
      <w:pPr>
        <w:spacing w:before="40" w:after="80" w:line="276" w:lineRule="auto"/>
      </w:pPr>
      <w:r>
        <w:rPr>
          <w:color w:val="334155"/>
          <w:sz w:val="19"/>
        </w:rPr>
        <w:t>manufacturing, including workshops with skilled</w:t>
      </w:r>
    </w:p>
    <w:p>
      <w:pPr>
        <w:spacing w:before="40" w:after="80" w:line="276" w:lineRule="auto"/>
      </w:pPr>
      <w:r>
        <w:rPr>
          <w:color w:val="334155"/>
          <w:sz w:val="19"/>
        </w:rPr>
        <w:t>trades.</w:t>
      </w:r>
    </w:p>
    <w:p>
      <w:pPr>
        <w:spacing w:before="40" w:after="80" w:line="276" w:lineRule="auto"/>
      </w:pPr>
      <w:r>
        <w:rPr>
          <w:color w:val="334155"/>
          <w:sz w:val="19"/>
        </w:rPr>
        <w:t>•</w:t>
      </w:r>
    </w:p>
    <w:p>
      <w:pPr>
        <w:spacing w:before="40" w:after="80" w:line="276" w:lineRule="auto"/>
      </w:pPr>
      <w:r>
        <w:rPr>
          <w:color w:val="334155"/>
          <w:sz w:val="19"/>
        </w:rPr>
        <w:t>Established access for short term activity</w:t>
      </w:r>
    </w:p>
    <w:p>
      <w:pPr>
        <w:spacing w:before="40" w:after="80" w:line="276" w:lineRule="auto"/>
      </w:pPr>
      <w:r>
        <w:rPr>
          <w:color w:val="334155"/>
          <w:sz w:val="19"/>
        </w:rPr>
        <w:t>– Existing connections from Railway Street,</w:t>
      </w:r>
    </w:p>
    <w:p>
      <w:pPr>
        <w:spacing w:before="40" w:after="80" w:line="276" w:lineRule="auto"/>
      </w:pPr>
      <w:r>
        <w:rPr>
          <w:color w:val="334155"/>
          <w:sz w:val="19"/>
        </w:rPr>
        <w:t>Racecourse Road, The Weir Road and Rhondda</w:t>
      </w:r>
    </w:p>
    <w:p>
      <w:pPr>
        <w:spacing w:before="40" w:after="80" w:line="276" w:lineRule="auto"/>
      </w:pPr>
      <w:r>
        <w:rPr>
          <w:color w:val="334155"/>
          <w:sz w:val="19"/>
        </w:rPr>
        <w:t>Road provide immediate access to developable</w:t>
      </w:r>
    </w:p>
    <w:p>
      <w:pPr>
        <w:spacing w:before="40" w:after="80" w:line="276" w:lineRule="auto"/>
      </w:pPr>
      <w:r>
        <w:rPr>
          <w:color w:val="334155"/>
          <w:sz w:val="19"/>
        </w:rPr>
        <w:t>land beyond the dam break inundation zone,</w:t>
      </w:r>
    </w:p>
    <w:p>
      <w:pPr>
        <w:spacing w:before="40" w:after="80" w:line="276" w:lineRule="auto"/>
      </w:pPr>
      <w:r>
        <w:rPr>
          <w:color w:val="334155"/>
          <w:sz w:val="19"/>
        </w:rPr>
        <w:t>supporting early-stage uses.</w:t>
      </w:r>
    </w:p>
    <w:p>
      <w:pPr>
        <w:spacing w:before="40" w:after="80" w:line="276" w:lineRule="auto"/>
      </w:pPr>
      <w:r>
        <w:rPr>
          <w:color w:val="334155"/>
          <w:sz w:val="19"/>
        </w:rPr>
        <w:t>•</w:t>
      </w:r>
    </w:p>
    <w:p>
      <w:pPr>
        <w:spacing w:before="40" w:after="80" w:line="276" w:lineRule="auto"/>
      </w:pPr>
      <w:r>
        <w:rPr>
          <w:color w:val="334155"/>
          <w:sz w:val="19"/>
        </w:rPr>
        <w:t>Integration of environmental values – High value</w:t>
      </w:r>
    </w:p>
    <w:p>
      <w:pPr>
        <w:spacing w:before="40" w:after="80" w:line="276" w:lineRule="auto"/>
      </w:pPr>
      <w:r>
        <w:rPr>
          <w:color w:val="334155"/>
          <w:sz w:val="19"/>
        </w:rPr>
        <w:t>biodiversity, fauna habitat and wetland areas to</w:t>
      </w:r>
    </w:p>
    <w:p>
      <w:pPr>
        <w:spacing w:before="40" w:after="80" w:line="276" w:lineRule="auto"/>
      </w:pPr>
      <w:r>
        <w:rPr>
          <w:color w:val="334155"/>
          <w:sz w:val="19"/>
        </w:rPr>
        <w:t>north and east of the sub-precinct are retained</w:t>
      </w:r>
    </w:p>
    <w:p>
      <w:pPr>
        <w:spacing w:before="40" w:after="80" w:line="276" w:lineRule="auto"/>
      </w:pPr>
      <w:r>
        <w:rPr>
          <w:color w:val="334155"/>
          <w:sz w:val="19"/>
        </w:rPr>
        <w:t>and integrated into the land use pattern,</w:t>
      </w:r>
    </w:p>
    <w:p>
      <w:pPr>
        <w:spacing w:before="40" w:after="80" w:line="276" w:lineRule="auto"/>
      </w:pPr>
      <w:r>
        <w:rPr>
          <w:color w:val="334155"/>
          <w:sz w:val="19"/>
        </w:rPr>
        <w:t>supporting a considered balance between</w:t>
      </w:r>
    </w:p>
    <w:p>
      <w:pPr>
        <w:spacing w:before="40" w:after="80" w:line="276" w:lineRule="auto"/>
      </w:pPr>
      <w:r>
        <w:rPr>
          <w:color w:val="334155"/>
          <w:sz w:val="19"/>
        </w:rPr>
        <w:t>development and environmental outcomes.</w:t>
      </w:r>
    </w:p>
    <w:p>
      <w:pPr>
        <w:spacing w:before="40" w:after="80" w:line="276" w:lineRule="auto"/>
      </w:pPr>
      <w:r>
        <w:rPr>
          <w:color w:val="334155"/>
          <w:sz w:val="19"/>
        </w:rPr>
        <w:t>Figure 13: Indicative mixed industrial development</w:t>
      </w:r>
    </w:p>
    <w:p>
      <w:pPr>
        <w:spacing w:before="40" w:after="80" w:line="276" w:lineRule="auto"/>
      </w:pPr>
      <w:r>
        <w:rPr>
          <w:color w:val="334155"/>
          <w:sz w:val="19"/>
        </w:rPr>
        <w:t>concept</w:t>
      </w:r>
    </w:p>
    <w:p>
      <w:pPr>
        <w:spacing w:before="40" w:after="80" w:line="276" w:lineRule="auto"/>
      </w:pPr>
      <w:r>
        <w:rPr>
          <w:color w:val="334155"/>
          <w:sz w:val="19"/>
        </w:rPr>
        <w:t>Figure 14: Indicative mixed industrial</w:t>
      </w:r>
    </w:p>
    <w:p>
      <w:pPr>
        <w:spacing w:before="40" w:after="80" w:line="276" w:lineRule="auto"/>
      </w:pPr>
      <w:r>
        <w:rPr>
          <w:color w:val="334155"/>
          <w:sz w:val="19"/>
        </w:rPr>
        <w:t>development concept utilising rail connectivity</w:t>
      </w:r>
    </w:p>
    <w:p>
      <w:pPr>
        <w:spacing w:before="40" w:after="80" w:line="276" w:lineRule="auto"/>
      </w:pPr>
      <w:r>
        <w:rPr>
          <w:color w:val="334155"/>
          <w:sz w:val="19"/>
        </w:rPr>
        <w:t>20</w:t>
      </w:r>
    </w:p>
    <w:p>
      <w:pPr>
        <w:spacing w:before="40" w:after="80" w:line="276" w:lineRule="auto"/>
      </w:pPr>
      <w:r>
        <w:rPr>
          <w:color w:val="334155"/>
          <w:sz w:val="19"/>
        </w:rPr>
        <w:t>4  Structure plan and sub-precinct framework</w:t>
      </w:r>
    </w:p>
    <w:p>
      <w:pPr>
        <w:spacing w:before="40" w:after="80" w:line="276" w:lineRule="auto"/>
      </w:pPr>
      <w:r>
        <w:rPr>
          <w:color w:val="334155"/>
          <w:sz w:val="19"/>
        </w:rPr>
        <w:t>`</w:t>
      </w:r>
    </w:p>
    <w:p>
      <w:pPr>
        <w:pStyle w:val="Heading2"/>
        <w:keepNext/>
        <w:spacing w:before="240" w:after="80"/>
      </w:pPr>
      <w:r>
        <w:rPr>
          <w:b/>
          <w:color w:val="0284C7"/>
        </w:rPr>
        <w:t>2. Utilities &amp; Energy Infrastructure</w:t>
      </w:r>
    </w:p>
    <w:p>
      <w:pPr>
        <w:pStyle w:val="Heading3"/>
        <w:keepNext/>
        <w:spacing w:before="160" w:after="40"/>
      </w:pPr>
      <w:r>
        <w:rPr>
          <w:b/>
          <w:color w:val="334155"/>
        </w:rPr>
        <w:t>Utilities Report Page 3</w:t>
      </w:r>
    </w:p>
    <w:p>
      <w:pPr>
        <w:spacing w:before="40" w:after="80" w:line="276" w:lineRule="auto"/>
      </w:pPr>
      <w:r>
        <w:rPr>
          <w:color w:val="334155"/>
          <w:sz w:val="19"/>
        </w:rPr>
        <w:t>`</w:t>
      </w:r>
    </w:p>
    <w:p>
      <w:pPr>
        <w:spacing w:before="40" w:after="80" w:line="276" w:lineRule="auto"/>
      </w:pPr>
      <w:r>
        <w:rPr>
          <w:color w:val="334155"/>
          <w:sz w:val="19"/>
        </w:rPr>
        <w:t>Project number 531168-000  File Utilities Engineering Report - Clean.docx  2026-07-01  Revision B</w:t>
      </w:r>
    </w:p>
    <w:p>
      <w:pPr>
        <w:spacing w:before="40" w:after="80" w:line="276" w:lineRule="auto"/>
      </w:pPr>
      <w:r>
        <w:rPr>
          <w:color w:val="334155"/>
          <w:sz w:val="19"/>
        </w:rPr>
        <w:t>Executive summary</w:t>
      </w:r>
    </w:p>
    <w:p>
      <w:pPr>
        <w:spacing w:before="40" w:after="80" w:line="276" w:lineRule="auto"/>
      </w:pPr>
      <w:r>
        <w:rPr>
          <w:color w:val="334155"/>
          <w:sz w:val="19"/>
        </w:rPr>
        <w:t>This Utilities Engineering Report demonstrates that the Macquarie Coal Complex Precinct can be effectively</w:t>
      </w:r>
    </w:p>
    <w:p>
      <w:pPr>
        <w:spacing w:before="40" w:after="80" w:line="276" w:lineRule="auto"/>
      </w:pPr>
      <w:r>
        <w:rPr>
          <w:color w:val="334155"/>
          <w:sz w:val="19"/>
        </w:rPr>
        <w:t>serviced to support its transition to a post-mining land use and provides a robust technical basis for rezoning.</w:t>
      </w:r>
    </w:p>
    <w:p>
      <w:pPr>
        <w:spacing w:before="40" w:after="80" w:line="276" w:lineRule="auto"/>
      </w:pPr>
      <w:r>
        <w:rPr>
          <w:color w:val="334155"/>
          <w:sz w:val="19"/>
        </w:rPr>
        <w:t>The Precinct benefits from strong regional infrastructure connectivity, particularly in electricity, and access to</w:t>
      </w:r>
    </w:p>
    <w:p>
      <w:pPr>
        <w:spacing w:before="40" w:after="80" w:line="276" w:lineRule="auto"/>
      </w:pPr>
      <w:r>
        <w:rPr>
          <w:color w:val="334155"/>
          <w:sz w:val="19"/>
        </w:rPr>
        <w:t>substantial on-site water resources, creating a high level of inherent servicing potential. While legacy mining</w:t>
      </w:r>
    </w:p>
    <w:p>
      <w:pPr>
        <w:spacing w:before="40" w:after="80" w:line="276" w:lineRule="auto"/>
      </w:pPr>
      <w:r>
        <w:rPr>
          <w:color w:val="334155"/>
          <w:sz w:val="19"/>
        </w:rPr>
        <w:t>infrastructure and fragmented utility networks present constraints, these are considered manageable within a</w:t>
      </w:r>
    </w:p>
    <w:p>
      <w:pPr>
        <w:spacing w:before="40" w:after="80" w:line="276" w:lineRule="auto"/>
      </w:pPr>
      <w:r>
        <w:rPr>
          <w:color w:val="334155"/>
          <w:sz w:val="19"/>
        </w:rPr>
        <w:t>staged delivery framework. Importantly, the site is uniquely positioned to adopt both traditional “business as</w:t>
      </w:r>
    </w:p>
    <w:p>
      <w:pPr>
        <w:spacing w:before="40" w:after="80" w:line="276" w:lineRule="auto"/>
      </w:pPr>
      <w:r>
        <w:rPr>
          <w:color w:val="334155"/>
          <w:sz w:val="19"/>
        </w:rPr>
        <w:t>usual” servicing solutions and alternative, decentralised approaches that align with long-term sustainability</w:t>
      </w:r>
    </w:p>
    <w:p>
      <w:pPr>
        <w:spacing w:before="40" w:after="80" w:line="276" w:lineRule="auto"/>
      </w:pPr>
      <w:r>
        <w:rPr>
          <w:color w:val="334155"/>
          <w:sz w:val="19"/>
        </w:rPr>
        <w:t>and industrial transition objectives.</w:t>
      </w:r>
    </w:p>
    <w:p>
      <w:pPr>
        <w:spacing w:before="40" w:after="80" w:line="276" w:lineRule="auto"/>
      </w:pPr>
      <w:r>
        <w:rPr>
          <w:color w:val="334155"/>
          <w:sz w:val="19"/>
        </w:rPr>
        <w:t>Water Servicing</w:t>
      </w:r>
    </w:p>
    <w:p>
      <w:pPr>
        <w:spacing w:before="40" w:after="80" w:line="276" w:lineRule="auto"/>
      </w:pPr>
      <w:r>
        <w:rPr>
          <w:color w:val="334155"/>
          <w:sz w:val="19"/>
        </w:rPr>
        <w:t>The Precinct is well positioned within Hunter Water’s regional supply system, with Grahamstown Water</w:t>
      </w:r>
    </w:p>
    <w:p>
      <w:pPr>
        <w:spacing w:before="40" w:after="80" w:line="276" w:lineRule="auto"/>
      </w:pPr>
      <w:r>
        <w:rPr>
          <w:color w:val="334155"/>
          <w:sz w:val="19"/>
        </w:rPr>
        <w:t>Treatment Plant providing 246 ML/d of capacity and forecast spare capacity of ~17.5 ML/d in 2029,</w:t>
      </w:r>
    </w:p>
    <w:p>
      <w:pPr>
        <w:spacing w:before="40" w:after="80" w:line="276" w:lineRule="auto"/>
      </w:pPr>
      <w:r>
        <w:rPr>
          <w:color w:val="334155"/>
          <w:sz w:val="19"/>
        </w:rPr>
        <w:t>exceeding the Precinct’s ultimate extreme day demand of ~16 ML/d. This demonstrates that, at a regional</w:t>
      </w:r>
    </w:p>
    <w:p>
      <w:pPr>
        <w:spacing w:before="40" w:after="80" w:line="276" w:lineRule="auto"/>
      </w:pPr>
      <w:r>
        <w:rPr>
          <w:color w:val="334155"/>
          <w:sz w:val="19"/>
        </w:rPr>
        <w:t>scale, potable water supply is not a limiting factor to development.</w:t>
      </w:r>
    </w:p>
    <w:p>
      <w:pPr>
        <w:spacing w:before="40" w:after="80" w:line="276" w:lineRule="auto"/>
      </w:pPr>
      <w:r>
        <w:rPr>
          <w:color w:val="334155"/>
          <w:sz w:val="19"/>
        </w:rPr>
        <w:t>However, constraints exist at a local level, with limited existing infrastructure across the site, fragmented</w:t>
      </w:r>
    </w:p>
    <w:p>
      <w:pPr>
        <w:spacing w:before="40" w:after="80" w:line="276" w:lineRule="auto"/>
      </w:pPr>
      <w:r>
        <w:rPr>
          <w:color w:val="334155"/>
          <w:sz w:val="19"/>
        </w:rPr>
        <w:t>connections and the need to establish new trunk mains. These constraints are most pronounced in the</w:t>
      </w:r>
    </w:p>
    <w:p>
      <w:pPr>
        <w:spacing w:before="40" w:after="80" w:line="276" w:lineRule="auto"/>
      </w:pPr>
      <w:r>
        <w:rPr>
          <w:color w:val="334155"/>
          <w:sz w:val="19"/>
        </w:rPr>
        <w:t>southern and western areas. The presence of substantial on-site stored water and proximity to recycled</w:t>
      </w:r>
    </w:p>
    <w:p>
      <w:pPr>
        <w:spacing w:before="40" w:after="80" w:line="276" w:lineRule="auto"/>
      </w:pPr>
      <w:r>
        <w:rPr>
          <w:color w:val="334155"/>
          <w:sz w:val="19"/>
        </w:rPr>
        <w:t>water sources presents a key opportunity to supplement potable demand, enabling precinct-scale</w:t>
      </w:r>
    </w:p>
    <w:p>
      <w:pPr>
        <w:spacing w:before="40" w:after="80" w:line="276" w:lineRule="auto"/>
      </w:pPr>
      <w:r>
        <w:rPr>
          <w:color w:val="334155"/>
          <w:sz w:val="19"/>
        </w:rPr>
        <w:t>alternative water systems (e.g. recycled water, raw water use). This creates a pathway to reduce</w:t>
      </w:r>
    </w:p>
    <w:p>
      <w:pPr>
        <w:spacing w:before="40" w:after="80" w:line="276" w:lineRule="auto"/>
      </w:pPr>
      <w:r>
        <w:rPr>
          <w:color w:val="334155"/>
          <w:sz w:val="19"/>
        </w:rPr>
        <w:t>reliance on trunk augmentations and support a more resilient, lower-cost servicing strategy over time.</w:t>
      </w:r>
    </w:p>
    <w:p>
      <w:pPr>
        <w:spacing w:before="40" w:after="80" w:line="276" w:lineRule="auto"/>
      </w:pPr>
      <w:r>
        <w:rPr>
          <w:color w:val="334155"/>
          <w:sz w:val="19"/>
        </w:rPr>
        <w:t>Wastewater Servicing</w:t>
      </w:r>
    </w:p>
    <w:p>
      <w:pPr>
        <w:spacing w:before="40" w:after="80" w:line="276" w:lineRule="auto"/>
      </w:pPr>
      <w:r>
        <w:rPr>
          <w:color w:val="334155"/>
          <w:sz w:val="19"/>
        </w:rPr>
        <w:t>Wastewater represents one of the most significant constraints to development. The majority of the Precinct is</w:t>
      </w:r>
    </w:p>
    <w:p>
      <w:pPr>
        <w:spacing w:before="40" w:after="80" w:line="276" w:lineRule="auto"/>
      </w:pPr>
      <w:r>
        <w:rPr>
          <w:color w:val="334155"/>
          <w:sz w:val="19"/>
        </w:rPr>
        <w:t>not connected to the Hunter Water wastewater network and historically relied on septic systems. This will</w:t>
      </w:r>
    </w:p>
    <w:p>
      <w:pPr>
        <w:spacing w:before="40" w:after="80" w:line="276" w:lineRule="auto"/>
      </w:pPr>
      <w:r>
        <w:rPr>
          <w:color w:val="334155"/>
          <w:sz w:val="19"/>
        </w:rPr>
        <w:t>require the delivery of entirely new infrastructure including pump stations and rising mains to connect to</w:t>
      </w:r>
    </w:p>
    <w:p>
      <w:pPr>
        <w:spacing w:before="40" w:after="80" w:line="276" w:lineRule="auto"/>
      </w:pPr>
      <w:r>
        <w:rPr>
          <w:color w:val="334155"/>
          <w:sz w:val="19"/>
        </w:rPr>
        <w:t>Edgeworth Wastewater Treatment Works.</w:t>
      </w:r>
    </w:p>
    <w:p>
      <w:pPr>
        <w:spacing w:before="40" w:after="80" w:line="276" w:lineRule="auto"/>
      </w:pPr>
      <w:r>
        <w:rPr>
          <w:color w:val="334155"/>
          <w:sz w:val="19"/>
        </w:rPr>
        <w:t>Critically, Edgeworth WWTW is projected to reach capacity by 2029, with no confirmed timing or funding for</w:t>
      </w:r>
    </w:p>
    <w:p>
      <w:pPr>
        <w:spacing w:before="40" w:after="80" w:line="276" w:lineRule="auto"/>
      </w:pPr>
      <w:r>
        <w:rPr>
          <w:color w:val="334155"/>
          <w:sz w:val="19"/>
        </w:rPr>
        <w:t>upgrades. This introduces a material risk to staging and delivery, as development is partially dependent on</w:t>
      </w:r>
    </w:p>
    <w:p>
      <w:pPr>
        <w:spacing w:before="40" w:after="80" w:line="276" w:lineRule="auto"/>
      </w:pPr>
      <w:r>
        <w:rPr>
          <w:color w:val="334155"/>
          <w:sz w:val="19"/>
        </w:rPr>
        <w:t>external infrastructure upgrades.</w:t>
      </w:r>
    </w:p>
    <w:p>
      <w:pPr>
        <w:spacing w:before="40" w:after="80" w:line="276" w:lineRule="auto"/>
      </w:pPr>
      <w:r>
        <w:rPr>
          <w:color w:val="334155"/>
          <w:sz w:val="19"/>
        </w:rPr>
        <w:t>At a precinct scale, this constraint strongly aligns with opportunities for decentralised servicing, including</w:t>
      </w:r>
    </w:p>
    <w:p>
      <w:pPr>
        <w:spacing w:before="40" w:after="80" w:line="276" w:lineRule="auto"/>
      </w:pPr>
      <w:r>
        <w:rPr>
          <w:color w:val="334155"/>
          <w:sz w:val="19"/>
        </w:rPr>
        <w:t>on-site wastewater treatment, water recycling and reuse systems. These approaches could reduce reliance</w:t>
      </w:r>
    </w:p>
    <w:p>
      <w:pPr>
        <w:spacing w:before="40" w:after="80" w:line="276" w:lineRule="auto"/>
      </w:pPr>
      <w:r>
        <w:rPr>
          <w:color w:val="334155"/>
          <w:sz w:val="19"/>
        </w:rPr>
        <w:t>on regional infrastructure in early stages and unlock development ahead of major augmentation works.</w:t>
      </w:r>
    </w:p>
    <w:p>
      <w:pPr>
        <w:spacing w:before="40" w:after="80" w:line="276" w:lineRule="auto"/>
      </w:pPr>
      <w:r>
        <w:rPr>
          <w:color w:val="334155"/>
          <w:sz w:val="19"/>
        </w:rPr>
        <w:t>Electricity Servicing</w:t>
      </w:r>
    </w:p>
    <w:p>
      <w:pPr>
        <w:spacing w:before="40" w:after="80" w:line="276" w:lineRule="auto"/>
      </w:pPr>
      <w:r>
        <w:rPr>
          <w:color w:val="334155"/>
          <w:sz w:val="19"/>
        </w:rPr>
        <w:t>Electricity is a major enabling service for the Precinct. The site has access to multiple voltage levels (11 kV</w:t>
      </w:r>
    </w:p>
    <w:p>
      <w:pPr>
        <w:spacing w:before="40" w:after="80" w:line="276" w:lineRule="auto"/>
      </w:pPr>
      <w:r>
        <w:rPr>
          <w:color w:val="334155"/>
          <w:sz w:val="19"/>
        </w:rPr>
        <w:t>to 330 kV) and is located near key infrastructure including Newcastle BSP and Argenton Zone Substation.</w:t>
      </w:r>
    </w:p>
    <w:p>
      <w:pPr>
        <w:spacing w:before="40" w:after="80" w:line="276" w:lineRule="auto"/>
      </w:pPr>
      <w:r>
        <w:rPr>
          <w:color w:val="334155"/>
          <w:sz w:val="19"/>
        </w:rPr>
        <w:t>Available capacity includes ~30 MVA at the 11 kV level and up to ~400 MW at the 132 kV network level,</w:t>
      </w:r>
    </w:p>
    <w:p>
      <w:pPr>
        <w:spacing w:before="40" w:after="80" w:line="276" w:lineRule="auto"/>
      </w:pPr>
      <w:r>
        <w:rPr>
          <w:color w:val="334155"/>
          <w:sz w:val="19"/>
        </w:rPr>
        <w:t>providing significant long-term supply potential.</w:t>
      </w:r>
    </w:p>
    <w:p>
      <w:pPr>
        <w:spacing w:before="40" w:after="80" w:line="276" w:lineRule="auto"/>
      </w:pPr>
      <w:r>
        <w:rPr>
          <w:color w:val="334155"/>
          <w:sz w:val="19"/>
        </w:rPr>
        <w:t>Total precinct demand is estimated at ~104 MVA (low case) to ~190 MVA (high case), which can be</w:t>
      </w:r>
    </w:p>
    <w:p>
      <w:pPr>
        <w:spacing w:before="40" w:after="80" w:line="276" w:lineRule="auto"/>
      </w:pPr>
      <w:r>
        <w:rPr>
          <w:color w:val="334155"/>
          <w:sz w:val="19"/>
        </w:rPr>
        <w:t>staged progressively through feeder upgrades, substation augmentation, and potential new zone</w:t>
      </w:r>
    </w:p>
    <w:p>
      <w:pPr>
        <w:spacing w:before="40" w:after="80" w:line="276" w:lineRule="auto"/>
      </w:pPr>
      <w:r>
        <w:rPr>
          <w:color w:val="334155"/>
          <w:sz w:val="19"/>
        </w:rPr>
        <w:t>substations.</w:t>
      </w:r>
    </w:p>
    <w:p>
      <w:pPr>
        <w:spacing w:before="40" w:after="80" w:line="276" w:lineRule="auto"/>
      </w:pPr>
      <w:r>
        <w:rPr>
          <w:color w:val="334155"/>
          <w:sz w:val="19"/>
        </w:rPr>
        <w:t>Key constraints relate to the need for staged augmentation and potential long-term land take for substations</w:t>
      </w:r>
    </w:p>
    <w:p>
      <w:pPr>
        <w:spacing w:before="40" w:after="80" w:line="276" w:lineRule="auto"/>
      </w:pPr>
      <w:r>
        <w:rPr>
          <w:color w:val="334155"/>
          <w:sz w:val="19"/>
        </w:rPr>
        <w:t>and transmission corridors. However, electricity also underpins a major opportunity to position the Precinct</w:t>
      </w:r>
    </w:p>
    <w:p>
      <w:pPr>
        <w:spacing w:before="40" w:after="80" w:line="276" w:lineRule="auto"/>
      </w:pPr>
      <w:r>
        <w:rPr>
          <w:color w:val="334155"/>
          <w:sz w:val="19"/>
        </w:rPr>
        <w:t>as a low-carbon industrial hub, supporting electrification of industry, renewable energy integration,</w:t>
      </w:r>
    </w:p>
    <w:p>
      <w:pPr>
        <w:spacing w:before="40" w:after="80" w:line="276" w:lineRule="auto"/>
      </w:pPr>
      <w:r>
        <w:rPr>
          <w:color w:val="334155"/>
          <w:sz w:val="19"/>
        </w:rPr>
        <w:t>microgrids and energy storage.</w:t>
      </w:r>
    </w:p>
    <w:p>
      <w:pPr>
        <w:spacing w:before="40" w:after="80" w:line="276" w:lineRule="auto"/>
      </w:pPr>
      <w:r>
        <w:rPr>
          <w:color w:val="334155"/>
          <w:sz w:val="19"/>
        </w:rPr>
        <w:t>`</w:t>
      </w:r>
    </w:p>
    <w:p>
      <w:pPr>
        <w:pStyle w:val="Heading3"/>
        <w:keepNext/>
        <w:spacing w:before="160" w:after="40"/>
      </w:pPr>
      <w:r>
        <w:rPr>
          <w:b/>
          <w:color w:val="334155"/>
        </w:rPr>
        <w:t>Utilities Report Page 4</w:t>
      </w:r>
    </w:p>
    <w:p>
      <w:pPr>
        <w:spacing w:before="40" w:after="80" w:line="276" w:lineRule="auto"/>
      </w:pPr>
      <w:r>
        <w:rPr>
          <w:color w:val="334155"/>
          <w:sz w:val="19"/>
        </w:rPr>
        <w:t>`</w:t>
      </w:r>
    </w:p>
    <w:p>
      <w:pPr>
        <w:spacing w:before="40" w:after="80" w:line="276" w:lineRule="auto"/>
      </w:pPr>
      <w:r>
        <w:rPr>
          <w:color w:val="334155"/>
          <w:sz w:val="19"/>
        </w:rPr>
        <w:t>Project number 531168-000  File Utilities Engineering Report - Clean.docx  2026-07-01  Revision B</w:t>
      </w:r>
    </w:p>
    <w:p>
      <w:pPr>
        <w:spacing w:before="40" w:after="80" w:line="276" w:lineRule="auto"/>
      </w:pPr>
      <w:r>
        <w:rPr>
          <w:color w:val="334155"/>
          <w:sz w:val="19"/>
        </w:rPr>
        <w:t>Gas and Energy Strategy</w:t>
      </w:r>
    </w:p>
    <w:p>
      <w:pPr>
        <w:spacing w:before="40" w:after="80" w:line="276" w:lineRule="auto"/>
      </w:pPr>
      <w:r>
        <w:rPr>
          <w:color w:val="334155"/>
          <w:sz w:val="19"/>
        </w:rPr>
        <w:t>There is currently no gas infrastructure within the Precinct, with the nearest connection point located at</w:t>
      </w:r>
    </w:p>
    <w:p>
      <w:pPr>
        <w:spacing w:before="40" w:after="80" w:line="276" w:lineRule="auto"/>
      </w:pPr>
      <w:r>
        <w:rPr>
          <w:color w:val="334155"/>
          <w:sz w:val="19"/>
        </w:rPr>
        <w:t>Racecourse Road and Blair Street. This limits feasibility for widespread gas reticulation, particularly in</w:t>
      </w:r>
    </w:p>
    <w:p>
      <w:pPr>
        <w:spacing w:before="40" w:after="80" w:line="276" w:lineRule="auto"/>
      </w:pPr>
      <w:r>
        <w:rPr>
          <w:color w:val="334155"/>
          <w:sz w:val="19"/>
        </w:rPr>
        <w:t>western areas where lead-in distances are significant.</w:t>
      </w:r>
    </w:p>
    <w:p>
      <w:pPr>
        <w:spacing w:before="40" w:after="80" w:line="276" w:lineRule="auto"/>
      </w:pPr>
      <w:r>
        <w:rPr>
          <w:color w:val="334155"/>
          <w:sz w:val="19"/>
        </w:rPr>
        <w:t>Rather than a constraint, this creates a strategic opportunity to minimise reliance on gas and prioritise</w:t>
      </w:r>
    </w:p>
    <w:p>
      <w:pPr>
        <w:spacing w:before="40" w:after="80" w:line="276" w:lineRule="auto"/>
      </w:pPr>
      <w:r>
        <w:rPr>
          <w:color w:val="334155"/>
          <w:sz w:val="19"/>
        </w:rPr>
        <w:t>electrification and alternative energy systems, including renewable generation, battery storage and</w:t>
      </w:r>
    </w:p>
    <w:p>
      <w:pPr>
        <w:spacing w:before="40" w:after="80" w:line="276" w:lineRule="auto"/>
      </w:pPr>
      <w:r>
        <w:rPr>
          <w:color w:val="334155"/>
          <w:sz w:val="19"/>
        </w:rPr>
        <w:t>emerging fuels such as hydrogen. Gas is therefore best treated as a targeted, case-by-case utility for</w:t>
      </w:r>
    </w:p>
    <w:p>
      <w:pPr>
        <w:spacing w:before="40" w:after="80" w:line="276" w:lineRule="auto"/>
      </w:pPr>
      <w:r>
        <w:rPr>
          <w:color w:val="334155"/>
          <w:sz w:val="19"/>
        </w:rPr>
        <w:t>specific users rather than a core servicing backbone.</w:t>
      </w:r>
    </w:p>
    <w:p>
      <w:pPr>
        <w:spacing w:before="40" w:after="80" w:line="276" w:lineRule="auto"/>
      </w:pPr>
      <w:r>
        <w:rPr>
          <w:color w:val="334155"/>
          <w:sz w:val="19"/>
        </w:rPr>
        <w:t>Telecommunications</w:t>
      </w:r>
    </w:p>
    <w:p>
      <w:pPr>
        <w:spacing w:before="40" w:after="80" w:line="276" w:lineRule="auto"/>
      </w:pPr>
      <w:r>
        <w:rPr>
          <w:color w:val="334155"/>
          <w:sz w:val="19"/>
        </w:rPr>
        <w:t>Telecommunications is not a fundamental constraint to development but requires staged delivery. Baseline</w:t>
      </w:r>
    </w:p>
    <w:p>
      <w:pPr>
        <w:spacing w:before="40" w:after="80" w:line="276" w:lineRule="auto"/>
      </w:pPr>
      <w:r>
        <w:rPr>
          <w:color w:val="334155"/>
          <w:sz w:val="19"/>
        </w:rPr>
        <w:t>mobile coverage is strong, and connections can be established from existing infrastructure at Powerhouse</w:t>
      </w:r>
    </w:p>
    <w:p>
      <w:pPr>
        <w:spacing w:before="40" w:after="80" w:line="276" w:lineRule="auto"/>
      </w:pPr>
      <w:r>
        <w:rPr>
          <w:color w:val="334155"/>
          <w:sz w:val="19"/>
        </w:rPr>
        <w:t>Road and The Broadway.</w:t>
      </w:r>
    </w:p>
    <w:p>
      <w:pPr>
        <w:spacing w:before="40" w:after="80" w:line="276" w:lineRule="auto"/>
      </w:pPr>
      <w:r>
        <w:rPr>
          <w:color w:val="334155"/>
          <w:sz w:val="19"/>
        </w:rPr>
        <w:t>Demand remains difficult to quantify at this stage, particularly given the potential for high-data users such as</w:t>
      </w:r>
    </w:p>
    <w:p>
      <w:pPr>
        <w:spacing w:before="40" w:after="80" w:line="276" w:lineRule="auto"/>
      </w:pPr>
      <w:r>
        <w:rPr>
          <w:color w:val="334155"/>
          <w:sz w:val="19"/>
        </w:rPr>
        <w:t>data centres. The servicing approach relies on a developer-led NBN model, with pit and pipe infrastructure</w:t>
      </w:r>
    </w:p>
    <w:p>
      <w:pPr>
        <w:spacing w:before="40" w:after="80" w:line="276" w:lineRule="auto"/>
      </w:pPr>
      <w:r>
        <w:rPr>
          <w:color w:val="334155"/>
          <w:sz w:val="19"/>
        </w:rPr>
        <w:t>delivered upfront and fibre rolled out incrementally.</w:t>
      </w:r>
    </w:p>
    <w:p>
      <w:pPr>
        <w:spacing w:before="40" w:after="80" w:line="276" w:lineRule="auto"/>
      </w:pPr>
      <w:r>
        <w:rPr>
          <w:color w:val="334155"/>
          <w:sz w:val="19"/>
        </w:rPr>
        <w:t>Opportunities exist to develop a high-quality digital precinct, with scalable fibre networks, redundancy, and</w:t>
      </w:r>
    </w:p>
    <w:p>
      <w:pPr>
        <w:spacing w:before="40" w:after="80" w:line="276" w:lineRule="auto"/>
      </w:pPr>
      <w:r>
        <w:rPr>
          <w:color w:val="334155"/>
          <w:sz w:val="19"/>
        </w:rPr>
        <w:t>integration of smart infrastructure. Additional mobile towers and bespoke connections for large data users</w:t>
      </w:r>
    </w:p>
    <w:p>
      <w:pPr>
        <w:spacing w:before="40" w:after="80" w:line="276" w:lineRule="auto"/>
      </w:pPr>
      <w:r>
        <w:rPr>
          <w:color w:val="334155"/>
          <w:sz w:val="19"/>
        </w:rPr>
        <w:t>may be required as demand grows.</w:t>
      </w:r>
    </w:p>
    <w:p>
      <w:pPr>
        <w:spacing w:before="40" w:after="80" w:line="276" w:lineRule="auto"/>
      </w:pPr>
      <w:r>
        <w:rPr>
          <w:color w:val="334155"/>
          <w:sz w:val="19"/>
        </w:rPr>
        <w:t>Key Cross-Cutting Constraint: Cockle Creek</w:t>
      </w:r>
    </w:p>
    <w:p>
      <w:pPr>
        <w:spacing w:before="40" w:after="80" w:line="276" w:lineRule="auto"/>
      </w:pPr>
      <w:r>
        <w:rPr>
          <w:color w:val="334155"/>
          <w:sz w:val="19"/>
        </w:rPr>
        <w:t>Cockle Creek represents a major physical and servicing constraint across the Precinct. The creek creates a</w:t>
      </w:r>
    </w:p>
    <w:p>
      <w:pPr>
        <w:spacing w:before="40" w:after="80" w:line="276" w:lineRule="auto"/>
      </w:pPr>
      <w:r>
        <w:rPr>
          <w:color w:val="334155"/>
          <w:sz w:val="19"/>
        </w:rPr>
        <w:t>barrier between the site and existing infrastructure networks, requiring new crossings for potable water,</w:t>
      </w:r>
    </w:p>
    <w:p>
      <w:pPr>
        <w:spacing w:before="40" w:after="80" w:line="276" w:lineRule="auto"/>
      </w:pPr>
      <w:r>
        <w:rPr>
          <w:color w:val="334155"/>
          <w:sz w:val="19"/>
        </w:rPr>
        <w:t>wastewater and other utilities.</w:t>
      </w:r>
    </w:p>
    <w:p>
      <w:pPr>
        <w:spacing w:before="40" w:after="80" w:line="276" w:lineRule="auto"/>
      </w:pPr>
      <w:r>
        <w:rPr>
          <w:color w:val="334155"/>
          <w:sz w:val="19"/>
        </w:rPr>
        <w:t>While feasible, these crossings introduce significant cost, delivery complexity and approval risk,</w:t>
      </w:r>
    </w:p>
    <w:p>
      <w:pPr>
        <w:spacing w:before="40" w:after="80" w:line="276" w:lineRule="auto"/>
      </w:pPr>
      <w:r>
        <w:rPr>
          <w:color w:val="334155"/>
          <w:sz w:val="19"/>
        </w:rPr>
        <w:t>particularly where trenchless methods are required. This constraint reinforces the importance of staged</w:t>
      </w:r>
    </w:p>
    <w:p>
      <w:pPr>
        <w:spacing w:before="40" w:after="80" w:line="276" w:lineRule="auto"/>
      </w:pPr>
      <w:r>
        <w:rPr>
          <w:color w:val="334155"/>
          <w:sz w:val="19"/>
        </w:rPr>
        <w:t>delivery and supports the case for decentralised servicing strategies, particularly in early development</w:t>
      </w:r>
    </w:p>
    <w:p>
      <w:pPr>
        <w:spacing w:before="40" w:after="80" w:line="276" w:lineRule="auto"/>
      </w:pPr>
      <w:r>
        <w:rPr>
          <w:color w:val="334155"/>
          <w:sz w:val="19"/>
        </w:rPr>
        <w:t>phases.</w:t>
      </w:r>
    </w:p>
    <w:p>
      <w:pPr>
        <w:spacing w:before="40" w:after="80" w:line="276" w:lineRule="auto"/>
      </w:pPr>
      <w:r>
        <w:rPr>
          <w:color w:val="334155"/>
          <w:sz w:val="19"/>
        </w:rPr>
        <w:t>Overall Conclusion</w:t>
      </w:r>
    </w:p>
    <w:p>
      <w:pPr>
        <w:spacing w:before="40" w:after="80" w:line="276" w:lineRule="auto"/>
      </w:pPr>
      <w:r>
        <w:rPr>
          <w:color w:val="334155"/>
          <w:sz w:val="19"/>
        </w:rPr>
        <w:t>The assessment confirms that the Precinct can be serviced through a combination of traditional</w:t>
      </w:r>
    </w:p>
    <w:p>
      <w:pPr>
        <w:spacing w:before="40" w:after="80" w:line="276" w:lineRule="auto"/>
      </w:pPr>
      <w:r>
        <w:rPr>
          <w:color w:val="334155"/>
          <w:sz w:val="19"/>
        </w:rPr>
        <w:t>infrastructure augmentation and staged delivery aligned with development uptake. While constraints such as</w:t>
      </w:r>
    </w:p>
    <w:p>
      <w:pPr>
        <w:spacing w:before="40" w:after="80" w:line="276" w:lineRule="auto"/>
      </w:pPr>
      <w:r>
        <w:rPr>
          <w:color w:val="334155"/>
          <w:sz w:val="19"/>
        </w:rPr>
        <w:t>wastewater capacity, legacy infrastructure and Cockle Creek present challenges, they are not prohibitive to</w:t>
      </w:r>
    </w:p>
    <w:p>
      <w:pPr>
        <w:spacing w:before="40" w:after="80" w:line="276" w:lineRule="auto"/>
      </w:pPr>
      <w:r>
        <w:rPr>
          <w:color w:val="334155"/>
          <w:sz w:val="19"/>
        </w:rPr>
        <w:t>development and instead provide a clear framework for infrastructure planning.</w:t>
      </w:r>
    </w:p>
    <w:p>
      <w:pPr>
        <w:spacing w:before="40" w:after="80" w:line="276" w:lineRule="auto"/>
      </w:pPr>
      <w:r>
        <w:rPr>
          <w:color w:val="334155"/>
          <w:sz w:val="19"/>
        </w:rPr>
        <w:t>Importantly, many of these constraints align with and reinforce the opportunity to adopt alternative</w:t>
      </w:r>
    </w:p>
    <w:p>
      <w:pPr>
        <w:spacing w:before="40" w:after="80" w:line="276" w:lineRule="auto"/>
      </w:pPr>
      <w:r>
        <w:rPr>
          <w:color w:val="334155"/>
          <w:sz w:val="19"/>
        </w:rPr>
        <w:t>servicing approaches, including decentralised water systems, electrification, renewable energy integration</w:t>
      </w:r>
    </w:p>
    <w:p>
      <w:pPr>
        <w:spacing w:before="40" w:after="80" w:line="276" w:lineRule="auto"/>
      </w:pPr>
      <w:r>
        <w:rPr>
          <w:color w:val="334155"/>
          <w:sz w:val="19"/>
        </w:rPr>
        <w:t>and scalable telecommunications infrastructure.</w:t>
      </w:r>
    </w:p>
    <w:p>
      <w:pPr>
        <w:spacing w:before="40" w:after="80" w:line="276" w:lineRule="auto"/>
      </w:pPr>
      <w:r>
        <w:rPr>
          <w:color w:val="334155"/>
          <w:sz w:val="19"/>
        </w:rPr>
        <w:t>On this basis, the report demonstrates that a viable servicing pathway exists to support the proposed land</w:t>
      </w:r>
    </w:p>
    <w:p>
      <w:pPr>
        <w:spacing w:before="40" w:after="80" w:line="276" w:lineRule="auto"/>
      </w:pPr>
      <w:r>
        <w:rPr>
          <w:color w:val="334155"/>
          <w:sz w:val="19"/>
        </w:rPr>
        <w:t>uses and confirms that the Precinct is suitable for rezoning, with sufficient flexibility to accommodate both</w:t>
      </w:r>
    </w:p>
    <w:p>
      <w:pPr>
        <w:spacing w:before="40" w:after="80" w:line="276" w:lineRule="auto"/>
      </w:pPr>
      <w:r>
        <w:rPr>
          <w:color w:val="334155"/>
          <w:sz w:val="19"/>
        </w:rPr>
        <w:t>conventional and innovative infrastructure solutions as development evolves.</w:t>
      </w:r>
    </w:p>
    <w:p>
      <w:pPr>
        <w:spacing w:before="40" w:after="80" w:line="276" w:lineRule="auto"/>
      </w:pPr>
      <w:r>
        <w:rPr>
          <w:color w:val="334155"/>
          <w:sz w:val="19"/>
        </w:rPr>
        <w:t>`</w:t>
      </w:r>
    </w:p>
    <w:p>
      <w:pPr>
        <w:pStyle w:val="Heading3"/>
        <w:keepNext/>
        <w:spacing w:before="160" w:after="40"/>
      </w:pPr>
      <w:r>
        <w:rPr>
          <w:b/>
          <w:color w:val="334155"/>
        </w:rPr>
        <w:t>Utilities Report Page 5</w:t>
      </w:r>
    </w:p>
    <w:p>
      <w:pPr>
        <w:spacing w:before="40" w:after="80" w:line="276" w:lineRule="auto"/>
      </w:pPr>
      <w:r>
        <w:rPr>
          <w:color w:val="334155"/>
          <w:sz w:val="19"/>
        </w:rPr>
        <w:t>`</w:t>
      </w:r>
    </w:p>
    <w:p>
      <w:pPr>
        <w:spacing w:before="40" w:after="80" w:line="276" w:lineRule="auto"/>
      </w:pPr>
      <w:r>
        <w:rPr>
          <w:color w:val="334155"/>
          <w:sz w:val="19"/>
        </w:rPr>
        <w:t>Contents</w:t>
      </w:r>
    </w:p>
    <w:p>
      <w:pPr>
        <w:spacing w:before="40" w:after="80" w:line="276" w:lineRule="auto"/>
      </w:pPr>
      <w:r>
        <w:rPr>
          <w:color w:val="334155"/>
          <w:sz w:val="19"/>
        </w:rPr>
        <w:t>Executive summary ........................................................................................................................................... i</w:t>
      </w:r>
    </w:p>
    <w:p>
      <w:pPr>
        <w:spacing w:before="40" w:after="80" w:line="276" w:lineRule="auto"/>
      </w:pPr>
      <w:r>
        <w:rPr>
          <w:color w:val="334155"/>
          <w:sz w:val="19"/>
        </w:rPr>
        <w:t>1 Introduction .................................................................................................................................................. 1</w:t>
      </w:r>
    </w:p>
    <w:p>
      <w:pPr>
        <w:spacing w:before="40" w:after="80" w:line="276" w:lineRule="auto"/>
      </w:pPr>
      <w:r>
        <w:rPr>
          <w:color w:val="334155"/>
          <w:sz w:val="19"/>
        </w:rPr>
        <w:t>1.1</w:t>
      </w:r>
    </w:p>
    <w:p>
      <w:pPr>
        <w:spacing w:before="40" w:after="80" w:line="276" w:lineRule="auto"/>
      </w:pPr>
      <w:r>
        <w:rPr>
          <w:color w:val="334155"/>
          <w:sz w:val="19"/>
        </w:rPr>
        <w:t>Purpose of this report ............................................................................................................... 2</w:t>
      </w:r>
    </w:p>
    <w:p>
      <w:pPr>
        <w:spacing w:before="40" w:after="80" w:line="276" w:lineRule="auto"/>
      </w:pPr>
      <w:r>
        <w:rPr>
          <w:color w:val="334155"/>
          <w:sz w:val="19"/>
        </w:rPr>
        <w:t>1.2</w:t>
      </w:r>
    </w:p>
    <w:p>
      <w:pPr>
        <w:spacing w:before="40" w:after="80" w:line="276" w:lineRule="auto"/>
      </w:pPr>
      <w:r>
        <w:rPr>
          <w:color w:val="334155"/>
          <w:sz w:val="19"/>
        </w:rPr>
        <w:t>Methodology ............................................................................................................................. 2</w:t>
      </w:r>
    </w:p>
    <w:p>
      <w:pPr>
        <w:spacing w:before="40" w:after="80" w:line="276" w:lineRule="auto"/>
      </w:pPr>
      <w:r>
        <w:rPr>
          <w:color w:val="334155"/>
          <w:sz w:val="19"/>
        </w:rPr>
        <w:t>1.3</w:t>
      </w:r>
    </w:p>
    <w:p>
      <w:pPr>
        <w:spacing w:before="40" w:after="80" w:line="276" w:lineRule="auto"/>
      </w:pPr>
      <w:r>
        <w:rPr>
          <w:color w:val="334155"/>
          <w:sz w:val="19"/>
        </w:rPr>
        <w:t>Level of detail and exclusions .................................................................................................. 2</w:t>
      </w:r>
    </w:p>
    <w:p>
      <w:pPr>
        <w:spacing w:before="40" w:after="80" w:line="276" w:lineRule="auto"/>
      </w:pPr>
      <w:r>
        <w:rPr>
          <w:color w:val="334155"/>
          <w:sz w:val="19"/>
        </w:rPr>
        <w:t>1.4</w:t>
      </w:r>
    </w:p>
    <w:p>
      <w:pPr>
        <w:spacing w:before="40" w:after="80" w:line="276" w:lineRule="auto"/>
      </w:pPr>
      <w:r>
        <w:rPr>
          <w:color w:val="334155"/>
          <w:sz w:val="19"/>
        </w:rPr>
        <w:t>Reliance on data and information ............................................................................................. 3</w:t>
      </w:r>
    </w:p>
    <w:p>
      <w:pPr>
        <w:spacing w:before="40" w:after="80" w:line="276" w:lineRule="auto"/>
      </w:pPr>
      <w:r>
        <w:rPr>
          <w:color w:val="334155"/>
          <w:sz w:val="19"/>
        </w:rPr>
        <w:t>2 Baseline analysis ........................................................................................................................................ 4</w:t>
      </w:r>
    </w:p>
    <w:p>
      <w:pPr>
        <w:spacing w:before="40" w:after="80" w:line="276" w:lineRule="auto"/>
      </w:pPr>
      <w:r>
        <w:rPr>
          <w:color w:val="334155"/>
          <w:sz w:val="19"/>
        </w:rPr>
        <w:t>2.1</w:t>
      </w:r>
    </w:p>
    <w:p>
      <w:pPr>
        <w:spacing w:before="40" w:after="80" w:line="276" w:lineRule="auto"/>
      </w:pPr>
      <w:r>
        <w:rPr>
          <w:color w:val="334155"/>
          <w:sz w:val="19"/>
        </w:rPr>
        <w:t>Water and wastewater systems ............................................................................................... 4</w:t>
      </w:r>
    </w:p>
    <w:p>
      <w:pPr>
        <w:spacing w:before="40" w:after="80" w:line="276" w:lineRule="auto"/>
      </w:pPr>
      <w:r>
        <w:rPr>
          <w:color w:val="334155"/>
          <w:sz w:val="19"/>
        </w:rPr>
        <w:t>2.1.1</w:t>
      </w:r>
    </w:p>
    <w:p>
      <w:pPr>
        <w:spacing w:before="40" w:after="80" w:line="276" w:lineRule="auto"/>
      </w:pPr>
      <w:r>
        <w:rPr>
          <w:color w:val="334155"/>
          <w:sz w:val="19"/>
        </w:rPr>
        <w:t>Potable water ............................................................................................................. 4</w:t>
      </w:r>
    </w:p>
    <w:p>
      <w:pPr>
        <w:spacing w:before="40" w:after="80" w:line="276" w:lineRule="auto"/>
      </w:pPr>
      <w:r>
        <w:rPr>
          <w:color w:val="334155"/>
          <w:sz w:val="19"/>
        </w:rPr>
        <w:t>2.1.2</w:t>
      </w:r>
    </w:p>
    <w:p>
      <w:pPr>
        <w:spacing w:before="40" w:after="80" w:line="276" w:lineRule="auto"/>
      </w:pPr>
      <w:r>
        <w:rPr>
          <w:color w:val="334155"/>
          <w:sz w:val="19"/>
        </w:rPr>
        <w:t>Wastewater .............................................................................................................. 10</w:t>
      </w:r>
    </w:p>
    <w:p>
      <w:pPr>
        <w:spacing w:before="40" w:after="80" w:line="276" w:lineRule="auto"/>
      </w:pPr>
      <w:r>
        <w:rPr>
          <w:color w:val="334155"/>
          <w:sz w:val="19"/>
        </w:rPr>
        <w:t>2.2</w:t>
      </w:r>
    </w:p>
    <w:p>
      <w:pPr>
        <w:spacing w:before="40" w:after="80" w:line="276" w:lineRule="auto"/>
      </w:pPr>
      <w:r>
        <w:rPr>
          <w:color w:val="334155"/>
          <w:sz w:val="19"/>
        </w:rPr>
        <w:t>Electricity ................................................................................................................................ 14</w:t>
      </w:r>
    </w:p>
    <w:p>
      <w:pPr>
        <w:spacing w:before="40" w:after="80" w:line="276" w:lineRule="auto"/>
      </w:pPr>
      <w:r>
        <w:rPr>
          <w:color w:val="334155"/>
          <w:sz w:val="19"/>
        </w:rPr>
        <w:t>2.3</w:t>
      </w:r>
    </w:p>
    <w:p>
      <w:pPr>
        <w:spacing w:before="40" w:after="80" w:line="276" w:lineRule="auto"/>
      </w:pPr>
      <w:r>
        <w:rPr>
          <w:color w:val="334155"/>
          <w:sz w:val="19"/>
        </w:rPr>
        <w:t>Waste management ............................................................................................................... 15</w:t>
      </w:r>
    </w:p>
    <w:p>
      <w:pPr>
        <w:spacing w:before="40" w:after="80" w:line="276" w:lineRule="auto"/>
      </w:pPr>
      <w:r>
        <w:rPr>
          <w:color w:val="334155"/>
          <w:sz w:val="19"/>
        </w:rPr>
        <w:t>2.4</w:t>
      </w:r>
    </w:p>
    <w:p>
      <w:pPr>
        <w:spacing w:before="40" w:after="80" w:line="276" w:lineRule="auto"/>
      </w:pPr>
      <w:r>
        <w:rPr>
          <w:color w:val="334155"/>
          <w:sz w:val="19"/>
        </w:rPr>
        <w:t>Telecommunications, internet and gas ................................................................................... 16</w:t>
      </w:r>
    </w:p>
    <w:p>
      <w:pPr>
        <w:spacing w:before="40" w:after="80" w:line="276" w:lineRule="auto"/>
      </w:pPr>
      <w:r>
        <w:rPr>
          <w:color w:val="334155"/>
          <w:sz w:val="19"/>
        </w:rPr>
        <w:t>2.4.1</w:t>
      </w:r>
    </w:p>
    <w:p>
      <w:pPr>
        <w:spacing w:before="40" w:after="80" w:line="276" w:lineRule="auto"/>
      </w:pPr>
      <w:r>
        <w:rPr>
          <w:color w:val="334155"/>
          <w:sz w:val="19"/>
        </w:rPr>
        <w:t>Gas (Jemena) .......................................................................................................... 17</w:t>
      </w:r>
    </w:p>
    <w:p>
      <w:pPr>
        <w:spacing w:before="40" w:after="80" w:line="276" w:lineRule="auto"/>
      </w:pPr>
      <w:r>
        <w:rPr>
          <w:color w:val="334155"/>
          <w:sz w:val="19"/>
        </w:rPr>
        <w:t>2.4.2</w:t>
      </w:r>
    </w:p>
    <w:p>
      <w:pPr>
        <w:spacing w:before="40" w:after="80" w:line="276" w:lineRule="auto"/>
      </w:pPr>
      <w:r>
        <w:rPr>
          <w:color w:val="334155"/>
          <w:sz w:val="19"/>
        </w:rPr>
        <w:t>Fuel (Ampol) ............................................................................................................ 18</w:t>
      </w:r>
    </w:p>
    <w:p>
      <w:pPr>
        <w:spacing w:before="40" w:after="80" w:line="276" w:lineRule="auto"/>
      </w:pPr>
      <w:r>
        <w:rPr>
          <w:color w:val="334155"/>
          <w:sz w:val="19"/>
        </w:rPr>
        <w:t>2.4.3</w:t>
      </w:r>
    </w:p>
    <w:p>
      <w:pPr>
        <w:spacing w:before="40" w:after="80" w:line="276" w:lineRule="auto"/>
      </w:pPr>
      <w:r>
        <w:rPr>
          <w:color w:val="334155"/>
          <w:sz w:val="19"/>
        </w:rPr>
        <w:t>Telecommunications ................................................................................................ 20</w:t>
      </w:r>
    </w:p>
    <w:p>
      <w:pPr>
        <w:spacing w:before="40" w:after="80" w:line="276" w:lineRule="auto"/>
      </w:pPr>
      <w:r>
        <w:rPr>
          <w:color w:val="334155"/>
          <w:sz w:val="19"/>
        </w:rPr>
        <w:t>3 Precinct Master Plan Assessment ........................................................................................................... 23</w:t>
      </w:r>
    </w:p>
    <w:p>
      <w:pPr>
        <w:spacing w:before="40" w:after="80" w:line="276" w:lineRule="auto"/>
      </w:pPr>
      <w:r>
        <w:rPr>
          <w:color w:val="334155"/>
          <w:sz w:val="19"/>
        </w:rPr>
        <w:t>3.1</w:t>
      </w:r>
    </w:p>
    <w:p>
      <w:pPr>
        <w:spacing w:before="40" w:after="80" w:line="276" w:lineRule="auto"/>
      </w:pPr>
      <w:r>
        <w:rPr>
          <w:color w:val="334155"/>
          <w:sz w:val="19"/>
        </w:rPr>
        <w:t>Proposed Structure Plan Land Use Assumptions .................................................................. 23</w:t>
      </w:r>
    </w:p>
    <w:p>
      <w:pPr>
        <w:spacing w:before="40" w:after="80" w:line="276" w:lineRule="auto"/>
      </w:pPr>
      <w:r>
        <w:rPr>
          <w:color w:val="334155"/>
          <w:sz w:val="19"/>
        </w:rPr>
        <w:t>3.2</w:t>
      </w:r>
    </w:p>
    <w:p>
      <w:pPr>
        <w:spacing w:before="40" w:after="80" w:line="276" w:lineRule="auto"/>
      </w:pPr>
      <w:r>
        <w:rPr>
          <w:color w:val="334155"/>
          <w:sz w:val="19"/>
        </w:rPr>
        <w:t>Water servicing strategy ......................................................................................................... 24</w:t>
      </w:r>
    </w:p>
    <w:p>
      <w:pPr>
        <w:spacing w:before="40" w:after="80" w:line="276" w:lineRule="auto"/>
      </w:pPr>
      <w:r>
        <w:rPr>
          <w:color w:val="334155"/>
          <w:sz w:val="19"/>
        </w:rPr>
        <w:t>3.2.1</w:t>
      </w:r>
    </w:p>
    <w:p>
      <w:pPr>
        <w:spacing w:before="40" w:after="80" w:line="276" w:lineRule="auto"/>
      </w:pPr>
      <w:r>
        <w:rPr>
          <w:color w:val="334155"/>
          <w:sz w:val="19"/>
        </w:rPr>
        <w:t>Demand Assessment .............................................................................................. 24</w:t>
      </w:r>
    </w:p>
    <w:p>
      <w:pPr>
        <w:spacing w:before="40" w:after="80" w:line="276" w:lineRule="auto"/>
      </w:pPr>
      <w:r>
        <w:rPr>
          <w:color w:val="334155"/>
          <w:sz w:val="19"/>
        </w:rPr>
        <w:t>3.2.2</w:t>
      </w:r>
    </w:p>
    <w:p>
      <w:pPr>
        <w:spacing w:before="40" w:after="80" w:line="276" w:lineRule="auto"/>
      </w:pPr>
      <w:r>
        <w:rPr>
          <w:color w:val="334155"/>
          <w:sz w:val="19"/>
        </w:rPr>
        <w:t>Proposed Infrastructure ........................................................................................... 27</w:t>
      </w:r>
    </w:p>
    <w:p>
      <w:pPr>
        <w:spacing w:before="40" w:after="80" w:line="276" w:lineRule="auto"/>
      </w:pPr>
      <w:r>
        <w:rPr>
          <w:color w:val="334155"/>
          <w:sz w:val="19"/>
        </w:rPr>
        <w:t>3.2.3</w:t>
      </w:r>
    </w:p>
    <w:p>
      <w:pPr>
        <w:spacing w:before="40" w:after="80" w:line="276" w:lineRule="auto"/>
      </w:pPr>
      <w:r>
        <w:rPr>
          <w:color w:val="334155"/>
          <w:sz w:val="19"/>
        </w:rPr>
        <w:t>Infrastructure Staging .............................................................................................. 33</w:t>
      </w:r>
    </w:p>
    <w:p>
      <w:pPr>
        <w:spacing w:before="40" w:after="80" w:line="276" w:lineRule="auto"/>
      </w:pPr>
      <w:r>
        <w:rPr>
          <w:color w:val="334155"/>
          <w:sz w:val="19"/>
        </w:rPr>
        <w:t>3.2.4</w:t>
      </w:r>
    </w:p>
    <w:p>
      <w:pPr>
        <w:spacing w:before="40" w:after="80" w:line="276" w:lineRule="auto"/>
      </w:pPr>
      <w:r>
        <w:rPr>
          <w:color w:val="334155"/>
          <w:sz w:val="19"/>
        </w:rPr>
        <w:t>SWOT Analysis ....................................................................................................... 34</w:t>
      </w:r>
    </w:p>
    <w:p>
      <w:pPr>
        <w:spacing w:before="40" w:after="80" w:line="276" w:lineRule="auto"/>
      </w:pPr>
      <w:r>
        <w:rPr>
          <w:color w:val="334155"/>
          <w:sz w:val="19"/>
        </w:rPr>
        <w:t>3.2.5</w:t>
      </w:r>
    </w:p>
    <w:p>
      <w:pPr>
        <w:spacing w:before="40" w:after="80" w:line="276" w:lineRule="auto"/>
      </w:pPr>
      <w:r>
        <w:rPr>
          <w:color w:val="334155"/>
          <w:sz w:val="19"/>
        </w:rPr>
        <w:t>Planning and Approval Framework and Control Recommendations ...................... 35</w:t>
      </w:r>
    </w:p>
    <w:p>
      <w:pPr>
        <w:spacing w:before="40" w:after="80" w:line="276" w:lineRule="auto"/>
      </w:pPr>
      <w:r>
        <w:rPr>
          <w:color w:val="334155"/>
          <w:sz w:val="19"/>
        </w:rPr>
        <w:t>3.3</w:t>
      </w:r>
    </w:p>
    <w:p>
      <w:pPr>
        <w:spacing w:before="40" w:after="80" w:line="276" w:lineRule="auto"/>
      </w:pPr>
      <w:r>
        <w:rPr>
          <w:color w:val="334155"/>
          <w:sz w:val="19"/>
        </w:rPr>
        <w:t>Wastewater Servicing Strategy .............................................................................................. 36</w:t>
      </w:r>
    </w:p>
    <w:p>
      <w:pPr>
        <w:spacing w:before="40" w:after="80" w:line="276" w:lineRule="auto"/>
      </w:pPr>
      <w:r>
        <w:rPr>
          <w:color w:val="334155"/>
          <w:sz w:val="19"/>
        </w:rPr>
        <w:t>3.3.1</w:t>
      </w:r>
    </w:p>
    <w:p>
      <w:pPr>
        <w:spacing w:before="40" w:after="80" w:line="276" w:lineRule="auto"/>
      </w:pPr>
      <w:r>
        <w:rPr>
          <w:color w:val="334155"/>
          <w:sz w:val="19"/>
        </w:rPr>
        <w:t>Load Assessment .................................................................................................... 36</w:t>
      </w:r>
    </w:p>
    <w:p>
      <w:pPr>
        <w:spacing w:before="40" w:after="80" w:line="276" w:lineRule="auto"/>
      </w:pPr>
      <w:r>
        <w:rPr>
          <w:color w:val="334155"/>
          <w:sz w:val="19"/>
        </w:rPr>
        <w:t>3.3.2</w:t>
      </w:r>
    </w:p>
    <w:p>
      <w:pPr>
        <w:spacing w:before="40" w:after="80" w:line="276" w:lineRule="auto"/>
      </w:pPr>
      <w:r>
        <w:rPr>
          <w:color w:val="334155"/>
          <w:sz w:val="19"/>
        </w:rPr>
        <w:t>Proposed Infrastructure ........................................................................................... 38</w:t>
      </w:r>
    </w:p>
    <w:p>
      <w:pPr>
        <w:spacing w:before="40" w:after="80" w:line="276" w:lineRule="auto"/>
      </w:pPr>
      <w:r>
        <w:rPr>
          <w:color w:val="334155"/>
          <w:sz w:val="19"/>
        </w:rPr>
        <w:t>3.3.3</w:t>
      </w:r>
    </w:p>
    <w:p>
      <w:pPr>
        <w:spacing w:before="40" w:after="80" w:line="276" w:lineRule="auto"/>
      </w:pPr>
      <w:r>
        <w:rPr>
          <w:color w:val="334155"/>
          <w:sz w:val="19"/>
        </w:rPr>
        <w:t>Infrastructure Staging .............................................................................................. 45</w:t>
      </w:r>
    </w:p>
    <w:p>
      <w:pPr>
        <w:spacing w:before="40" w:after="80" w:line="276" w:lineRule="auto"/>
      </w:pPr>
      <w:r>
        <w:rPr>
          <w:color w:val="334155"/>
          <w:sz w:val="19"/>
        </w:rPr>
        <w:t>3.3.4</w:t>
      </w:r>
    </w:p>
    <w:p>
      <w:pPr>
        <w:spacing w:before="40" w:after="80" w:line="276" w:lineRule="auto"/>
      </w:pPr>
      <w:r>
        <w:rPr>
          <w:color w:val="334155"/>
          <w:sz w:val="19"/>
        </w:rPr>
        <w:t>SWOT Analysis ....................................................................................................... 46</w:t>
      </w:r>
    </w:p>
    <w:p>
      <w:pPr>
        <w:spacing w:before="40" w:after="80" w:line="276" w:lineRule="auto"/>
      </w:pPr>
      <w:r>
        <w:rPr>
          <w:color w:val="334155"/>
          <w:sz w:val="19"/>
        </w:rPr>
        <w:t>3.3.5</w:t>
      </w:r>
    </w:p>
    <w:p>
      <w:pPr>
        <w:spacing w:before="40" w:after="80" w:line="276" w:lineRule="auto"/>
      </w:pPr>
      <w:r>
        <w:rPr>
          <w:color w:val="334155"/>
          <w:sz w:val="19"/>
        </w:rPr>
        <w:t>Planning and Approval Framework and Control Recommendations ...................... 47</w:t>
      </w:r>
    </w:p>
    <w:p>
      <w:pPr>
        <w:spacing w:before="40" w:after="80" w:line="276" w:lineRule="auto"/>
      </w:pPr>
      <w:r>
        <w:rPr>
          <w:color w:val="334155"/>
          <w:sz w:val="19"/>
        </w:rPr>
        <w:t>3.4</w:t>
      </w:r>
    </w:p>
    <w:p>
      <w:pPr>
        <w:spacing w:before="40" w:after="80" w:line="276" w:lineRule="auto"/>
      </w:pPr>
      <w:r>
        <w:rPr>
          <w:color w:val="334155"/>
          <w:sz w:val="19"/>
        </w:rPr>
        <w:t>Electricity Servicing Strategy .................................................................................................. 47</w:t>
      </w:r>
    </w:p>
    <w:p>
      <w:pPr>
        <w:spacing w:before="40" w:after="80" w:line="276" w:lineRule="auto"/>
      </w:pPr>
      <w:r>
        <w:rPr>
          <w:color w:val="334155"/>
          <w:sz w:val="19"/>
        </w:rPr>
        <w:t>3.4.1</w:t>
      </w:r>
    </w:p>
    <w:p>
      <w:pPr>
        <w:spacing w:before="40" w:after="80" w:line="276" w:lineRule="auto"/>
      </w:pPr>
      <w:r>
        <w:rPr>
          <w:color w:val="334155"/>
          <w:sz w:val="19"/>
        </w:rPr>
        <w:t>Demand Assessment .............................................................................................. 48</w:t>
      </w:r>
    </w:p>
    <w:p>
      <w:pPr>
        <w:spacing w:before="40" w:after="80" w:line="276" w:lineRule="auto"/>
      </w:pPr>
      <w:r>
        <w:rPr>
          <w:color w:val="334155"/>
          <w:sz w:val="19"/>
        </w:rPr>
        <w:t>3.4.2</w:t>
      </w:r>
    </w:p>
    <w:p>
      <w:pPr>
        <w:spacing w:before="40" w:after="80" w:line="276" w:lineRule="auto"/>
      </w:pPr>
      <w:r>
        <w:rPr>
          <w:color w:val="334155"/>
          <w:sz w:val="19"/>
        </w:rPr>
        <w:t>Residual Capacity of the Existing Infrastructure ..................................................... 50</w:t>
      </w:r>
    </w:p>
    <w:p>
      <w:pPr>
        <w:spacing w:before="40" w:after="80" w:line="276" w:lineRule="auto"/>
      </w:pPr>
      <w:r>
        <w:rPr>
          <w:color w:val="334155"/>
          <w:sz w:val="19"/>
        </w:rPr>
        <w:t>3.4.3</w:t>
      </w:r>
    </w:p>
    <w:p>
      <w:pPr>
        <w:spacing w:before="40" w:after="80" w:line="276" w:lineRule="auto"/>
      </w:pPr>
      <w:r>
        <w:rPr>
          <w:color w:val="334155"/>
          <w:sz w:val="19"/>
        </w:rPr>
        <w:t>Proposed Infrastructure and Staging ....................................................................... 51</w:t>
      </w:r>
    </w:p>
    <w:p>
      <w:pPr>
        <w:spacing w:before="40" w:after="80" w:line="276" w:lineRule="auto"/>
      </w:pPr>
      <w:r>
        <w:rPr>
          <w:color w:val="334155"/>
          <w:sz w:val="19"/>
        </w:rPr>
        <w:t>3.4.4</w:t>
      </w:r>
    </w:p>
    <w:p>
      <w:pPr>
        <w:spacing w:before="40" w:after="80" w:line="276" w:lineRule="auto"/>
      </w:pPr>
      <w:r>
        <w:rPr>
          <w:color w:val="334155"/>
          <w:sz w:val="19"/>
        </w:rPr>
        <w:t>Constraints and Opportunities ................................................................................. 54</w:t>
      </w:r>
    </w:p>
    <w:p>
      <w:pPr>
        <w:spacing w:before="40" w:after="80" w:line="276" w:lineRule="auto"/>
      </w:pPr>
      <w:r>
        <w:rPr>
          <w:color w:val="334155"/>
          <w:sz w:val="19"/>
        </w:rPr>
        <w:t>3.4.5</w:t>
      </w:r>
    </w:p>
    <w:p>
      <w:pPr>
        <w:spacing w:before="40" w:after="80" w:line="276" w:lineRule="auto"/>
      </w:pPr>
      <w:r>
        <w:rPr>
          <w:color w:val="334155"/>
          <w:sz w:val="19"/>
        </w:rPr>
        <w:t>Planning framework and control recommendations ................................................ 55</w:t>
      </w:r>
    </w:p>
    <w:p>
      <w:pPr>
        <w:spacing w:before="40" w:after="80" w:line="276" w:lineRule="auto"/>
      </w:pPr>
      <w:r>
        <w:rPr>
          <w:color w:val="334155"/>
          <w:sz w:val="19"/>
        </w:rPr>
        <w:t>3.5</w:t>
      </w:r>
    </w:p>
    <w:p>
      <w:pPr>
        <w:spacing w:before="40" w:after="80" w:line="276" w:lineRule="auto"/>
      </w:pPr>
      <w:r>
        <w:rPr>
          <w:color w:val="334155"/>
          <w:sz w:val="19"/>
        </w:rPr>
        <w:t>Gas Servicing Strategy ........................................................................................................... 55</w:t>
      </w:r>
    </w:p>
    <w:p>
      <w:pPr>
        <w:spacing w:before="40" w:after="80" w:line="276" w:lineRule="auto"/>
      </w:pPr>
      <w:r>
        <w:rPr>
          <w:color w:val="334155"/>
          <w:sz w:val="19"/>
        </w:rPr>
        <w:t>3.5.1</w:t>
      </w:r>
    </w:p>
    <w:p>
      <w:pPr>
        <w:spacing w:before="40" w:after="80" w:line="276" w:lineRule="auto"/>
      </w:pPr>
      <w:r>
        <w:rPr>
          <w:color w:val="334155"/>
          <w:sz w:val="19"/>
        </w:rPr>
        <w:t>Demand Assessment .............................................................................................. 55</w:t>
      </w:r>
    </w:p>
    <w:p>
      <w:pPr>
        <w:spacing w:before="40" w:after="80" w:line="276" w:lineRule="auto"/>
      </w:pPr>
      <w:r>
        <w:rPr>
          <w:color w:val="334155"/>
          <w:sz w:val="19"/>
        </w:rPr>
        <w:t>3.5.2</w:t>
      </w:r>
    </w:p>
    <w:p>
      <w:pPr>
        <w:spacing w:before="40" w:after="80" w:line="276" w:lineRule="auto"/>
      </w:pPr>
      <w:r>
        <w:rPr>
          <w:color w:val="334155"/>
          <w:sz w:val="19"/>
        </w:rPr>
        <w:t>Proposed Infrastructure ........................................................................................... 55</w:t>
      </w:r>
    </w:p>
    <w:p>
      <w:pPr>
        <w:spacing w:before="40" w:after="80" w:line="276" w:lineRule="auto"/>
      </w:pPr>
      <w:r>
        <w:rPr>
          <w:color w:val="334155"/>
          <w:sz w:val="19"/>
        </w:rPr>
        <w:t>3.5.3</w:t>
      </w:r>
    </w:p>
    <w:p>
      <w:pPr>
        <w:spacing w:before="40" w:after="80" w:line="276" w:lineRule="auto"/>
      </w:pPr>
      <w:r>
        <w:rPr>
          <w:color w:val="334155"/>
          <w:sz w:val="19"/>
        </w:rPr>
        <w:t>Infrastructure Staging .............................................................................................. 56</w:t>
      </w:r>
    </w:p>
    <w:p>
      <w:pPr>
        <w:spacing w:before="40" w:after="80" w:line="276" w:lineRule="auto"/>
      </w:pPr>
      <w:r>
        <w:rPr>
          <w:color w:val="334155"/>
          <w:sz w:val="19"/>
        </w:rPr>
        <w:t>3.5.4</w:t>
      </w:r>
    </w:p>
    <w:p>
      <w:pPr>
        <w:spacing w:before="40" w:after="80" w:line="276" w:lineRule="auto"/>
      </w:pPr>
      <w:r>
        <w:rPr>
          <w:color w:val="334155"/>
          <w:sz w:val="19"/>
        </w:rPr>
        <w:t>SWOT Analysis ....................................................................................................... 56</w:t>
      </w:r>
    </w:p>
    <w:p>
      <w:pPr>
        <w:spacing w:before="40" w:after="80" w:line="276" w:lineRule="auto"/>
      </w:pPr>
      <w:r>
        <w:rPr>
          <w:color w:val="334155"/>
          <w:sz w:val="19"/>
        </w:rPr>
        <w:t>3.5.5</w:t>
      </w:r>
    </w:p>
    <w:p>
      <w:pPr>
        <w:spacing w:before="40" w:after="80" w:line="276" w:lineRule="auto"/>
      </w:pPr>
      <w:r>
        <w:rPr>
          <w:color w:val="334155"/>
          <w:sz w:val="19"/>
        </w:rPr>
        <w:t>Planning Framework and Control Recommendations ............................................. 57</w:t>
      </w:r>
    </w:p>
    <w:p>
      <w:pPr>
        <w:spacing w:before="40" w:after="80" w:line="276" w:lineRule="auto"/>
      </w:pPr>
      <w:r>
        <w:rPr>
          <w:color w:val="334155"/>
          <w:sz w:val="19"/>
        </w:rPr>
        <w:t>3.6</w:t>
      </w:r>
    </w:p>
    <w:p>
      <w:pPr>
        <w:spacing w:before="40" w:after="80" w:line="276" w:lineRule="auto"/>
      </w:pPr>
      <w:r>
        <w:rPr>
          <w:color w:val="334155"/>
          <w:sz w:val="19"/>
        </w:rPr>
        <w:t>Telecommunication Servicing Strategy .................................................................................. 57</w:t>
      </w:r>
    </w:p>
    <w:p>
      <w:pPr>
        <w:spacing w:before="40" w:after="80" w:line="276" w:lineRule="auto"/>
      </w:pPr>
      <w:r>
        <w:rPr>
          <w:color w:val="334155"/>
          <w:sz w:val="19"/>
        </w:rPr>
        <w:t>3.6.1</w:t>
      </w:r>
    </w:p>
    <w:p>
      <w:pPr>
        <w:spacing w:before="40" w:after="80" w:line="276" w:lineRule="auto"/>
      </w:pPr>
      <w:r>
        <w:rPr>
          <w:color w:val="334155"/>
          <w:sz w:val="19"/>
        </w:rPr>
        <w:t>Demand Assessment .............................................................................................. 57</w:t>
      </w:r>
    </w:p>
    <w:p>
      <w:pPr>
        <w:spacing w:before="40" w:after="80" w:line="276" w:lineRule="auto"/>
      </w:pPr>
      <w:r>
        <w:rPr>
          <w:color w:val="334155"/>
          <w:sz w:val="19"/>
        </w:rPr>
        <w:t>3.6.2</w:t>
      </w:r>
    </w:p>
    <w:p>
      <w:pPr>
        <w:spacing w:before="40" w:after="80" w:line="276" w:lineRule="auto"/>
      </w:pPr>
      <w:r>
        <w:rPr>
          <w:color w:val="334155"/>
          <w:sz w:val="19"/>
        </w:rPr>
        <w:t>Proposed Infrastructure ........................................................................................... 57</w:t>
      </w:r>
    </w:p>
    <w:p>
      <w:pPr>
        <w:spacing w:before="40" w:after="80" w:line="276" w:lineRule="auto"/>
      </w:pPr>
      <w:r>
        <w:rPr>
          <w:color w:val="334155"/>
          <w:sz w:val="19"/>
        </w:rPr>
        <w:t>3.6.3</w:t>
      </w:r>
    </w:p>
    <w:p>
      <w:pPr>
        <w:spacing w:before="40" w:after="80" w:line="276" w:lineRule="auto"/>
      </w:pPr>
      <w:r>
        <w:rPr>
          <w:color w:val="334155"/>
          <w:sz w:val="19"/>
        </w:rPr>
        <w:t>Infrastructure Staging .............................................................................................. 58</w:t>
      </w:r>
    </w:p>
    <w:p>
      <w:pPr>
        <w:spacing w:before="40" w:after="80" w:line="276" w:lineRule="auto"/>
      </w:pPr>
      <w:r>
        <w:rPr>
          <w:color w:val="334155"/>
          <w:sz w:val="19"/>
        </w:rPr>
        <w:t>3.6.4</w:t>
      </w:r>
    </w:p>
    <w:p>
      <w:pPr>
        <w:spacing w:before="40" w:after="80" w:line="276" w:lineRule="auto"/>
      </w:pPr>
      <w:r>
        <w:rPr>
          <w:color w:val="334155"/>
          <w:sz w:val="19"/>
        </w:rPr>
        <w:t>SWOT Analysis ....................................................................................................... 59</w:t>
      </w:r>
    </w:p>
    <w:p>
      <w:pPr>
        <w:spacing w:before="40" w:after="80" w:line="276" w:lineRule="auto"/>
      </w:pPr>
      <w:r>
        <w:rPr>
          <w:color w:val="334155"/>
          <w:sz w:val="19"/>
        </w:rPr>
        <w:t>3.6.5</w:t>
      </w:r>
    </w:p>
    <w:p>
      <w:pPr>
        <w:spacing w:before="40" w:after="80" w:line="276" w:lineRule="auto"/>
      </w:pPr>
      <w:r>
        <w:rPr>
          <w:color w:val="334155"/>
          <w:sz w:val="19"/>
        </w:rPr>
        <w:t>Planning Framework and Control Recommendations ............................................. 59</w:t>
      </w:r>
    </w:p>
    <w:p>
      <w:pPr>
        <w:spacing w:before="40" w:after="80" w:line="276" w:lineRule="auto"/>
      </w:pPr>
      <w:r>
        <w:rPr>
          <w:color w:val="334155"/>
          <w:sz w:val="19"/>
        </w:rPr>
        <w:t>`</w:t>
      </w:r>
    </w:p>
    <w:p>
      <w:pPr>
        <w:pStyle w:val="Heading3"/>
        <w:keepNext/>
        <w:spacing w:before="160" w:after="40"/>
      </w:pPr>
      <w:r>
        <w:rPr>
          <w:b/>
          <w:color w:val="334155"/>
        </w:rPr>
        <w:t>Utilities Report Page 6</w:t>
      </w:r>
    </w:p>
    <w:p>
      <w:pPr>
        <w:spacing w:before="40" w:after="80" w:line="276" w:lineRule="auto"/>
      </w:pPr>
      <w:r>
        <w:rPr>
          <w:color w:val="334155"/>
          <w:sz w:val="19"/>
        </w:rPr>
        <w:t>`</w:t>
      </w:r>
    </w:p>
    <w:p>
      <w:pPr>
        <w:spacing w:before="40" w:after="80" w:line="276" w:lineRule="auto"/>
      </w:pPr>
      <w:r>
        <w:rPr>
          <w:color w:val="334155"/>
          <w:sz w:val="19"/>
        </w:rPr>
        <w:t>3.7</w:t>
      </w:r>
    </w:p>
    <w:p>
      <w:pPr>
        <w:spacing w:before="40" w:after="80" w:line="276" w:lineRule="auto"/>
      </w:pPr>
      <w:r>
        <w:rPr>
          <w:color w:val="334155"/>
          <w:sz w:val="19"/>
        </w:rPr>
        <w:t>Waste Servicing Strategy ....................................................................................................... 61</w:t>
      </w:r>
    </w:p>
    <w:p>
      <w:pPr>
        <w:spacing w:before="40" w:after="80" w:line="276" w:lineRule="auto"/>
      </w:pPr>
      <w:r>
        <w:rPr>
          <w:color w:val="334155"/>
          <w:sz w:val="19"/>
        </w:rPr>
        <w:t>3.7.1</w:t>
      </w:r>
    </w:p>
    <w:p>
      <w:pPr>
        <w:spacing w:before="40" w:after="80" w:line="276" w:lineRule="auto"/>
      </w:pPr>
      <w:r>
        <w:rPr>
          <w:color w:val="334155"/>
          <w:sz w:val="19"/>
        </w:rPr>
        <w:t>Demand Assessment .............................................................................................. 61</w:t>
      </w:r>
    </w:p>
    <w:p>
      <w:pPr>
        <w:spacing w:before="40" w:after="80" w:line="276" w:lineRule="auto"/>
      </w:pPr>
      <w:r>
        <w:rPr>
          <w:color w:val="334155"/>
          <w:sz w:val="19"/>
        </w:rPr>
        <w:t>3.7.2</w:t>
      </w:r>
    </w:p>
    <w:p>
      <w:pPr>
        <w:spacing w:before="40" w:after="80" w:line="276" w:lineRule="auto"/>
      </w:pPr>
      <w:r>
        <w:rPr>
          <w:color w:val="334155"/>
          <w:sz w:val="19"/>
        </w:rPr>
        <w:t>Proposed Infrastructure ........................................................................................... 63</w:t>
      </w:r>
    </w:p>
    <w:p>
      <w:pPr>
        <w:spacing w:before="40" w:after="80" w:line="276" w:lineRule="auto"/>
      </w:pPr>
      <w:r>
        <w:rPr>
          <w:color w:val="334155"/>
          <w:sz w:val="19"/>
        </w:rPr>
        <w:t>3.7.3</w:t>
      </w:r>
    </w:p>
    <w:p>
      <w:pPr>
        <w:spacing w:before="40" w:after="80" w:line="276" w:lineRule="auto"/>
      </w:pPr>
      <w:r>
        <w:rPr>
          <w:color w:val="334155"/>
          <w:sz w:val="19"/>
        </w:rPr>
        <w:t>Constraints and Opportunities ................................................................................. 63</w:t>
      </w:r>
    </w:p>
    <w:p>
      <w:pPr>
        <w:spacing w:before="40" w:after="80" w:line="276" w:lineRule="auto"/>
      </w:pPr>
      <w:r>
        <w:rPr>
          <w:color w:val="334155"/>
          <w:sz w:val="19"/>
        </w:rPr>
        <w:t>3.7.4</w:t>
      </w:r>
    </w:p>
    <w:p>
      <w:pPr>
        <w:spacing w:before="40" w:after="80" w:line="276" w:lineRule="auto"/>
      </w:pPr>
      <w:r>
        <w:rPr>
          <w:color w:val="334155"/>
          <w:sz w:val="19"/>
        </w:rPr>
        <w:t>Planning Recommendations ................................................................................... 64</w:t>
      </w:r>
    </w:p>
    <w:p>
      <w:pPr>
        <w:spacing w:before="40" w:after="80" w:line="276" w:lineRule="auto"/>
      </w:pPr>
      <w:r>
        <w:rPr>
          <w:color w:val="334155"/>
          <w:sz w:val="19"/>
        </w:rPr>
        <w:t>4 Conclusion ................................................................................................................................................. 65</w:t>
      </w:r>
    </w:p>
    <w:p>
      <w:pPr>
        <w:spacing w:before="40" w:after="80" w:line="276" w:lineRule="auto"/>
      </w:pPr>
      <w:r>
        <w:rPr>
          <w:color w:val="334155"/>
          <w:sz w:val="19"/>
        </w:rPr>
        <w:t>Figures</w:t>
      </w:r>
    </w:p>
    <w:p>
      <w:pPr>
        <w:spacing w:before="40" w:after="80" w:line="276" w:lineRule="auto"/>
      </w:pPr>
      <w:r>
        <w:rPr>
          <w:color w:val="334155"/>
          <w:sz w:val="19"/>
        </w:rPr>
        <w:t>Figure 1-1 Precinct Site Boundary</w:t>
      </w:r>
    </w:p>
    <w:p>
      <w:pPr>
        <w:spacing w:before="40" w:after="80" w:line="276" w:lineRule="auto"/>
      </w:pPr>
      <w:r>
        <w:rPr>
          <w:color w:val="334155"/>
          <w:sz w:val="19"/>
        </w:rPr>
        <w:t>Figure 2-1 Hunter Water South Wallsend and West Lake Macquarie System (Hunter Water, 2024)</w:t>
      </w:r>
    </w:p>
    <w:p>
      <w:pPr>
        <w:spacing w:before="40" w:after="80" w:line="276" w:lineRule="auto"/>
      </w:pPr>
      <w:r>
        <w:rPr>
          <w:color w:val="334155"/>
          <w:sz w:val="19"/>
        </w:rPr>
        <w:t>Figure 2-2 Existing Hunter Water Potable Water Network</w:t>
      </w:r>
    </w:p>
    <w:p>
      <w:pPr>
        <w:spacing w:before="40" w:after="80" w:line="276" w:lineRule="auto"/>
      </w:pPr>
      <w:r>
        <w:rPr>
          <w:color w:val="334155"/>
          <w:sz w:val="19"/>
        </w:rPr>
        <w:t>Figure 2-3 Potable Water and Wastewater Areas of Investigation</w:t>
      </w:r>
    </w:p>
    <w:p>
      <w:pPr>
        <w:spacing w:before="40" w:after="80" w:line="276" w:lineRule="auto"/>
      </w:pPr>
      <w:r>
        <w:rPr>
          <w:color w:val="334155"/>
          <w:sz w:val="19"/>
        </w:rPr>
        <w:t>Figure 2-4 Existing Hunter Water Wastewater Network</w:t>
      </w:r>
    </w:p>
    <w:p>
      <w:pPr>
        <w:spacing w:before="40" w:after="80" w:line="276" w:lineRule="auto"/>
      </w:pPr>
      <w:r>
        <w:rPr>
          <w:color w:val="334155"/>
          <w:sz w:val="19"/>
        </w:rPr>
        <w:t>Figure 2-5 Locations of Existing Waste Infrastructure</w:t>
      </w:r>
    </w:p>
    <w:p>
      <w:pPr>
        <w:spacing w:before="40" w:after="80" w:line="276" w:lineRule="auto"/>
      </w:pPr>
      <w:r>
        <w:rPr>
          <w:color w:val="334155"/>
          <w:sz w:val="19"/>
        </w:rPr>
        <w:t>Figure 2-6 Jemena Newcastle Services Map (Jemena, 2023)</w:t>
      </w:r>
    </w:p>
    <w:p>
      <w:pPr>
        <w:spacing w:before="40" w:after="80" w:line="276" w:lineRule="auto"/>
      </w:pPr>
      <w:r>
        <w:rPr>
          <w:color w:val="334155"/>
          <w:sz w:val="19"/>
        </w:rPr>
        <w:t>Figure 2-7 AMPOL Fuel Pipeline (Geosciences Australia, 2026)</w:t>
      </w:r>
    </w:p>
    <w:p>
      <w:pPr>
        <w:spacing w:before="40" w:after="80" w:line="276" w:lineRule="auto"/>
      </w:pPr>
      <w:r>
        <w:rPr>
          <w:color w:val="334155"/>
          <w:sz w:val="19"/>
        </w:rPr>
        <w:t>Figure 2-8 ACMA Radio/Telecommunications Towers (ACMA, 2026)</w:t>
      </w:r>
    </w:p>
    <w:p>
      <w:pPr>
        <w:spacing w:before="40" w:after="80" w:line="276" w:lineRule="auto"/>
      </w:pPr>
      <w:r>
        <w:rPr>
          <w:color w:val="334155"/>
          <w:sz w:val="19"/>
        </w:rPr>
        <w:t>Figure 3-1 Precinct Structure Plan (25/06/2026)</w:t>
      </w:r>
    </w:p>
    <w:p>
      <w:pPr>
        <w:spacing w:before="40" w:after="80" w:line="276" w:lineRule="auto"/>
      </w:pPr>
      <w:r>
        <w:rPr>
          <w:color w:val="334155"/>
          <w:sz w:val="19"/>
        </w:rPr>
        <w:t>Figure 3-2 Eastern Precinct Proposed Potable Water Servicing Strategy and Pipe Sizing</w:t>
      </w:r>
    </w:p>
    <w:p>
      <w:pPr>
        <w:spacing w:before="40" w:after="80" w:line="276" w:lineRule="auto"/>
      </w:pPr>
      <w:r>
        <w:rPr>
          <w:color w:val="334155"/>
          <w:sz w:val="19"/>
        </w:rPr>
        <w:t>Figure 3-3 Western Precinct Option 1 Proposed Potable Water Servicing Strategy and Pipe Sizing</w:t>
      </w:r>
    </w:p>
    <w:p>
      <w:pPr>
        <w:spacing w:before="40" w:after="80" w:line="276" w:lineRule="auto"/>
      </w:pPr>
      <w:r>
        <w:rPr>
          <w:color w:val="334155"/>
          <w:sz w:val="19"/>
        </w:rPr>
        <w:t>Figure 3-4 Western Precinct Option 2 Proposed Potable Water Servicing Strategy and Pipe Sizing</w:t>
      </w:r>
    </w:p>
    <w:p>
      <w:pPr>
        <w:spacing w:before="40" w:after="80" w:line="276" w:lineRule="auto"/>
      </w:pPr>
      <w:r>
        <w:rPr>
          <w:color w:val="334155"/>
          <w:sz w:val="19"/>
        </w:rPr>
        <w:t>Figure 3-5 Teralba Southgate Proposed Potable Water Servicing Strategy and Pipe Sizing</w:t>
      </w:r>
    </w:p>
    <w:p>
      <w:pPr>
        <w:spacing w:before="40" w:after="80" w:line="276" w:lineRule="auto"/>
      </w:pPr>
      <w:r>
        <w:rPr>
          <w:color w:val="334155"/>
          <w:sz w:val="19"/>
        </w:rPr>
        <w:t>Figure 3-6 Proposed Potable Water Infrastructure Staging</w:t>
      </w:r>
    </w:p>
    <w:p>
      <w:pPr>
        <w:spacing w:before="40" w:after="80" w:line="276" w:lineRule="auto"/>
      </w:pPr>
      <w:r>
        <w:rPr>
          <w:color w:val="334155"/>
          <w:sz w:val="19"/>
        </w:rPr>
        <w:t>Figure 3-7 Eastern Precinct Proposed WastewaterServicing Strategy and Pipe Sizing</w:t>
      </w:r>
    </w:p>
    <w:p>
      <w:pPr>
        <w:spacing w:before="40" w:after="80" w:line="276" w:lineRule="auto"/>
      </w:pPr>
      <w:r>
        <w:rPr>
          <w:color w:val="334155"/>
          <w:sz w:val="19"/>
        </w:rPr>
        <w:t>Figure 3-8 North Western Precinct Proposed Wastewater Servicing Strategy and Pipe Sizing</w:t>
      </w:r>
    </w:p>
    <w:p>
      <w:pPr>
        <w:spacing w:before="40" w:after="80" w:line="276" w:lineRule="auto"/>
      </w:pPr>
      <w:r>
        <w:rPr>
          <w:color w:val="334155"/>
          <w:sz w:val="19"/>
        </w:rPr>
        <w:t>Figure 3-9 South Western Precinct Proposed Wastewater Servicing Strategy and Pipe Sizing</w:t>
      </w:r>
    </w:p>
    <w:p>
      <w:pPr>
        <w:spacing w:before="40" w:after="80" w:line="276" w:lineRule="auto"/>
      </w:pPr>
      <w:r>
        <w:rPr>
          <w:color w:val="334155"/>
          <w:sz w:val="19"/>
        </w:rPr>
        <w:t>Figure 3-10 Teralba Southgate Proposed Wastewater Servicing Strategy and Pipe Sizing</w:t>
      </w:r>
    </w:p>
    <w:p>
      <w:pPr>
        <w:spacing w:before="40" w:after="80" w:line="276" w:lineRule="auto"/>
      </w:pPr>
      <w:r>
        <w:rPr>
          <w:color w:val="334155"/>
          <w:sz w:val="19"/>
        </w:rPr>
        <w:t>Figure 3-11 Proposed Wastewater Servicing Strategy</w:t>
      </w:r>
    </w:p>
    <w:p>
      <w:pPr>
        <w:spacing w:before="40" w:after="80" w:line="276" w:lineRule="auto"/>
      </w:pPr>
      <w:r>
        <w:rPr>
          <w:color w:val="334155"/>
          <w:sz w:val="19"/>
        </w:rPr>
        <w:t>Figure 3-12 Proposed Wastewater Infrastructure Staging</w:t>
      </w:r>
    </w:p>
    <w:p>
      <w:pPr>
        <w:spacing w:before="40" w:after="80" w:line="276" w:lineRule="auto"/>
      </w:pPr>
      <w:r>
        <w:rPr>
          <w:color w:val="334155"/>
          <w:sz w:val="19"/>
        </w:rPr>
        <w:t>Figure 3-13 Existing Electrical Infrastructure. Note that 11 kV and low voltage infrastructure are also present</w:t>
      </w:r>
    </w:p>
    <w:p>
      <w:pPr>
        <w:spacing w:before="40" w:after="80" w:line="276" w:lineRule="auto"/>
      </w:pPr>
      <w:r>
        <w:rPr>
          <w:color w:val="334155"/>
          <w:sz w:val="19"/>
        </w:rPr>
        <w:t>but are not shown on this map.</w:t>
      </w:r>
    </w:p>
    <w:p>
      <w:pPr>
        <w:spacing w:before="40" w:after="80" w:line="276" w:lineRule="auto"/>
      </w:pPr>
      <w:r>
        <w:rPr>
          <w:color w:val="334155"/>
          <w:sz w:val="19"/>
        </w:rPr>
        <w:t>Figure 3-14 Surrounding Transmission Infrastructure</w:t>
      </w:r>
    </w:p>
    <w:p>
      <w:pPr>
        <w:spacing w:before="40" w:after="80" w:line="276" w:lineRule="auto"/>
      </w:pPr>
      <w:r>
        <w:rPr>
          <w:color w:val="334155"/>
          <w:sz w:val="19"/>
        </w:rPr>
        <w:t>Figure 3-15 Proposed Infrastructure and Staging</w:t>
      </w:r>
    </w:p>
    <w:p>
      <w:pPr>
        <w:spacing w:before="40" w:after="80" w:line="276" w:lineRule="auto"/>
      </w:pPr>
      <w:r>
        <w:rPr>
          <w:color w:val="334155"/>
          <w:sz w:val="19"/>
        </w:rPr>
        <w:t>Figure 3-16 Transgrid’s Easement Requirements for 220 kV and Above</w:t>
      </w:r>
    </w:p>
    <w:p>
      <w:pPr>
        <w:spacing w:before="40" w:after="80" w:line="276" w:lineRule="auto"/>
      </w:pPr>
      <w:r>
        <w:rPr>
          <w:color w:val="334155"/>
          <w:sz w:val="19"/>
        </w:rPr>
        <w:t>Tables</w:t>
      </w:r>
    </w:p>
    <w:p>
      <w:pPr>
        <w:spacing w:before="40" w:after="80" w:line="276" w:lineRule="auto"/>
      </w:pPr>
      <w:r>
        <w:rPr>
          <w:color w:val="334155"/>
          <w:sz w:val="19"/>
        </w:rPr>
        <w:t>Table 2-1 Utility Providers Operating in the Precinct and Surrounding Area</w:t>
      </w:r>
    </w:p>
    <w:p>
      <w:pPr>
        <w:spacing w:before="40" w:after="80" w:line="276" w:lineRule="auto"/>
      </w:pPr>
      <w:r>
        <w:rPr>
          <w:color w:val="334155"/>
          <w:sz w:val="19"/>
        </w:rPr>
        <w:t>Table 2-2 Hunter Water's Grahamstown Water Treatment Plant Expected Growth and Spare Capacity based</w:t>
      </w:r>
    </w:p>
    <w:p>
      <w:pPr>
        <w:spacing w:before="40" w:after="80" w:line="276" w:lineRule="auto"/>
      </w:pPr>
      <w:r>
        <w:rPr>
          <w:color w:val="334155"/>
          <w:sz w:val="19"/>
        </w:rPr>
        <w:t>on 246 ML/d Treatment (normal raw water quality) (Hunter Water, 2024)</w:t>
      </w:r>
    </w:p>
    <w:p>
      <w:pPr>
        <w:spacing w:before="40" w:after="80" w:line="276" w:lineRule="auto"/>
      </w:pPr>
      <w:r>
        <w:rPr>
          <w:color w:val="334155"/>
          <w:sz w:val="19"/>
        </w:rPr>
        <w:t>Table 2-3 Hunter Water's Edgeworth Wastewater Treatment Works Expected Growth and Spare Capacity</w:t>
      </w:r>
    </w:p>
    <w:p>
      <w:pPr>
        <w:spacing w:before="40" w:after="80" w:line="276" w:lineRule="auto"/>
      </w:pPr>
      <w:r>
        <w:rPr>
          <w:color w:val="334155"/>
          <w:sz w:val="19"/>
        </w:rPr>
        <w:t>based on 70,000 EP treatment capacity (Hunter Water, 2024)</w:t>
      </w:r>
    </w:p>
    <w:p>
      <w:pPr>
        <w:spacing w:before="40" w:after="80" w:line="276" w:lineRule="auto"/>
      </w:pPr>
      <w:r>
        <w:rPr>
          <w:color w:val="334155"/>
          <w:sz w:val="19"/>
        </w:rPr>
        <w:t>Table 2-4 Hunter Water's Toronto Wastewater Treatment Works Expected Growth and Spare Capacity</w:t>
      </w:r>
    </w:p>
    <w:p>
      <w:pPr>
        <w:spacing w:before="40" w:after="80" w:line="276" w:lineRule="auto"/>
      </w:pPr>
      <w:r>
        <w:rPr>
          <w:color w:val="334155"/>
          <w:sz w:val="19"/>
        </w:rPr>
        <w:t>based on 42,000 EP treatment capacity (Hunter Water, 2025)</w:t>
      </w:r>
    </w:p>
    <w:p>
      <w:pPr>
        <w:spacing w:before="40" w:after="80" w:line="276" w:lineRule="auto"/>
      </w:pPr>
      <w:r>
        <w:rPr>
          <w:color w:val="334155"/>
          <w:sz w:val="19"/>
        </w:rPr>
        <w:t>Table 2-5 Electricity Analysis Summary</w:t>
      </w:r>
    </w:p>
    <w:p>
      <w:pPr>
        <w:spacing w:before="40" w:after="80" w:line="276" w:lineRule="auto"/>
      </w:pPr>
      <w:r>
        <w:rPr>
          <w:color w:val="334155"/>
          <w:sz w:val="19"/>
        </w:rPr>
        <w:t>Table 2-6 Summary of Connection Levels and Associated Risk Ratings</w:t>
      </w:r>
    </w:p>
    <w:p>
      <w:pPr>
        <w:spacing w:before="40" w:after="80" w:line="276" w:lineRule="auto"/>
      </w:pPr>
      <w:r>
        <w:rPr>
          <w:color w:val="334155"/>
          <w:sz w:val="19"/>
        </w:rPr>
        <w:t>Table 2-7 Telecommunications, Internet and Gas Analysis Summary</w:t>
      </w:r>
    </w:p>
    <w:p>
      <w:pPr>
        <w:spacing w:before="40" w:after="80" w:line="276" w:lineRule="auto"/>
      </w:pPr>
      <w:r>
        <w:rPr>
          <w:color w:val="334155"/>
          <w:sz w:val="19"/>
        </w:rPr>
        <w:t>Table 2-8 ACMA Radio/Telecommunications Towers (ACMA, 2026)</w:t>
      </w:r>
    </w:p>
    <w:p>
      <w:pPr>
        <w:spacing w:before="40" w:after="80" w:line="276" w:lineRule="auto"/>
      </w:pPr>
      <w:r>
        <w:rPr>
          <w:color w:val="334155"/>
          <w:sz w:val="19"/>
        </w:rPr>
        <w:t>Table 3-1 Precinct Master Plan Proposed Land Uses</w:t>
      </w:r>
    </w:p>
    <w:p>
      <w:pPr>
        <w:spacing w:before="40" w:after="80" w:line="276" w:lineRule="auto"/>
      </w:pPr>
      <w:r>
        <w:rPr>
          <w:color w:val="334155"/>
          <w:sz w:val="19"/>
        </w:rPr>
        <w:t>Table 3-2 Hunter Water Potable Water Supply Design Demands</w:t>
      </w:r>
    </w:p>
    <w:p>
      <w:pPr>
        <w:spacing w:before="40" w:after="80" w:line="276" w:lineRule="auto"/>
      </w:pPr>
      <w:r>
        <w:rPr>
          <w:color w:val="334155"/>
          <w:sz w:val="19"/>
        </w:rPr>
        <w:t>`</w:t>
      </w:r>
    </w:p>
    <w:p>
      <w:pPr>
        <w:pStyle w:val="Heading3"/>
        <w:keepNext/>
        <w:spacing w:before="160" w:after="40"/>
      </w:pPr>
      <w:r>
        <w:rPr>
          <w:b/>
          <w:color w:val="334155"/>
        </w:rPr>
        <w:t>Utilities Report Page 7</w:t>
      </w:r>
    </w:p>
    <w:p>
      <w:pPr>
        <w:spacing w:before="40" w:after="80" w:line="276" w:lineRule="auto"/>
      </w:pPr>
      <w:r>
        <w:rPr>
          <w:color w:val="334155"/>
          <w:sz w:val="19"/>
        </w:rPr>
        <w:t>`</w:t>
      </w:r>
    </w:p>
    <w:p>
      <w:pPr>
        <w:spacing w:before="40" w:after="80" w:line="276" w:lineRule="auto"/>
      </w:pPr>
      <w:r>
        <w:rPr>
          <w:color w:val="334155"/>
          <w:sz w:val="19"/>
        </w:rPr>
        <w:t>Table 3-3 Precinct Master Plan Projected Potable Water Demand</w:t>
      </w:r>
    </w:p>
    <w:p>
      <w:pPr>
        <w:spacing w:before="40" w:after="80" w:line="276" w:lineRule="auto"/>
      </w:pPr>
      <w:r>
        <w:rPr>
          <w:color w:val="334155"/>
          <w:sz w:val="19"/>
        </w:rPr>
        <w:t>Table 3-4 Eastern Precinct Associated Areas</w:t>
      </w:r>
    </w:p>
    <w:p>
      <w:pPr>
        <w:spacing w:before="40" w:after="80" w:line="276" w:lineRule="auto"/>
      </w:pPr>
      <w:r>
        <w:rPr>
          <w:color w:val="334155"/>
          <w:sz w:val="19"/>
        </w:rPr>
        <w:t>Table 3-5 Eastern Precinct Proposed Potable Water Flows and Pipe Sizing</w:t>
      </w:r>
    </w:p>
    <w:p>
      <w:pPr>
        <w:spacing w:before="40" w:after="80" w:line="276" w:lineRule="auto"/>
      </w:pPr>
      <w:r>
        <w:rPr>
          <w:color w:val="334155"/>
          <w:sz w:val="19"/>
        </w:rPr>
        <w:t>Table 3-6 Western Precinct Associated Areas</w:t>
      </w:r>
    </w:p>
    <w:p>
      <w:pPr>
        <w:spacing w:before="40" w:after="80" w:line="276" w:lineRule="auto"/>
      </w:pPr>
      <w:r>
        <w:rPr>
          <w:color w:val="334155"/>
          <w:sz w:val="19"/>
        </w:rPr>
        <w:t>Table 3-7 Western Precinct Proposed Potable Water Flows and Pipe Sizing</w:t>
      </w:r>
    </w:p>
    <w:p>
      <w:pPr>
        <w:spacing w:before="40" w:after="80" w:line="276" w:lineRule="auto"/>
      </w:pPr>
      <w:r>
        <w:rPr>
          <w:color w:val="334155"/>
          <w:sz w:val="19"/>
        </w:rPr>
        <w:t>Table 3-8 Teralba Southgate Associated Areas</w:t>
      </w:r>
    </w:p>
    <w:p>
      <w:pPr>
        <w:spacing w:before="40" w:after="80" w:line="276" w:lineRule="auto"/>
      </w:pPr>
      <w:r>
        <w:rPr>
          <w:color w:val="334155"/>
          <w:sz w:val="19"/>
        </w:rPr>
        <w:t>Table 3-9 Teralba Southgate Proposed Potable Water Flows and Pipe Sizing</w:t>
      </w:r>
    </w:p>
    <w:p>
      <w:pPr>
        <w:spacing w:before="40" w:after="80" w:line="276" w:lineRule="auto"/>
      </w:pPr>
      <w:r>
        <w:rPr>
          <w:color w:val="334155"/>
          <w:sz w:val="19"/>
        </w:rPr>
        <w:t>Table 3-10 Precinct Master Plan Water Servicing SWOT Analysis</w:t>
      </w:r>
    </w:p>
    <w:p>
      <w:pPr>
        <w:spacing w:before="40" w:after="80" w:line="276" w:lineRule="auto"/>
      </w:pPr>
      <w:r>
        <w:rPr>
          <w:color w:val="334155"/>
          <w:sz w:val="19"/>
        </w:rPr>
        <w:t>Table 3-11 Hunter Water Wastewater Equivalent Tenements and Storm Allowance</w:t>
      </w:r>
    </w:p>
    <w:p>
      <w:pPr>
        <w:spacing w:before="40" w:after="80" w:line="276" w:lineRule="auto"/>
      </w:pPr>
      <w:r>
        <w:rPr>
          <w:color w:val="334155"/>
          <w:sz w:val="19"/>
        </w:rPr>
        <w:t>Table 3-12 Precinct Master Plan Projected Wastewater Demand</w:t>
      </w:r>
    </w:p>
    <w:p>
      <w:pPr>
        <w:spacing w:before="40" w:after="80" w:line="276" w:lineRule="auto"/>
      </w:pPr>
      <w:r>
        <w:rPr>
          <w:color w:val="334155"/>
          <w:sz w:val="19"/>
        </w:rPr>
        <w:t>Table 3-13 Eastern Precinct Associated Areas</w:t>
      </w:r>
    </w:p>
    <w:p>
      <w:pPr>
        <w:spacing w:before="40" w:after="80" w:line="276" w:lineRule="auto"/>
      </w:pPr>
      <w:r>
        <w:rPr>
          <w:color w:val="334155"/>
          <w:sz w:val="19"/>
        </w:rPr>
        <w:t>Table 3-14 Eastern Precinct Proposed Wastewater Flows and Pipe Sizing</w:t>
      </w:r>
    </w:p>
    <w:p>
      <w:pPr>
        <w:spacing w:before="40" w:after="80" w:line="276" w:lineRule="auto"/>
      </w:pPr>
      <w:r>
        <w:rPr>
          <w:color w:val="334155"/>
          <w:sz w:val="19"/>
        </w:rPr>
        <w:t>Table 3-15 Eastern Precinct Proposed Rising Main Pipe Sizing</w:t>
      </w:r>
    </w:p>
    <w:p>
      <w:pPr>
        <w:spacing w:before="40" w:after="80" w:line="276" w:lineRule="auto"/>
      </w:pPr>
      <w:r>
        <w:rPr>
          <w:color w:val="334155"/>
          <w:sz w:val="19"/>
        </w:rPr>
        <w:t>Table 3-16 Western Precinct Associated Areas</w:t>
      </w:r>
    </w:p>
    <w:p>
      <w:pPr>
        <w:spacing w:before="40" w:after="80" w:line="276" w:lineRule="auto"/>
      </w:pPr>
      <w:r>
        <w:rPr>
          <w:color w:val="334155"/>
          <w:sz w:val="19"/>
        </w:rPr>
        <w:t>Table 3-17 Western Precinct Proposed Wastewater Flows and Pipe Sizing</w:t>
      </w:r>
    </w:p>
    <w:p>
      <w:pPr>
        <w:spacing w:before="40" w:after="80" w:line="276" w:lineRule="auto"/>
      </w:pPr>
      <w:r>
        <w:rPr>
          <w:color w:val="334155"/>
          <w:sz w:val="19"/>
        </w:rPr>
        <w:t>Table 3-18 Western Precinct Proposed Rising Main Pipe Sizing</w:t>
      </w:r>
    </w:p>
    <w:p>
      <w:pPr>
        <w:spacing w:before="40" w:after="80" w:line="276" w:lineRule="auto"/>
      </w:pPr>
      <w:r>
        <w:rPr>
          <w:color w:val="334155"/>
          <w:sz w:val="19"/>
        </w:rPr>
        <w:t>Table 3-19 Teralba Southgate Associated Areas</w:t>
      </w:r>
    </w:p>
    <w:p>
      <w:pPr>
        <w:spacing w:before="40" w:after="80" w:line="276" w:lineRule="auto"/>
      </w:pPr>
      <w:r>
        <w:rPr>
          <w:color w:val="334155"/>
          <w:sz w:val="19"/>
        </w:rPr>
        <w:t>Table 3-20 Teralba Southgate Proposed Wastewater Flows and Pipe Sizing</w:t>
      </w:r>
    </w:p>
    <w:p>
      <w:pPr>
        <w:spacing w:before="40" w:after="80" w:line="276" w:lineRule="auto"/>
      </w:pPr>
      <w:r>
        <w:rPr>
          <w:color w:val="334155"/>
          <w:sz w:val="19"/>
        </w:rPr>
        <w:t>Table 3-21 Precinct Master Plan Wastewater Servicing SWOT Analysis</w:t>
      </w:r>
    </w:p>
    <w:p>
      <w:pPr>
        <w:spacing w:before="40" w:after="80" w:line="276" w:lineRule="auto"/>
      </w:pPr>
      <w:r>
        <w:rPr>
          <w:color w:val="334155"/>
          <w:sz w:val="19"/>
        </w:rPr>
        <w:t>Table 3-22 Precinct and Teralba Southgate Expected Electricity Demand</w:t>
      </w:r>
    </w:p>
    <w:p>
      <w:pPr>
        <w:spacing w:before="40" w:after="80" w:line="276" w:lineRule="auto"/>
      </w:pPr>
      <w:r>
        <w:rPr>
          <w:color w:val="334155"/>
          <w:sz w:val="19"/>
        </w:rPr>
        <w:t>Table 3-23 Assumed demand by land use, based on AS/NZS 3000:2018.</w:t>
      </w:r>
    </w:p>
    <w:p>
      <w:pPr>
        <w:spacing w:before="40" w:after="80" w:line="276" w:lineRule="auto"/>
      </w:pPr>
      <w:r>
        <w:rPr>
          <w:color w:val="334155"/>
          <w:sz w:val="19"/>
        </w:rPr>
        <w:t>Table 3-24 Maximum Demand – Energy Demand Method for Non-Domestic Installations (AS/NZS</w:t>
      </w:r>
    </w:p>
    <w:p>
      <w:pPr>
        <w:spacing w:before="40" w:after="80" w:line="276" w:lineRule="auto"/>
      </w:pPr>
      <w:r>
        <w:rPr>
          <w:color w:val="334155"/>
          <w:sz w:val="19"/>
        </w:rPr>
        <w:t>3000:2018)</w:t>
      </w:r>
    </w:p>
    <w:p>
      <w:pPr>
        <w:spacing w:before="40" w:after="80" w:line="276" w:lineRule="auto"/>
      </w:pPr>
      <w:r>
        <w:rPr>
          <w:color w:val="334155"/>
          <w:sz w:val="19"/>
        </w:rPr>
        <w:t>Table 3-25 Precinct Electricity Network Upgrades Staging</w:t>
      </w:r>
    </w:p>
    <w:p>
      <w:pPr>
        <w:spacing w:before="40" w:after="80" w:line="276" w:lineRule="auto"/>
      </w:pPr>
      <w:r>
        <w:rPr>
          <w:color w:val="334155"/>
          <w:sz w:val="19"/>
        </w:rPr>
        <w:t>Table 3-26 Precinct Master Plan Gas Servicing SWOT Analysis</w:t>
      </w:r>
    </w:p>
    <w:p>
      <w:pPr>
        <w:spacing w:before="40" w:after="80" w:line="276" w:lineRule="auto"/>
      </w:pPr>
      <w:r>
        <w:rPr>
          <w:color w:val="334155"/>
          <w:sz w:val="19"/>
        </w:rPr>
        <w:t>Table 3-27 Precinct Master Plan Telecommunications Servicing SWOT Analysis</w:t>
      </w:r>
    </w:p>
    <w:p>
      <w:pPr>
        <w:spacing w:before="40" w:after="80" w:line="276" w:lineRule="auto"/>
      </w:pPr>
      <w:r>
        <w:rPr>
          <w:color w:val="334155"/>
          <w:sz w:val="19"/>
        </w:rPr>
        <w:t>Table 3-28 Estimated Demand for Key Waste Streams Generated from Construction</w:t>
      </w:r>
    </w:p>
    <w:p>
      <w:pPr>
        <w:spacing w:before="40" w:after="80" w:line="276" w:lineRule="auto"/>
      </w:pPr>
      <w:r>
        <w:rPr>
          <w:color w:val="334155"/>
          <w:sz w:val="19"/>
        </w:rPr>
        <w:t>Table 3-29 Estimated Demand for Key Waste Streams from Ongoing Activities</w:t>
      </w:r>
    </w:p>
    <w:p>
      <w:pPr>
        <w:spacing w:before="40" w:after="80" w:line="276" w:lineRule="auto"/>
      </w:pPr>
      <w:r>
        <w:rPr>
          <w:color w:val="334155"/>
          <w:sz w:val="19"/>
        </w:rPr>
        <w:t>`</w:t>
      </w:r>
    </w:p>
    <w:p>
      <w:pPr>
        <w:pStyle w:val="Heading3"/>
        <w:keepNext/>
        <w:spacing w:before="160" w:after="40"/>
      </w:pPr>
      <w:r>
        <w:rPr>
          <w:b/>
          <w:color w:val="334155"/>
        </w:rPr>
        <w:t>Utilities Report Page 11</w:t>
      </w:r>
    </w:p>
    <w:p>
      <w:pPr>
        <w:spacing w:before="40" w:after="80" w:line="276" w:lineRule="auto"/>
      </w:pPr>
      <w:r>
        <w:rPr>
          <w:color w:val="334155"/>
          <w:sz w:val="19"/>
        </w:rPr>
        <w:t>`</w:t>
      </w:r>
    </w:p>
    <w:p>
      <w:pPr>
        <w:spacing w:before="40" w:after="80" w:line="276" w:lineRule="auto"/>
      </w:pPr>
      <w:r>
        <w:rPr>
          <w:color w:val="334155"/>
          <w:sz w:val="19"/>
        </w:rPr>
        <w:t>Project number 531168-000  File Utilities Engineering Report - Clean.docx  2026-07-01  Revision B</w:t>
      </w:r>
    </w:p>
    <w:p>
      <w:pPr>
        <w:spacing w:before="40" w:after="80" w:line="276" w:lineRule="auto"/>
      </w:pPr>
      <w:r>
        <w:rPr>
          <w:color w:val="334155"/>
          <w:sz w:val="19"/>
        </w:rPr>
        <w:t>3</w:t>
      </w:r>
    </w:p>
    <w:p>
      <w:pPr>
        <w:spacing w:before="40" w:after="80" w:line="276" w:lineRule="auto"/>
      </w:pPr>
      <w:r>
        <w:rPr>
          <w:color w:val="334155"/>
          <w:sz w:val="19"/>
        </w:rPr>
        <w:t> Given the fluid nature of planning and utility services, the advice provided is only applicable at the time of</w:t>
      </w:r>
    </w:p>
    <w:p>
      <w:pPr>
        <w:spacing w:before="40" w:after="80" w:line="276" w:lineRule="auto"/>
      </w:pPr>
      <w:r>
        <w:rPr>
          <w:color w:val="334155"/>
          <w:sz w:val="19"/>
        </w:rPr>
        <w:t>preparing the report and must be revised over time.</w:t>
      </w:r>
    </w:p>
    <w:p>
      <w:pPr>
        <w:spacing w:before="40" w:after="80" w:line="276" w:lineRule="auto"/>
      </w:pPr>
      <w:r>
        <w:rPr>
          <w:color w:val="334155"/>
          <w:sz w:val="19"/>
        </w:rPr>
        <w:t>The following general assumptions are noted, specific to this report:</w:t>
      </w:r>
    </w:p>
    <w:p>
      <w:pPr>
        <w:spacing w:before="40" w:after="80" w:line="276" w:lineRule="auto"/>
      </w:pPr>
      <w:r>
        <w:rPr>
          <w:color w:val="334155"/>
          <w:sz w:val="19"/>
        </w:rPr>
        <w:t> This assessment undertaken is high level and strategic in nature to identify key constraints, opportunities,</w:t>
      </w:r>
    </w:p>
    <w:p>
      <w:pPr>
        <w:spacing w:before="40" w:after="80" w:line="276" w:lineRule="auto"/>
      </w:pPr>
      <w:r>
        <w:rPr>
          <w:color w:val="334155"/>
          <w:sz w:val="19"/>
        </w:rPr>
        <w:t>and risks that have a material impact on the development potential of the Precinct. High level</w:t>
      </w:r>
    </w:p>
    <w:p>
      <w:pPr>
        <w:spacing w:before="40" w:after="80" w:line="276" w:lineRule="auto"/>
      </w:pPr>
      <w:r>
        <w:rPr>
          <w:color w:val="334155"/>
          <w:sz w:val="19"/>
        </w:rPr>
        <w:t>assessments were undertaken however no detailed modelling was undertaken.</w:t>
      </w:r>
    </w:p>
    <w:p>
      <w:pPr>
        <w:spacing w:before="40" w:after="80" w:line="276" w:lineRule="auto"/>
      </w:pPr>
      <w:r>
        <w:rPr>
          <w:color w:val="334155"/>
          <w:sz w:val="19"/>
        </w:rPr>
        <w:t> Engineering design services beyond the high-level capacity assessment are excluded from this</w:t>
      </w:r>
    </w:p>
    <w:p>
      <w:pPr>
        <w:spacing w:before="40" w:after="80" w:line="276" w:lineRule="auto"/>
      </w:pPr>
      <w:r>
        <w:rPr>
          <w:color w:val="334155"/>
          <w:sz w:val="19"/>
        </w:rPr>
        <w:t>assessment.</w:t>
      </w:r>
    </w:p>
    <w:p>
      <w:pPr>
        <w:spacing w:before="40" w:after="80" w:line="276" w:lineRule="auto"/>
      </w:pPr>
      <w:r>
        <w:rPr>
          <w:color w:val="334155"/>
          <w:sz w:val="19"/>
        </w:rPr>
        <w:t> No intrusive or invasive site investigations have been undertaken for this report, any investigations are</w:t>
      </w:r>
    </w:p>
    <w:p>
      <w:pPr>
        <w:spacing w:before="40" w:after="80" w:line="276" w:lineRule="auto"/>
      </w:pPr>
      <w:r>
        <w:rPr>
          <w:color w:val="334155"/>
          <w:sz w:val="19"/>
        </w:rPr>
        <w:t>limited to a review of available desktop information only.</w:t>
      </w:r>
    </w:p>
    <w:p>
      <w:pPr>
        <w:spacing w:before="40" w:after="80" w:line="276" w:lineRule="auto"/>
      </w:pPr>
      <w:r>
        <w:rPr>
          <w:color w:val="334155"/>
          <w:sz w:val="19"/>
        </w:rPr>
        <w:t> The advice provided herein remains subject to authority confirmation.</w:t>
      </w:r>
    </w:p>
    <w:p>
      <w:pPr>
        <w:spacing w:before="40" w:after="80" w:line="276" w:lineRule="auto"/>
      </w:pPr>
      <w:r>
        <w:rPr>
          <w:color w:val="334155"/>
          <w:sz w:val="19"/>
        </w:rPr>
        <w:t>1.4</w:t>
      </w:r>
    </w:p>
    <w:p>
      <w:pPr>
        <w:spacing w:before="40" w:after="80" w:line="276" w:lineRule="auto"/>
      </w:pPr>
      <w:r>
        <w:rPr>
          <w:color w:val="334155"/>
          <w:sz w:val="19"/>
        </w:rPr>
        <w:t>Reliance on data and information</w:t>
      </w:r>
    </w:p>
    <w:p>
      <w:pPr>
        <w:spacing w:before="40" w:after="80" w:line="276" w:lineRule="auto"/>
      </w:pPr>
      <w:r>
        <w:rPr>
          <w:color w:val="334155"/>
          <w:sz w:val="19"/>
        </w:rPr>
        <w:t>This Report has been prepared for the benefit of the Client and no other party.</w:t>
      </w:r>
    </w:p>
    <w:p>
      <w:pPr>
        <w:pStyle w:val="ListNumber"/>
        <w:spacing w:before="20" w:after="40"/>
      </w:pPr>
      <w:r>
        <w:rPr>
          <w:color w:val="334155"/>
          <w:sz w:val="19"/>
        </w:rPr>
        <w:t>Post Mining Land Use – Deliverability of Pilot Projects – Due Diligence Report – Macquarie Coal</w:t>
      </w:r>
    </w:p>
    <w:p>
      <w:pPr>
        <w:spacing w:before="40" w:after="80" w:line="276" w:lineRule="auto"/>
      </w:pPr>
      <w:r>
        <w:rPr>
          <w:color w:val="334155"/>
          <w:sz w:val="19"/>
        </w:rPr>
        <w:t>Complex, prepared by Aurecon in February 2026.</w:t>
      </w:r>
    </w:p>
    <w:p>
      <w:pPr>
        <w:pStyle w:val="ListNumber"/>
        <w:spacing w:before="20" w:after="40"/>
      </w:pPr>
      <w:r>
        <w:rPr>
          <w:color w:val="334155"/>
          <w:sz w:val="19"/>
        </w:rPr>
        <w:t>Preliminary statutory planning due diligence prepared by Patch Planning.</w:t>
      </w:r>
    </w:p>
    <w:p>
      <w:pPr>
        <w:pStyle w:val="ListNumber"/>
        <w:spacing w:before="20" w:after="40"/>
      </w:pPr>
      <w:r>
        <w:rPr>
          <w:color w:val="334155"/>
          <w:sz w:val="19"/>
        </w:rPr>
        <w:t>Insights obtained from internal workshops with DPHI, package leads and agencies.</w:t>
      </w:r>
    </w:p>
    <w:p>
      <w:pPr>
        <w:spacing w:before="40" w:after="80" w:line="276" w:lineRule="auto"/>
      </w:pPr>
      <w:r>
        <w:rPr>
          <w:color w:val="334155"/>
          <w:sz w:val="19"/>
        </w:rPr>
        <w:t>Water Discipline Reliance Documentation</w:t>
      </w:r>
    </w:p>
    <w:p>
      <w:pPr>
        <w:pStyle w:val="ListNumber"/>
        <w:spacing w:before="20" w:after="40"/>
      </w:pPr>
      <w:r>
        <w:rPr>
          <w:color w:val="334155"/>
          <w:sz w:val="19"/>
        </w:rPr>
        <w:t>Edgeworth Wastewater System Report, Hunter Water (2025)</w:t>
      </w:r>
    </w:p>
    <w:p>
      <w:pPr>
        <w:pStyle w:val="ListNumber"/>
        <w:spacing w:before="20" w:after="40"/>
      </w:pPr>
      <w:r>
        <w:rPr>
          <w:color w:val="334155"/>
          <w:sz w:val="19"/>
        </w:rPr>
        <w:t>Toronto Wastewater System Report, Hunter Water (2025)</w:t>
      </w:r>
    </w:p>
    <w:p>
      <w:pPr>
        <w:pStyle w:val="ListNumber"/>
        <w:spacing w:before="20" w:after="40"/>
      </w:pPr>
      <w:r>
        <w:rPr>
          <w:color w:val="334155"/>
          <w:sz w:val="19"/>
        </w:rPr>
        <w:t>South Wallsend and West Lake Macquarie Water System Report, Hunter Water (2024)</w:t>
      </w:r>
    </w:p>
    <w:p>
      <w:pPr>
        <w:pStyle w:val="ListNumber"/>
        <w:spacing w:before="20" w:after="40"/>
      </w:pPr>
      <w:r>
        <w:rPr>
          <w:color w:val="334155"/>
          <w:sz w:val="19"/>
        </w:rPr>
        <w:t>Independent Environmental Audit, West Wallsend Colliery (2022)</w:t>
      </w:r>
    </w:p>
    <w:p>
      <w:pPr>
        <w:pStyle w:val="ListNumber"/>
        <w:spacing w:before="20" w:after="40"/>
      </w:pPr>
      <w:r>
        <w:rPr>
          <w:color w:val="334155"/>
          <w:sz w:val="19"/>
        </w:rPr>
        <w:t>Hunter Water Asset Locations (GIS)</w:t>
      </w:r>
    </w:p>
    <w:p>
      <w:pPr>
        <w:pStyle w:val="ListNumber"/>
        <w:spacing w:before="20" w:after="40"/>
      </w:pPr>
      <w:r>
        <w:rPr>
          <w:color w:val="334155"/>
          <w:sz w:val="19"/>
        </w:rPr>
        <w:t>Wastewater Network, Hunter Water (infographic)</w:t>
      </w:r>
    </w:p>
    <w:p>
      <w:pPr>
        <w:pStyle w:val="ListNumber"/>
        <w:spacing w:before="20" w:after="40"/>
      </w:pPr>
      <w:r>
        <w:rPr>
          <w:color w:val="334155"/>
          <w:sz w:val="19"/>
        </w:rPr>
        <w:t>Water Network, Hunter Water (infographic)</w:t>
      </w:r>
    </w:p>
    <w:p>
      <w:pPr>
        <w:pStyle w:val="ListNumber"/>
        <w:spacing w:before="20" w:after="40"/>
      </w:pPr>
      <w:r>
        <w:rPr>
          <w:color w:val="334155"/>
          <w:sz w:val="19"/>
        </w:rPr>
        <w:t>Gravity Sewerage Code of Australia WSA 02—2014-3.1 Hunter Water Edition Version 2</w:t>
      </w:r>
    </w:p>
    <w:p>
      <w:pPr>
        <w:pStyle w:val="ListNumber"/>
        <w:spacing w:before="20" w:after="40"/>
      </w:pPr>
      <w:r>
        <w:rPr>
          <w:color w:val="334155"/>
          <w:sz w:val="19"/>
        </w:rPr>
        <w:t>Water Supply Code of Australia WSA 03—2011-3.1 Hunter Water Edition Version 2</w:t>
      </w:r>
    </w:p>
    <w:p>
      <w:pPr>
        <w:spacing w:before="40" w:after="80" w:line="276" w:lineRule="auto"/>
      </w:pPr>
      <w:r>
        <w:rPr>
          <w:color w:val="334155"/>
          <w:sz w:val="19"/>
        </w:rPr>
        <w:t>Electricity Discipline Reliance Documentation</w:t>
      </w:r>
    </w:p>
    <w:p>
      <w:pPr>
        <w:pStyle w:val="ListNumber"/>
        <w:spacing w:before="20" w:after="40"/>
      </w:pPr>
      <w:r>
        <w:rPr>
          <w:color w:val="334155"/>
          <w:sz w:val="19"/>
        </w:rPr>
        <w:t>Report Data for ZN00224 Argenton 132/11, Ausgrid - Rosetta Data Portal (2026)</w:t>
      </w:r>
    </w:p>
    <w:p>
      <w:pPr>
        <w:pStyle w:val="ListNumber"/>
        <w:spacing w:before="20" w:after="40"/>
      </w:pPr>
      <w:r>
        <w:rPr>
          <w:color w:val="334155"/>
          <w:sz w:val="19"/>
        </w:rPr>
        <w:t>Report Data for Newcastle 132 kV BSP, Transgrid - Rosetta Data Portal (2026)</w:t>
      </w:r>
    </w:p>
    <w:p>
      <w:pPr>
        <w:pStyle w:val="ListNumber"/>
        <w:spacing w:before="20" w:after="40"/>
      </w:pPr>
      <w:r>
        <w:rPr>
          <w:color w:val="334155"/>
          <w:sz w:val="19"/>
        </w:rPr>
        <w:t>AS/NZS 3000:2018 Electrical installations (2018)</w:t>
      </w:r>
    </w:p>
    <w:p>
      <w:pPr>
        <w:pStyle w:val="ListNumber"/>
        <w:spacing w:before="20" w:after="40"/>
      </w:pPr>
      <w:r>
        <w:rPr>
          <w:color w:val="334155"/>
          <w:sz w:val="19"/>
        </w:rPr>
        <w:t>Look Up and Live Tool, Before You Dig Australia (2026)</w:t>
      </w:r>
    </w:p>
    <w:p>
      <w:pPr>
        <w:pStyle w:val="ListNumber"/>
        <w:spacing w:before="20" w:after="40"/>
      </w:pPr>
      <w:r>
        <w:rPr>
          <w:color w:val="334155"/>
          <w:sz w:val="19"/>
        </w:rPr>
        <w:t>Easement Guidelines, Transgrid (2024)</w:t>
      </w:r>
    </w:p>
    <w:p>
      <w:pPr>
        <w:pStyle w:val="ListNumber"/>
        <w:spacing w:before="20" w:after="40"/>
      </w:pPr>
      <w:r>
        <w:rPr>
          <w:color w:val="334155"/>
          <w:sz w:val="19"/>
        </w:rPr>
        <w:t>Development Industry Briefing, Citipower &amp; Powercor (2024)</w:t>
      </w:r>
    </w:p>
    <w:p>
      <w:pPr>
        <w:spacing w:before="40" w:after="80" w:line="276" w:lineRule="auto"/>
      </w:pPr>
      <w:r>
        <w:rPr>
          <w:color w:val="334155"/>
          <w:sz w:val="19"/>
        </w:rPr>
        <w:t>Waste Discipline Reliance Documentation</w:t>
      </w:r>
    </w:p>
    <w:p>
      <w:pPr>
        <w:spacing w:before="40" w:after="80" w:line="276" w:lineRule="auto"/>
      </w:pPr>
      <w:r>
        <w:rPr>
          <w:color w:val="334155"/>
          <w:sz w:val="19"/>
        </w:rPr>
        <w:t>Documents informing waste demand estimates are referenced where they were applied (see section 3.7.1).</w:t>
      </w:r>
    </w:p>
    <w:p>
      <w:pPr>
        <w:spacing w:before="40" w:after="80" w:line="276" w:lineRule="auto"/>
      </w:pPr>
      <w:r>
        <w:rPr>
          <w:color w:val="334155"/>
          <w:sz w:val="19"/>
        </w:rPr>
        <w:t>`</w:t>
      </w:r>
    </w:p>
    <w:p>
      <w:pPr>
        <w:pStyle w:val="Heading3"/>
        <w:keepNext/>
        <w:spacing w:before="160" w:after="40"/>
      </w:pPr>
      <w:r>
        <w:rPr>
          <w:b/>
          <w:color w:val="334155"/>
        </w:rPr>
        <w:t>Utilities Report Page 12</w:t>
      </w:r>
    </w:p>
    <w:p>
      <w:pPr>
        <w:spacing w:before="40" w:after="80" w:line="276" w:lineRule="auto"/>
      </w:pPr>
      <w:r>
        <w:rPr>
          <w:color w:val="334155"/>
          <w:sz w:val="19"/>
        </w:rPr>
        <w:t>`</w:t>
      </w:r>
    </w:p>
    <w:p>
      <w:pPr>
        <w:spacing w:before="40" w:after="80" w:line="276" w:lineRule="auto"/>
      </w:pPr>
      <w:r>
        <w:rPr>
          <w:color w:val="334155"/>
          <w:sz w:val="19"/>
        </w:rPr>
        <w:t>Project number 531168-000  File Utilities Engineering Report - Clean.docx  2026-07-01  Revision B</w:t>
      </w:r>
    </w:p>
    <w:p>
      <w:pPr>
        <w:spacing w:before="40" w:after="80" w:line="276" w:lineRule="auto"/>
      </w:pPr>
      <w:r>
        <w:rPr>
          <w:color w:val="334155"/>
          <w:sz w:val="19"/>
        </w:rPr>
        <w:t>4</w:t>
      </w:r>
    </w:p>
    <w:p>
      <w:pPr>
        <w:spacing w:before="40" w:after="80" w:line="276" w:lineRule="auto"/>
      </w:pPr>
      <w:r>
        <w:rPr>
          <w:color w:val="334155"/>
          <w:sz w:val="19"/>
        </w:rPr>
        <w:t>2</w:t>
      </w:r>
    </w:p>
    <w:p>
      <w:pPr>
        <w:spacing w:before="40" w:after="80" w:line="276" w:lineRule="auto"/>
      </w:pPr>
      <w:r>
        <w:rPr>
          <w:color w:val="334155"/>
          <w:sz w:val="19"/>
        </w:rPr>
        <w:t>Baseline analysis</w:t>
      </w:r>
    </w:p>
    <w:p>
      <w:pPr>
        <w:spacing w:before="40" w:after="80" w:line="276" w:lineRule="auto"/>
      </w:pPr>
      <w:r>
        <w:rPr>
          <w:color w:val="334155"/>
          <w:sz w:val="19"/>
        </w:rPr>
        <w:t>The baseline analysis outlines the existing utility networks within and surrounding the Precinct to support an</w:t>
      </w:r>
    </w:p>
    <w:p>
      <w:pPr>
        <w:spacing w:before="40" w:after="80" w:line="276" w:lineRule="auto"/>
      </w:pPr>
      <w:r>
        <w:rPr>
          <w:color w:val="334155"/>
          <w:sz w:val="19"/>
        </w:rPr>
        <w:t>understanding of how the proposed development can be effectively serviced. A desktop review of available</w:t>
      </w:r>
    </w:p>
    <w:p>
      <w:pPr>
        <w:spacing w:before="40" w:after="80" w:line="276" w:lineRule="auto"/>
      </w:pPr>
      <w:r>
        <w:rPr>
          <w:color w:val="334155"/>
          <w:sz w:val="19"/>
        </w:rPr>
        <w:t>data was undertaken to identify current network infrastructure and capacity. This assessment also informed</w:t>
      </w:r>
    </w:p>
    <w:p>
      <w:pPr>
        <w:spacing w:before="40" w:after="80" w:line="276" w:lineRule="auto"/>
      </w:pPr>
      <w:r>
        <w:rPr>
          <w:color w:val="334155"/>
          <w:sz w:val="19"/>
        </w:rPr>
        <w:t>the key servicing opportunities and constraints relevant to future planning.</w:t>
      </w:r>
    </w:p>
    <w:p>
      <w:pPr>
        <w:spacing w:before="40" w:after="80" w:line="276" w:lineRule="auto"/>
      </w:pPr>
      <w:r>
        <w:rPr>
          <w:color w:val="334155"/>
          <w:sz w:val="19"/>
        </w:rPr>
        <w:t>The investigated existing service providers in the area are outlined in Table 2-1.</w:t>
      </w:r>
    </w:p>
    <w:p>
      <w:pPr>
        <w:spacing w:before="40" w:after="80" w:line="276" w:lineRule="auto"/>
      </w:pPr>
      <w:r>
        <w:rPr>
          <w:color w:val="334155"/>
          <w:sz w:val="19"/>
        </w:rPr>
        <w:t>Table 2-1 Utility Providers Operating in the Precinct and Surrounding Area</w:t>
      </w:r>
    </w:p>
    <w:p>
      <w:pPr>
        <w:spacing w:before="40" w:after="80" w:line="276" w:lineRule="auto"/>
      </w:pPr>
      <w:r>
        <w:rPr>
          <w:color w:val="334155"/>
          <w:sz w:val="19"/>
        </w:rPr>
        <w:t>Service</w:t>
      </w:r>
    </w:p>
    <w:p>
      <w:pPr>
        <w:spacing w:before="40" w:after="80" w:line="276" w:lineRule="auto"/>
      </w:pPr>
      <w:r>
        <w:rPr>
          <w:color w:val="334155"/>
          <w:sz w:val="19"/>
        </w:rPr>
        <w:t>Service Provider</w:t>
      </w:r>
    </w:p>
    <w:p>
      <w:pPr>
        <w:spacing w:before="40" w:after="80" w:line="276" w:lineRule="auto"/>
      </w:pPr>
      <w:r>
        <w:rPr>
          <w:color w:val="334155"/>
          <w:sz w:val="19"/>
        </w:rPr>
        <w:t>Potable Water and Wastewater</w:t>
      </w:r>
    </w:p>
    <w:p>
      <w:pPr>
        <w:spacing w:before="40" w:after="80" w:line="276" w:lineRule="auto"/>
      </w:pPr>
      <w:r>
        <w:rPr>
          <w:color w:val="334155"/>
          <w:sz w:val="19"/>
        </w:rPr>
        <w:t>Hunter Water Corporation</w:t>
      </w:r>
    </w:p>
    <w:p>
      <w:pPr>
        <w:spacing w:before="40" w:after="80" w:line="276" w:lineRule="auto"/>
      </w:pPr>
      <w:r>
        <w:rPr>
          <w:color w:val="334155"/>
          <w:sz w:val="19"/>
        </w:rPr>
        <w:t>Electricity</w:t>
      </w:r>
    </w:p>
    <w:p>
      <w:pPr>
        <w:spacing w:before="40" w:after="80" w:line="276" w:lineRule="auto"/>
      </w:pPr>
      <w:r>
        <w:rPr>
          <w:color w:val="334155"/>
          <w:sz w:val="19"/>
        </w:rPr>
        <w:t>Transgrid</w:t>
      </w:r>
    </w:p>
    <w:p>
      <w:pPr>
        <w:spacing w:before="40" w:after="80" w:line="276" w:lineRule="auto"/>
      </w:pPr>
      <w:r>
        <w:rPr>
          <w:color w:val="334155"/>
          <w:sz w:val="19"/>
        </w:rPr>
        <w:t>Electricity</w:t>
      </w:r>
    </w:p>
    <w:p>
      <w:pPr>
        <w:spacing w:before="40" w:after="80" w:line="276" w:lineRule="auto"/>
      </w:pPr>
      <w:r>
        <w:rPr>
          <w:color w:val="334155"/>
          <w:sz w:val="19"/>
        </w:rPr>
        <w:t>Ausgrid</w:t>
      </w:r>
    </w:p>
    <w:p>
      <w:pPr>
        <w:spacing w:before="40" w:after="80" w:line="276" w:lineRule="auto"/>
      </w:pPr>
      <w:r>
        <w:rPr>
          <w:color w:val="334155"/>
          <w:sz w:val="19"/>
        </w:rPr>
        <w:t>Telecommunications</w:t>
      </w:r>
    </w:p>
    <w:p>
      <w:pPr>
        <w:spacing w:before="40" w:after="80" w:line="276" w:lineRule="auto"/>
      </w:pPr>
      <w:r>
        <w:rPr>
          <w:color w:val="334155"/>
          <w:sz w:val="19"/>
        </w:rPr>
        <w:t>Telstra</w:t>
      </w:r>
    </w:p>
    <w:p>
      <w:pPr>
        <w:spacing w:before="40" w:after="80" w:line="276" w:lineRule="auto"/>
      </w:pPr>
      <w:r>
        <w:rPr>
          <w:color w:val="334155"/>
          <w:sz w:val="19"/>
        </w:rPr>
        <w:t>Telecommunications</w:t>
      </w:r>
    </w:p>
    <w:p>
      <w:pPr>
        <w:spacing w:before="40" w:after="80" w:line="276" w:lineRule="auto"/>
      </w:pPr>
      <w:r>
        <w:rPr>
          <w:color w:val="334155"/>
          <w:sz w:val="19"/>
        </w:rPr>
        <w:t>Optus and/or Uecomm</w:t>
      </w:r>
    </w:p>
    <w:p>
      <w:pPr>
        <w:spacing w:before="40" w:after="80" w:line="276" w:lineRule="auto"/>
      </w:pPr>
      <w:r>
        <w:rPr>
          <w:color w:val="334155"/>
          <w:sz w:val="19"/>
        </w:rPr>
        <w:t>Telecommunications</w:t>
      </w:r>
    </w:p>
    <w:p>
      <w:pPr>
        <w:spacing w:before="40" w:after="80" w:line="276" w:lineRule="auto"/>
      </w:pPr>
      <w:r>
        <w:rPr>
          <w:color w:val="334155"/>
          <w:sz w:val="19"/>
        </w:rPr>
        <w:t>Nextgen cable</w:t>
      </w:r>
    </w:p>
    <w:p>
      <w:pPr>
        <w:spacing w:before="40" w:after="80" w:line="276" w:lineRule="auto"/>
      </w:pPr>
      <w:r>
        <w:rPr>
          <w:color w:val="334155"/>
          <w:sz w:val="19"/>
        </w:rPr>
        <w:t>Telecommunications</w:t>
      </w:r>
    </w:p>
    <w:p>
      <w:pPr>
        <w:spacing w:before="40" w:after="80" w:line="276" w:lineRule="auto"/>
      </w:pPr>
      <w:r>
        <w:rPr>
          <w:color w:val="334155"/>
          <w:sz w:val="19"/>
        </w:rPr>
        <w:t>TPG</w:t>
      </w:r>
    </w:p>
    <w:p>
      <w:pPr>
        <w:spacing w:before="40" w:after="80" w:line="276" w:lineRule="auto"/>
      </w:pPr>
      <w:r>
        <w:rPr>
          <w:color w:val="334155"/>
          <w:sz w:val="19"/>
        </w:rPr>
        <w:t>Gas</w:t>
      </w:r>
    </w:p>
    <w:p>
      <w:pPr>
        <w:spacing w:before="40" w:after="80" w:line="276" w:lineRule="auto"/>
      </w:pPr>
      <w:r>
        <w:rPr>
          <w:color w:val="334155"/>
          <w:sz w:val="19"/>
        </w:rPr>
        <w:t>Jemena Gas North</w:t>
      </w:r>
    </w:p>
    <w:p>
      <w:pPr>
        <w:spacing w:before="40" w:after="80" w:line="276" w:lineRule="auto"/>
      </w:pPr>
      <w:r>
        <w:rPr>
          <w:color w:val="334155"/>
          <w:sz w:val="19"/>
        </w:rPr>
        <w:t>Gas</w:t>
      </w:r>
    </w:p>
    <w:p>
      <w:pPr>
        <w:spacing w:before="40" w:after="80" w:line="276" w:lineRule="auto"/>
      </w:pPr>
      <w:r>
        <w:rPr>
          <w:color w:val="334155"/>
          <w:sz w:val="19"/>
        </w:rPr>
        <w:t>Ampol</w:t>
      </w:r>
    </w:p>
    <w:p>
      <w:pPr>
        <w:spacing w:before="40" w:after="80" w:line="276" w:lineRule="auto"/>
      </w:pPr>
      <w:r>
        <w:rPr>
          <w:color w:val="334155"/>
          <w:sz w:val="19"/>
        </w:rPr>
        <w:t>2.1</w:t>
      </w:r>
    </w:p>
    <w:p>
      <w:pPr>
        <w:spacing w:before="40" w:after="80" w:line="276" w:lineRule="auto"/>
      </w:pPr>
      <w:r>
        <w:rPr>
          <w:color w:val="334155"/>
          <w:sz w:val="19"/>
        </w:rPr>
        <w:t>Water and wastewater systems</w:t>
      </w:r>
    </w:p>
    <w:p>
      <w:pPr>
        <w:spacing w:before="40" w:after="80" w:line="276" w:lineRule="auto"/>
      </w:pPr>
      <w:r>
        <w:rPr>
          <w:color w:val="334155"/>
          <w:sz w:val="19"/>
        </w:rPr>
        <w:t>This section provides a strategic, desktop-based assessment of existing potable water and wastewater</w:t>
      </w:r>
    </w:p>
    <w:p>
      <w:pPr>
        <w:spacing w:before="40" w:after="80" w:line="276" w:lineRule="auto"/>
      </w:pPr>
      <w:r>
        <w:rPr>
          <w:color w:val="334155"/>
          <w:sz w:val="19"/>
        </w:rPr>
        <w:t>servicing conditions, constraints and opportunities within the study area. It also provides recommended</w:t>
      </w:r>
    </w:p>
    <w:p>
      <w:pPr>
        <w:spacing w:before="40" w:after="80" w:line="276" w:lineRule="auto"/>
      </w:pPr>
      <w:r>
        <w:rPr>
          <w:color w:val="334155"/>
          <w:sz w:val="19"/>
        </w:rPr>
        <w:t>actions for post-exhibition phases. The assessment considers the Hunter Water network, existing potable</w:t>
      </w:r>
    </w:p>
    <w:p>
      <w:pPr>
        <w:spacing w:before="40" w:after="80" w:line="276" w:lineRule="auto"/>
      </w:pPr>
      <w:r>
        <w:rPr>
          <w:color w:val="334155"/>
          <w:sz w:val="19"/>
        </w:rPr>
        <w:t>water and wastewater infrastructure, treatment capacity, potential connection points, transfer network</w:t>
      </w:r>
    </w:p>
    <w:p>
      <w:pPr>
        <w:spacing w:before="40" w:after="80" w:line="276" w:lineRule="auto"/>
      </w:pPr>
      <w:r>
        <w:rPr>
          <w:color w:val="334155"/>
          <w:sz w:val="19"/>
        </w:rPr>
        <w:t>capacity, recycled water opportunities and servicing requirements for the Main, Wakefield and Teralba</w:t>
      </w:r>
    </w:p>
    <w:p>
      <w:pPr>
        <w:spacing w:before="40" w:after="80" w:line="276" w:lineRule="auto"/>
      </w:pPr>
      <w:r>
        <w:rPr>
          <w:color w:val="334155"/>
          <w:sz w:val="19"/>
        </w:rPr>
        <w:t>Southgate study areas. The section provides details of the following:</w:t>
      </w:r>
    </w:p>
    <w:p>
      <w:pPr>
        <w:spacing w:before="40" w:after="80" w:line="276" w:lineRule="auto"/>
      </w:pPr>
      <w:r>
        <w:rPr>
          <w:color w:val="334155"/>
          <w:sz w:val="19"/>
        </w:rPr>
        <w:t> The existing potable water and wastewater servicing conditions across the study area.</w:t>
      </w:r>
    </w:p>
    <w:p>
      <w:pPr>
        <w:spacing w:before="40" w:after="80" w:line="276" w:lineRule="auto"/>
      </w:pPr>
      <w:r>
        <w:rPr>
          <w:color w:val="334155"/>
          <w:sz w:val="19"/>
        </w:rPr>
        <w:t> Overview of opportunities to connect into existing potable water and wastewater infrastructure</w:t>
      </w:r>
    </w:p>
    <w:p>
      <w:pPr>
        <w:spacing w:before="40" w:after="80" w:line="276" w:lineRule="auto"/>
      </w:pPr>
      <w:r>
        <w:rPr>
          <w:color w:val="334155"/>
          <w:sz w:val="19"/>
        </w:rPr>
        <w:t> Key constraints and risks associated with potable water and wastewater servicing.</w:t>
      </w:r>
    </w:p>
    <w:p>
      <w:pPr>
        <w:spacing w:before="40" w:after="80" w:line="276" w:lineRule="auto"/>
      </w:pPr>
      <w:r>
        <w:rPr>
          <w:color w:val="334155"/>
          <w:sz w:val="19"/>
        </w:rPr>
        <w:t> Recommended actions before and after exhibition to support future precinct planning and development.</w:t>
      </w:r>
    </w:p>
    <w:p>
      <w:pPr>
        <w:spacing w:before="40" w:after="80" w:line="276" w:lineRule="auto"/>
      </w:pPr>
      <w:r>
        <w:rPr>
          <w:color w:val="334155"/>
          <w:sz w:val="19"/>
        </w:rPr>
        <w:t>2.1.1</w:t>
      </w:r>
    </w:p>
    <w:p>
      <w:pPr>
        <w:spacing w:before="40" w:after="80" w:line="276" w:lineRule="auto"/>
      </w:pPr>
      <w:r>
        <w:rPr>
          <w:color w:val="334155"/>
          <w:sz w:val="19"/>
        </w:rPr>
        <w:t>Potable water</w:t>
      </w:r>
    </w:p>
    <w:p>
      <w:pPr>
        <w:spacing w:before="40" w:after="80" w:line="276" w:lineRule="auto"/>
      </w:pPr>
      <w:r>
        <w:rPr>
          <w:color w:val="334155"/>
          <w:sz w:val="19"/>
        </w:rPr>
        <w:t>Current Conditions</w:t>
      </w:r>
    </w:p>
    <w:p>
      <w:pPr>
        <w:spacing w:before="40" w:after="80" w:line="276" w:lineRule="auto"/>
      </w:pPr>
      <w:r>
        <w:rPr>
          <w:color w:val="334155"/>
          <w:sz w:val="19"/>
        </w:rPr>
        <w:t>The Macquarie Coal Complex Precinct sits within Hunter Water’s water supply network and services all</w:t>
      </w:r>
    </w:p>
    <w:p>
      <w:pPr>
        <w:spacing w:before="40" w:after="80" w:line="276" w:lineRule="auto"/>
      </w:pPr>
      <w:r>
        <w:rPr>
          <w:color w:val="334155"/>
          <w:sz w:val="19"/>
        </w:rPr>
        <w:t>current potable water pipelines within the Precinct.</w:t>
      </w:r>
    </w:p>
    <w:p>
      <w:pPr>
        <w:spacing w:before="40" w:after="80" w:line="276" w:lineRule="auto"/>
      </w:pPr>
      <w:r>
        <w:rPr>
          <w:color w:val="334155"/>
          <w:sz w:val="19"/>
        </w:rPr>
        <w:t>The Precinct sits within Hunter Water’s South Wallsend and West Lake Macquarie System (Figure 2-1)</w:t>
      </w:r>
    </w:p>
    <w:p>
      <w:pPr>
        <w:spacing w:before="40" w:after="80" w:line="276" w:lineRule="auto"/>
      </w:pPr>
      <w:r>
        <w:rPr>
          <w:color w:val="334155"/>
          <w:sz w:val="19"/>
        </w:rPr>
        <w:t>which receives flows from Grahamstown Water Treatment Plant. Grahamstown Water Treatment Plant can</w:t>
      </w:r>
    </w:p>
    <w:p>
      <w:pPr>
        <w:spacing w:before="40" w:after="80" w:line="276" w:lineRule="auto"/>
      </w:pPr>
      <w:r>
        <w:rPr>
          <w:color w:val="334155"/>
          <w:sz w:val="19"/>
        </w:rPr>
        <w:t>currently treat 246 ML/d of normal quality raw water; it is expected to have spare capacity beyond 2034. The</w:t>
      </w:r>
    </w:p>
    <w:p>
      <w:pPr>
        <w:spacing w:before="40" w:after="80" w:line="276" w:lineRule="auto"/>
      </w:pPr>
      <w:r>
        <w:rPr>
          <w:color w:val="334155"/>
          <w:sz w:val="19"/>
        </w:rPr>
        <w:t>expected future spare capacity at the Grahamstown WTP is highlighted in Table 2-2.</w:t>
      </w:r>
    </w:p>
    <w:p>
      <w:pPr>
        <w:spacing w:before="40" w:after="80" w:line="276" w:lineRule="auto"/>
      </w:pPr>
      <w:r>
        <w:rPr>
          <w:color w:val="334155"/>
          <w:sz w:val="19"/>
        </w:rPr>
        <w:t>`</w:t>
      </w:r>
    </w:p>
    <w:p>
      <w:pPr>
        <w:pStyle w:val="Heading3"/>
        <w:keepNext/>
        <w:spacing w:before="160" w:after="40"/>
      </w:pPr>
      <w:r>
        <w:rPr>
          <w:b/>
          <w:color w:val="334155"/>
        </w:rPr>
        <w:t>Utilities Report Page 17</w:t>
      </w:r>
    </w:p>
    <w:p>
      <w:pPr>
        <w:spacing w:before="40" w:after="80" w:line="276" w:lineRule="auto"/>
      </w:pPr>
      <w:r>
        <w:rPr>
          <w:color w:val="334155"/>
          <w:sz w:val="19"/>
        </w:rPr>
        <w:t>`</w:t>
      </w:r>
    </w:p>
    <w:p>
      <w:pPr>
        <w:spacing w:before="40" w:after="80" w:line="276" w:lineRule="auto"/>
      </w:pPr>
      <w:r>
        <w:rPr>
          <w:color w:val="334155"/>
          <w:sz w:val="19"/>
        </w:rPr>
        <w:t>Project number 531168-000  File Utilities Engineering Report - Clean.docx  2026-07-01  Revision B</w:t>
      </w:r>
    </w:p>
    <w:p>
      <w:pPr>
        <w:spacing w:before="40" w:after="80" w:line="276" w:lineRule="auto"/>
      </w:pPr>
      <w:r>
        <w:rPr>
          <w:color w:val="334155"/>
          <w:sz w:val="19"/>
        </w:rPr>
        <w:t>9</w:t>
      </w:r>
    </w:p>
    <w:p>
      <w:pPr>
        <w:spacing w:before="40" w:after="80" w:line="276" w:lineRule="auto"/>
      </w:pPr>
      <w:r>
        <w:rPr>
          <w:color w:val="334155"/>
          <w:sz w:val="19"/>
        </w:rPr>
        <w:t>Wakefield Study Area</w:t>
      </w:r>
    </w:p>
    <w:p>
      <w:pPr>
        <w:spacing w:before="40" w:after="80" w:line="276" w:lineRule="auto"/>
      </w:pPr>
      <w:r>
        <w:rPr>
          <w:color w:val="334155"/>
          <w:sz w:val="19"/>
        </w:rPr>
        <w:t>The Wakefield site has no connection to the Hunter Water network, nor does it have any Hunter Water</w:t>
      </w:r>
    </w:p>
    <w:p>
      <w:pPr>
        <w:spacing w:before="40" w:after="80" w:line="276" w:lineRule="auto"/>
      </w:pPr>
      <w:r>
        <w:rPr>
          <w:color w:val="334155"/>
          <w:sz w:val="19"/>
        </w:rPr>
        <w:t>assets near the site. There are no other known sources of potable water in this area, and it is known that the</w:t>
      </w:r>
    </w:p>
    <w:p>
      <w:pPr>
        <w:spacing w:before="40" w:after="80" w:line="276" w:lineRule="auto"/>
      </w:pPr>
      <w:r>
        <w:rPr>
          <w:color w:val="334155"/>
          <w:sz w:val="19"/>
        </w:rPr>
        <w:t>nearby residential properties are off grid for their water supply.</w:t>
      </w:r>
    </w:p>
    <w:p>
      <w:pPr>
        <w:spacing w:before="40" w:after="80" w:line="276" w:lineRule="auto"/>
      </w:pPr>
      <w:r>
        <w:rPr>
          <w:color w:val="334155"/>
          <w:sz w:val="19"/>
        </w:rPr>
        <w:t>Opportunities</w:t>
      </w:r>
    </w:p>
    <w:p>
      <w:pPr>
        <w:spacing w:before="40" w:after="80" w:line="276" w:lineRule="auto"/>
      </w:pPr>
      <w:r>
        <w:rPr>
          <w:color w:val="334155"/>
          <w:sz w:val="19"/>
        </w:rPr>
        <w:t>The projected spare capacity at Grahamstown Water Treatment Plant through to 2034 presents an</w:t>
      </w:r>
    </w:p>
    <w:p>
      <w:pPr>
        <w:spacing w:before="40" w:after="80" w:line="276" w:lineRule="auto"/>
      </w:pPr>
      <w:r>
        <w:rPr>
          <w:color w:val="334155"/>
          <w:sz w:val="19"/>
        </w:rPr>
        <w:t>opportunity for the Precinct to leverage some of this spare capacity to service the proposed development.</w:t>
      </w:r>
    </w:p>
    <w:p>
      <w:pPr>
        <w:spacing w:before="40" w:after="80" w:line="276" w:lineRule="auto"/>
      </w:pPr>
      <w:r>
        <w:rPr>
          <w:color w:val="334155"/>
          <w:sz w:val="19"/>
        </w:rPr>
        <w:t>The Precinct benefits from having existing infrastructure to the north, Killingworth, Barnsley and Edgeworth,</w:t>
      </w:r>
    </w:p>
    <w:p>
      <w:pPr>
        <w:spacing w:before="40" w:after="80" w:line="276" w:lineRule="auto"/>
      </w:pPr>
      <w:r>
        <w:rPr>
          <w:color w:val="334155"/>
          <w:sz w:val="19"/>
        </w:rPr>
        <w:t>and to the east, Boolaroo and Argenton. This provides an opportunity to tap into these networks to reduce</w:t>
      </w:r>
    </w:p>
    <w:p>
      <w:pPr>
        <w:spacing w:before="40" w:after="80" w:line="276" w:lineRule="auto"/>
      </w:pPr>
      <w:r>
        <w:rPr>
          <w:color w:val="334155"/>
          <w:sz w:val="19"/>
        </w:rPr>
        <w:t>the need for significant infrastructure investment, this is dependent on the spare capacity within these</w:t>
      </w:r>
    </w:p>
    <w:p>
      <w:pPr>
        <w:spacing w:before="40" w:after="80" w:line="276" w:lineRule="auto"/>
      </w:pPr>
      <w:r>
        <w:rPr>
          <w:color w:val="334155"/>
          <w:sz w:val="19"/>
        </w:rPr>
        <w:t>networks which is unknown at this stage. The existing pipeline crossings from Boolaroo, DN315 and DN600,</w:t>
      </w:r>
    </w:p>
    <w:p>
      <w:pPr>
        <w:spacing w:before="40" w:after="80" w:line="276" w:lineRule="auto"/>
      </w:pPr>
      <w:r>
        <w:rPr>
          <w:color w:val="334155"/>
          <w:sz w:val="19"/>
        </w:rPr>
        <w:t>from which the DN150 through the Precinct branches off from, presents a potential opportunity to connect</w:t>
      </w:r>
    </w:p>
    <w:p>
      <w:pPr>
        <w:spacing w:before="40" w:after="80" w:line="276" w:lineRule="auto"/>
      </w:pPr>
      <w:r>
        <w:rPr>
          <w:color w:val="334155"/>
          <w:sz w:val="19"/>
        </w:rPr>
        <w:t>into one of the larger pipes to utilise the existing crossings of Cockle Creek.</w:t>
      </w:r>
    </w:p>
    <w:p>
      <w:pPr>
        <w:spacing w:before="40" w:after="80" w:line="276" w:lineRule="auto"/>
      </w:pPr>
      <w:r>
        <w:rPr>
          <w:color w:val="334155"/>
          <w:sz w:val="19"/>
        </w:rPr>
        <w:t>The Teralba Southgate study area is well positioned for future potable water growth needs, the site has an</w:t>
      </w:r>
    </w:p>
    <w:p>
      <w:pPr>
        <w:spacing w:before="40" w:after="80" w:line="276" w:lineRule="auto"/>
      </w:pPr>
      <w:r>
        <w:rPr>
          <w:color w:val="334155"/>
          <w:sz w:val="19"/>
        </w:rPr>
        <w:t>existing connecting into the Hunter Water network and is located in close proximity to larger pipelines if</w:t>
      </w:r>
    </w:p>
    <w:p>
      <w:pPr>
        <w:spacing w:before="40" w:after="80" w:line="276" w:lineRule="auto"/>
      </w:pPr>
      <w:r>
        <w:rPr>
          <w:color w:val="334155"/>
          <w:sz w:val="19"/>
        </w:rPr>
        <w:t>larger volumes of water are required.</w:t>
      </w:r>
    </w:p>
    <w:p>
      <w:pPr>
        <w:spacing w:before="40" w:after="80" w:line="276" w:lineRule="auto"/>
      </w:pPr>
      <w:r>
        <w:rPr>
          <w:color w:val="334155"/>
          <w:sz w:val="19"/>
        </w:rPr>
        <w:t>There is an opportunity to reduce the reliance on the potable water network by utilising nearby raw or</w:t>
      </w:r>
    </w:p>
    <w:p>
      <w:pPr>
        <w:spacing w:before="40" w:after="80" w:line="276" w:lineRule="auto"/>
      </w:pPr>
      <w:r>
        <w:rPr>
          <w:color w:val="334155"/>
          <w:sz w:val="19"/>
        </w:rPr>
        <w:t>recycled water sources to supplement potable water supply where land uses do not require potable quality</w:t>
      </w:r>
    </w:p>
    <w:p>
      <w:pPr>
        <w:spacing w:before="40" w:after="80" w:line="276" w:lineRule="auto"/>
      </w:pPr>
      <w:r>
        <w:rPr>
          <w:color w:val="334155"/>
          <w:sz w:val="19"/>
        </w:rPr>
        <w:t>water. Recycled water from Edgeworth Wastewater Treatment Works presents a potential supply</w:t>
      </w:r>
    </w:p>
    <w:p>
      <w:pPr>
        <w:spacing w:before="40" w:after="80" w:line="276" w:lineRule="auto"/>
      </w:pPr>
      <w:r>
        <w:rPr>
          <w:color w:val="334155"/>
          <w:sz w:val="19"/>
        </w:rPr>
        <w:t>opportunity, however, this should be further investigated to understand water quality and volume. Waratah</w:t>
      </w:r>
    </w:p>
    <w:p>
      <w:pPr>
        <w:spacing w:before="40" w:after="80" w:line="276" w:lineRule="auto"/>
      </w:pPr>
      <w:r>
        <w:rPr>
          <w:color w:val="334155"/>
          <w:sz w:val="19"/>
        </w:rPr>
        <w:t>Golf Course in Argenton currently uses effluent flow from the plant to irrigate their land. The large volumes of</w:t>
      </w:r>
    </w:p>
    <w:p>
      <w:pPr>
        <w:spacing w:before="40" w:after="80" w:line="276" w:lineRule="auto"/>
      </w:pPr>
      <w:r>
        <w:rPr>
          <w:color w:val="334155"/>
          <w:sz w:val="19"/>
        </w:rPr>
        <w:t>stored water onsite also present an opportunity to reduce potable water requirements, again the quality of</w:t>
      </w:r>
    </w:p>
    <w:p>
      <w:pPr>
        <w:spacing w:before="40" w:after="80" w:line="276" w:lineRule="auto"/>
      </w:pPr>
      <w:r>
        <w:rPr>
          <w:color w:val="334155"/>
          <w:sz w:val="19"/>
        </w:rPr>
        <w:t>water will need to be further investigated to determine if this option is feasible. Both of these opportunities</w:t>
      </w:r>
    </w:p>
    <w:p>
      <w:pPr>
        <w:spacing w:before="40" w:after="80" w:line="276" w:lineRule="auto"/>
      </w:pPr>
      <w:r>
        <w:rPr>
          <w:color w:val="334155"/>
          <w:sz w:val="19"/>
        </w:rPr>
        <w:t>are dependent on the proposed land uses for the Precinct.</w:t>
      </w:r>
    </w:p>
    <w:p>
      <w:pPr>
        <w:spacing w:before="40" w:after="80" w:line="276" w:lineRule="auto"/>
      </w:pPr>
      <w:r>
        <w:rPr>
          <w:color w:val="334155"/>
          <w:sz w:val="19"/>
        </w:rPr>
        <w:t>Constraints and Risks</w:t>
      </w:r>
    </w:p>
    <w:p>
      <w:pPr>
        <w:spacing w:before="40" w:after="80" w:line="276" w:lineRule="auto"/>
      </w:pPr>
      <w:r>
        <w:rPr>
          <w:color w:val="334155"/>
          <w:sz w:val="19"/>
        </w:rPr>
        <w:t>A large risk to the potable water servicing of the Precinct is the unknown capacity within the Hunter Water</w:t>
      </w:r>
    </w:p>
    <w:p>
      <w:pPr>
        <w:spacing w:before="40" w:after="80" w:line="276" w:lineRule="auto"/>
      </w:pPr>
      <w:r>
        <w:rPr>
          <w:color w:val="334155"/>
          <w:sz w:val="19"/>
        </w:rPr>
        <w:t>potable water transfer networks. At this stage, assumptions have been made as to feasible connection</w:t>
      </w:r>
    </w:p>
    <w:p>
      <w:pPr>
        <w:spacing w:before="40" w:after="80" w:line="276" w:lineRule="auto"/>
      </w:pPr>
      <w:r>
        <w:rPr>
          <w:color w:val="334155"/>
          <w:sz w:val="19"/>
        </w:rPr>
        <w:t>points, however, these assumptions are susceptible to change once greater engagement with Hunter Water</w:t>
      </w:r>
    </w:p>
    <w:p>
      <w:pPr>
        <w:spacing w:before="40" w:after="80" w:line="276" w:lineRule="auto"/>
      </w:pPr>
      <w:r>
        <w:rPr>
          <w:color w:val="334155"/>
          <w:sz w:val="19"/>
        </w:rPr>
        <w:t>is undertaken to better understand the potable water network in the surrounding area.</w:t>
      </w:r>
    </w:p>
    <w:p>
      <w:pPr>
        <w:spacing w:before="40" w:after="80" w:line="276" w:lineRule="auto"/>
      </w:pPr>
      <w:r>
        <w:rPr>
          <w:color w:val="334155"/>
          <w:sz w:val="19"/>
        </w:rPr>
        <w:t>There are large areas of the Precinct that are not currently serviced by Hunter Water, nor are located near</w:t>
      </w:r>
    </w:p>
    <w:p>
      <w:pPr>
        <w:spacing w:before="40" w:after="80" w:line="276" w:lineRule="auto"/>
      </w:pPr>
      <w:r>
        <w:rPr>
          <w:color w:val="334155"/>
          <w:sz w:val="19"/>
        </w:rPr>
        <w:t>an existing network. These areas include Wakefield study area and the southern section of the main</w:t>
      </w:r>
    </w:p>
    <w:p>
      <w:pPr>
        <w:spacing w:before="40" w:after="80" w:line="276" w:lineRule="auto"/>
      </w:pPr>
      <w:r>
        <w:rPr>
          <w:color w:val="334155"/>
          <w:sz w:val="19"/>
        </w:rPr>
        <w:t>Precinct. The barriers to connect these areas into the network will be greater and may restrict or delay their</w:t>
      </w:r>
    </w:p>
    <w:p>
      <w:pPr>
        <w:spacing w:before="40" w:after="80" w:line="276" w:lineRule="auto"/>
      </w:pPr>
      <w:r>
        <w:rPr>
          <w:color w:val="334155"/>
          <w:sz w:val="19"/>
        </w:rPr>
        <w:t>development potential.</w:t>
      </w:r>
    </w:p>
    <w:p>
      <w:pPr>
        <w:spacing w:before="40" w:after="80" w:line="276" w:lineRule="auto"/>
      </w:pPr>
      <w:r>
        <w:rPr>
          <w:color w:val="334155"/>
          <w:sz w:val="19"/>
        </w:rPr>
        <w:t>Cockle Creek, which surrounds much of the Precinct, produces a large geographical constraint as new</w:t>
      </w:r>
    </w:p>
    <w:p>
      <w:pPr>
        <w:spacing w:before="40" w:after="80" w:line="276" w:lineRule="auto"/>
      </w:pPr>
      <w:r>
        <w:rPr>
          <w:color w:val="334155"/>
          <w:sz w:val="19"/>
        </w:rPr>
        <w:t>infrastructure is likely required to cross the creek to bridge between the existing networks and the Precinct.</w:t>
      </w:r>
    </w:p>
    <w:p>
      <w:pPr>
        <w:spacing w:before="40" w:after="80" w:line="276" w:lineRule="auto"/>
      </w:pPr>
      <w:r>
        <w:rPr>
          <w:color w:val="334155"/>
          <w:sz w:val="19"/>
        </w:rPr>
        <w:t>Any potential creek crossings, whist feasible, present a higher cost for infrastructure construction.</w:t>
      </w:r>
    </w:p>
    <w:p>
      <w:pPr>
        <w:spacing w:before="40" w:after="80" w:line="276" w:lineRule="auto"/>
      </w:pPr>
      <w:r>
        <w:rPr>
          <w:color w:val="334155"/>
          <w:sz w:val="19"/>
        </w:rPr>
        <w:t>The existing pipelines within the Precinct are small and unlikely to have spare capacity; it is assumed that</w:t>
      </w:r>
    </w:p>
    <w:p>
      <w:pPr>
        <w:spacing w:before="40" w:after="80" w:line="276" w:lineRule="auto"/>
      </w:pPr>
      <w:r>
        <w:rPr>
          <w:color w:val="334155"/>
          <w:sz w:val="19"/>
        </w:rPr>
        <w:t>these will not be able to support significant development within the Precinct.</w:t>
      </w:r>
    </w:p>
    <w:p>
      <w:pPr>
        <w:spacing w:before="40" w:after="80" w:line="276" w:lineRule="auto"/>
      </w:pPr>
      <w:r>
        <w:rPr>
          <w:color w:val="334155"/>
          <w:sz w:val="19"/>
        </w:rPr>
        <w:t>Recommendations</w:t>
      </w:r>
    </w:p>
    <w:p>
      <w:pPr>
        <w:spacing w:before="40" w:after="80" w:line="276" w:lineRule="auto"/>
      </w:pPr>
      <w:r>
        <w:rPr>
          <w:color w:val="334155"/>
          <w:sz w:val="19"/>
        </w:rPr>
        <w:t> An application to Hunter Water has been made for the Precinct and any amendments to the strategy will</w:t>
      </w:r>
    </w:p>
    <w:p>
      <w:pPr>
        <w:spacing w:before="40" w:after="80" w:line="276" w:lineRule="auto"/>
      </w:pPr>
      <w:r>
        <w:rPr>
          <w:color w:val="334155"/>
          <w:sz w:val="19"/>
        </w:rPr>
        <w:t>be captured prior to finalisation. The below have been flagged with Hunter Water,</w:t>
      </w:r>
    </w:p>
    <w:p>
      <w:pPr>
        <w:spacing w:before="40" w:after="80" w:line="276" w:lineRule="auto"/>
      </w:pPr>
      <w:r>
        <w:rPr>
          <w:color w:val="334155"/>
          <w:sz w:val="19"/>
        </w:rPr>
        <w:t>− Investigate tapping into Cockle Creek crossing at the end of Creek Reserve Road where the DN600 &amp;</w:t>
      </w:r>
    </w:p>
    <w:p>
      <w:pPr>
        <w:spacing w:before="40" w:after="80" w:line="276" w:lineRule="auto"/>
      </w:pPr>
      <w:r>
        <w:rPr>
          <w:color w:val="334155"/>
          <w:sz w:val="19"/>
        </w:rPr>
        <w:t>DN315 cross</w:t>
      </w:r>
    </w:p>
    <w:p>
      <w:pPr>
        <w:spacing w:before="40" w:after="80" w:line="276" w:lineRule="auto"/>
      </w:pPr>
      <w:r>
        <w:rPr>
          <w:color w:val="334155"/>
          <w:sz w:val="19"/>
        </w:rPr>
        <w:t>− Understand spare capacity within the transfer network in the area</w:t>
      </w:r>
    </w:p>
    <w:p>
      <w:pPr>
        <w:spacing w:before="40" w:after="80" w:line="276" w:lineRule="auto"/>
      </w:pPr>
      <w:r>
        <w:rPr>
          <w:color w:val="334155"/>
          <w:sz w:val="19"/>
        </w:rPr>
        <w:t>`</w:t>
      </w:r>
    </w:p>
    <w:p>
      <w:pPr>
        <w:pStyle w:val="Heading2"/>
        <w:keepNext/>
        <w:spacing w:before="240" w:after="80"/>
      </w:pPr>
      <w:r>
        <w:rPr>
          <w:b/>
          <w:color w:val="0284C7"/>
        </w:rPr>
        <w:t>3. Geotechnical &amp; Subsidence</w:t>
      </w:r>
    </w:p>
    <w:p>
      <w:pPr>
        <w:pStyle w:val="Heading3"/>
        <w:keepNext/>
        <w:spacing w:before="160" w:after="40"/>
      </w:pPr>
      <w:r>
        <w:rPr>
          <w:b/>
          <w:color w:val="334155"/>
        </w:rPr>
        <w:t>Geotechnical Report Page 3</w:t>
      </w:r>
    </w:p>
    <w:p>
      <w:pPr>
        <w:spacing w:before="40" w:after="80" w:line="276" w:lineRule="auto"/>
      </w:pPr>
      <w:r>
        <w:rPr>
          <w:color w:val="334155"/>
          <w:sz w:val="19"/>
        </w:rPr>
        <w:t>`</w:t>
      </w:r>
    </w:p>
    <w:p>
      <w:pPr>
        <w:spacing w:before="40" w:after="80" w:line="276" w:lineRule="auto"/>
      </w:pPr>
      <w:r>
        <w:rPr>
          <w:color w:val="334155"/>
          <w:sz w:val="19"/>
        </w:rPr>
        <w:t>Contents</w:t>
      </w:r>
    </w:p>
    <w:p>
      <w:pPr>
        <w:spacing w:before="40" w:after="80" w:line="276" w:lineRule="auto"/>
      </w:pPr>
      <w:r>
        <w:rPr>
          <w:color w:val="334155"/>
          <w:sz w:val="19"/>
        </w:rPr>
        <w:t>Definitions and abbreviations ......................................................................................................................... 1</w:t>
      </w:r>
    </w:p>
    <w:p>
      <w:pPr>
        <w:spacing w:before="40" w:after="80" w:line="276" w:lineRule="auto"/>
      </w:pPr>
      <w:r>
        <w:rPr>
          <w:color w:val="334155"/>
          <w:sz w:val="19"/>
        </w:rPr>
        <w:t>1 Executive summary ..................................................................................................................................... 2</w:t>
      </w:r>
    </w:p>
    <w:p>
      <w:pPr>
        <w:spacing w:before="40" w:after="80" w:line="276" w:lineRule="auto"/>
      </w:pPr>
      <w:r>
        <w:rPr>
          <w:color w:val="334155"/>
          <w:sz w:val="19"/>
        </w:rPr>
        <w:t>1.1</w:t>
      </w:r>
    </w:p>
    <w:p>
      <w:pPr>
        <w:spacing w:before="40" w:after="80" w:line="276" w:lineRule="auto"/>
      </w:pPr>
      <w:r>
        <w:rPr>
          <w:color w:val="334155"/>
          <w:sz w:val="19"/>
        </w:rPr>
        <w:t>Key geotechnical constraints .................................................................................................... 2</w:t>
      </w:r>
    </w:p>
    <w:p>
      <w:pPr>
        <w:spacing w:before="40" w:after="80" w:line="276" w:lineRule="auto"/>
      </w:pPr>
      <w:r>
        <w:rPr>
          <w:color w:val="334155"/>
          <w:sz w:val="19"/>
        </w:rPr>
        <w:t>1.2</w:t>
      </w:r>
    </w:p>
    <w:p>
      <w:pPr>
        <w:spacing w:before="40" w:after="80" w:line="276" w:lineRule="auto"/>
      </w:pPr>
      <w:r>
        <w:rPr>
          <w:color w:val="334155"/>
          <w:sz w:val="19"/>
        </w:rPr>
        <w:t>Structure Plan sub-precincts and Teralba Southgate .............................................................. 2</w:t>
      </w:r>
    </w:p>
    <w:p>
      <w:pPr>
        <w:spacing w:before="40" w:after="80" w:line="276" w:lineRule="auto"/>
      </w:pPr>
      <w:r>
        <w:rPr>
          <w:color w:val="334155"/>
          <w:sz w:val="19"/>
        </w:rPr>
        <w:t>1.3</w:t>
      </w:r>
    </w:p>
    <w:p>
      <w:pPr>
        <w:spacing w:before="40" w:after="80" w:line="276" w:lineRule="auto"/>
      </w:pPr>
      <w:r>
        <w:rPr>
          <w:color w:val="334155"/>
          <w:sz w:val="19"/>
        </w:rPr>
        <w:t>Infrastructure and constructability ............................................................................................ 3</w:t>
      </w:r>
    </w:p>
    <w:p>
      <w:pPr>
        <w:spacing w:before="40" w:after="80" w:line="276" w:lineRule="auto"/>
      </w:pPr>
      <w:r>
        <w:rPr>
          <w:color w:val="334155"/>
          <w:sz w:val="19"/>
        </w:rPr>
        <w:t>1.4</w:t>
      </w:r>
    </w:p>
    <w:p>
      <w:pPr>
        <w:spacing w:before="40" w:after="80" w:line="276" w:lineRule="auto"/>
      </w:pPr>
      <w:r>
        <w:rPr>
          <w:color w:val="334155"/>
          <w:sz w:val="19"/>
        </w:rPr>
        <w:t>Data gaps and further investigations ........................................................................................ 3</w:t>
      </w:r>
    </w:p>
    <w:p>
      <w:pPr>
        <w:spacing w:before="40" w:after="80" w:line="276" w:lineRule="auto"/>
      </w:pPr>
      <w:r>
        <w:rPr>
          <w:color w:val="334155"/>
          <w:sz w:val="19"/>
        </w:rPr>
        <w:t>2 Introduction .................................................................................................................................................. 4</w:t>
      </w:r>
    </w:p>
    <w:p>
      <w:pPr>
        <w:spacing w:before="40" w:after="80" w:line="276" w:lineRule="auto"/>
      </w:pPr>
      <w:r>
        <w:rPr>
          <w:color w:val="334155"/>
          <w:sz w:val="19"/>
        </w:rPr>
        <w:t>2.1</w:t>
      </w:r>
    </w:p>
    <w:p>
      <w:pPr>
        <w:spacing w:before="40" w:after="80" w:line="276" w:lineRule="auto"/>
      </w:pPr>
      <w:r>
        <w:rPr>
          <w:color w:val="334155"/>
          <w:sz w:val="19"/>
        </w:rPr>
        <w:t>Background .............................................................................................................................. 4</w:t>
      </w:r>
    </w:p>
    <w:p>
      <w:pPr>
        <w:spacing w:before="40" w:after="80" w:line="276" w:lineRule="auto"/>
      </w:pPr>
      <w:r>
        <w:rPr>
          <w:color w:val="334155"/>
          <w:sz w:val="19"/>
        </w:rPr>
        <w:t>2.2</w:t>
      </w:r>
    </w:p>
    <w:p>
      <w:pPr>
        <w:spacing w:before="40" w:after="80" w:line="276" w:lineRule="auto"/>
      </w:pPr>
      <w:r>
        <w:rPr>
          <w:color w:val="334155"/>
          <w:sz w:val="19"/>
        </w:rPr>
        <w:t>Purpose of this report ............................................................................................................... 5</w:t>
      </w:r>
    </w:p>
    <w:p>
      <w:pPr>
        <w:spacing w:before="40" w:after="80" w:line="276" w:lineRule="auto"/>
      </w:pPr>
      <w:r>
        <w:rPr>
          <w:color w:val="334155"/>
          <w:sz w:val="19"/>
        </w:rPr>
        <w:t>2.3</w:t>
      </w:r>
    </w:p>
    <w:p>
      <w:pPr>
        <w:spacing w:before="40" w:after="80" w:line="276" w:lineRule="auto"/>
      </w:pPr>
      <w:r>
        <w:rPr>
          <w:color w:val="334155"/>
          <w:sz w:val="19"/>
        </w:rPr>
        <w:t>Assumptions and limitations ..................................................................................................... 6</w:t>
      </w:r>
    </w:p>
    <w:p>
      <w:pPr>
        <w:spacing w:before="40" w:after="80" w:line="276" w:lineRule="auto"/>
      </w:pPr>
      <w:r>
        <w:rPr>
          <w:color w:val="334155"/>
          <w:sz w:val="19"/>
        </w:rPr>
        <w:t>3 Desktop review ............................................................................................................................................ 7</w:t>
      </w:r>
    </w:p>
    <w:p>
      <w:pPr>
        <w:spacing w:before="40" w:after="80" w:line="276" w:lineRule="auto"/>
      </w:pPr>
      <w:r>
        <w:rPr>
          <w:color w:val="334155"/>
          <w:sz w:val="19"/>
        </w:rPr>
        <w:t>3.1</w:t>
      </w:r>
    </w:p>
    <w:p>
      <w:pPr>
        <w:spacing w:before="40" w:after="80" w:line="276" w:lineRule="auto"/>
      </w:pPr>
      <w:r>
        <w:rPr>
          <w:color w:val="334155"/>
          <w:sz w:val="19"/>
        </w:rPr>
        <w:t>Site description and topography ............................................................................................... 7</w:t>
      </w:r>
    </w:p>
    <w:p>
      <w:pPr>
        <w:spacing w:before="40" w:after="80" w:line="276" w:lineRule="auto"/>
      </w:pPr>
      <w:r>
        <w:rPr>
          <w:color w:val="334155"/>
          <w:sz w:val="19"/>
        </w:rPr>
        <w:t>3.2</w:t>
      </w:r>
    </w:p>
    <w:p>
      <w:pPr>
        <w:spacing w:before="40" w:after="80" w:line="276" w:lineRule="auto"/>
      </w:pPr>
      <w:r>
        <w:rPr>
          <w:color w:val="334155"/>
          <w:sz w:val="19"/>
        </w:rPr>
        <w:t>Historical land use .................................................................................................................. 10</w:t>
      </w:r>
    </w:p>
    <w:p>
      <w:pPr>
        <w:spacing w:before="40" w:after="80" w:line="276" w:lineRule="auto"/>
      </w:pPr>
      <w:r>
        <w:rPr>
          <w:color w:val="334155"/>
          <w:sz w:val="19"/>
        </w:rPr>
        <w:t>3.2.1</w:t>
      </w:r>
    </w:p>
    <w:p>
      <w:pPr>
        <w:spacing w:before="40" w:after="80" w:line="276" w:lineRule="auto"/>
      </w:pPr>
      <w:r>
        <w:rPr>
          <w:color w:val="334155"/>
          <w:sz w:val="19"/>
        </w:rPr>
        <w:t>Disturbed terrain ...................................................................................................... 10</w:t>
      </w:r>
    </w:p>
    <w:p>
      <w:pPr>
        <w:spacing w:before="40" w:after="80" w:line="276" w:lineRule="auto"/>
      </w:pPr>
      <w:r>
        <w:rPr>
          <w:color w:val="334155"/>
          <w:sz w:val="19"/>
        </w:rPr>
        <w:t>3.2.2</w:t>
      </w:r>
    </w:p>
    <w:p>
      <w:pPr>
        <w:spacing w:before="40" w:after="80" w:line="276" w:lineRule="auto"/>
      </w:pPr>
      <w:r>
        <w:rPr>
          <w:color w:val="334155"/>
          <w:sz w:val="19"/>
        </w:rPr>
        <w:t>TSF landform ........................................................................................................... 15</w:t>
      </w:r>
    </w:p>
    <w:p>
      <w:pPr>
        <w:spacing w:before="40" w:after="80" w:line="276" w:lineRule="auto"/>
      </w:pPr>
      <w:r>
        <w:rPr>
          <w:color w:val="334155"/>
          <w:sz w:val="19"/>
        </w:rPr>
        <w:t>3.3</w:t>
      </w:r>
    </w:p>
    <w:p>
      <w:pPr>
        <w:spacing w:before="40" w:after="80" w:line="276" w:lineRule="auto"/>
      </w:pPr>
      <w:r>
        <w:rPr>
          <w:color w:val="334155"/>
          <w:sz w:val="19"/>
        </w:rPr>
        <w:t>Regional geology and geomorphology ................................................................................... 15</w:t>
      </w:r>
    </w:p>
    <w:p>
      <w:pPr>
        <w:spacing w:before="40" w:after="80" w:line="276" w:lineRule="auto"/>
      </w:pPr>
      <w:r>
        <w:rPr>
          <w:color w:val="334155"/>
          <w:sz w:val="19"/>
        </w:rPr>
        <w:t>3.4</w:t>
      </w:r>
    </w:p>
    <w:p>
      <w:pPr>
        <w:spacing w:before="40" w:after="80" w:line="276" w:lineRule="auto"/>
      </w:pPr>
      <w:r>
        <w:rPr>
          <w:color w:val="334155"/>
          <w:sz w:val="19"/>
        </w:rPr>
        <w:t>Depth of regolith ..................................................................................................................... 20</w:t>
      </w:r>
    </w:p>
    <w:p>
      <w:pPr>
        <w:spacing w:before="40" w:after="80" w:line="276" w:lineRule="auto"/>
      </w:pPr>
      <w:r>
        <w:rPr>
          <w:color w:val="334155"/>
          <w:sz w:val="19"/>
        </w:rPr>
        <w:t>3.5</w:t>
      </w:r>
    </w:p>
    <w:p>
      <w:pPr>
        <w:spacing w:before="40" w:after="80" w:line="276" w:lineRule="auto"/>
      </w:pPr>
      <w:r>
        <w:rPr>
          <w:color w:val="334155"/>
          <w:sz w:val="19"/>
        </w:rPr>
        <w:t>Seismicity ............................................................................................................................... 21</w:t>
      </w:r>
    </w:p>
    <w:p>
      <w:pPr>
        <w:spacing w:before="40" w:after="80" w:line="276" w:lineRule="auto"/>
      </w:pPr>
      <w:r>
        <w:rPr>
          <w:color w:val="334155"/>
          <w:sz w:val="19"/>
        </w:rPr>
        <w:t>3.6</w:t>
      </w:r>
    </w:p>
    <w:p>
      <w:pPr>
        <w:spacing w:before="40" w:after="80" w:line="276" w:lineRule="auto"/>
      </w:pPr>
      <w:r>
        <w:rPr>
          <w:color w:val="334155"/>
          <w:sz w:val="19"/>
        </w:rPr>
        <w:t>Slope stability geo zones ........................................................................................................ 21</w:t>
      </w:r>
    </w:p>
    <w:p>
      <w:pPr>
        <w:spacing w:before="40" w:after="80" w:line="276" w:lineRule="auto"/>
      </w:pPr>
      <w:r>
        <w:rPr>
          <w:color w:val="334155"/>
          <w:sz w:val="19"/>
        </w:rPr>
        <w:t>3.7</w:t>
      </w:r>
    </w:p>
    <w:p>
      <w:pPr>
        <w:spacing w:before="40" w:after="80" w:line="276" w:lineRule="auto"/>
      </w:pPr>
      <w:r>
        <w:rPr>
          <w:color w:val="334155"/>
          <w:sz w:val="19"/>
        </w:rPr>
        <w:t>Site visit observations ............................................................................................................. 23</w:t>
      </w:r>
    </w:p>
    <w:p>
      <w:pPr>
        <w:spacing w:before="40" w:after="80" w:line="276" w:lineRule="auto"/>
      </w:pPr>
      <w:r>
        <w:rPr>
          <w:color w:val="334155"/>
          <w:sz w:val="19"/>
        </w:rPr>
        <w:t>3.7.1</w:t>
      </w:r>
    </w:p>
    <w:p>
      <w:pPr>
        <w:spacing w:before="40" w:after="80" w:line="276" w:lineRule="auto"/>
      </w:pPr>
      <w:r>
        <w:rPr>
          <w:color w:val="334155"/>
          <w:sz w:val="19"/>
        </w:rPr>
        <w:t>Rail loop ................................................................................................................... 23</w:t>
      </w:r>
    </w:p>
    <w:p>
      <w:pPr>
        <w:spacing w:before="40" w:after="80" w:line="276" w:lineRule="auto"/>
      </w:pPr>
      <w:r>
        <w:rPr>
          <w:color w:val="334155"/>
          <w:sz w:val="19"/>
        </w:rPr>
        <w:t>3.7.2</w:t>
      </w:r>
    </w:p>
    <w:p>
      <w:pPr>
        <w:spacing w:before="40" w:after="80" w:line="276" w:lineRule="auto"/>
      </w:pPr>
      <w:r>
        <w:rPr>
          <w:color w:val="334155"/>
          <w:sz w:val="19"/>
        </w:rPr>
        <w:t>Tailing Storage facility ............................................................................................. 23</w:t>
      </w:r>
    </w:p>
    <w:p>
      <w:pPr>
        <w:spacing w:before="40" w:after="80" w:line="276" w:lineRule="auto"/>
      </w:pPr>
      <w:r>
        <w:rPr>
          <w:color w:val="334155"/>
          <w:sz w:val="19"/>
        </w:rPr>
        <w:t>3.7.3</w:t>
      </w:r>
    </w:p>
    <w:p>
      <w:pPr>
        <w:spacing w:before="40" w:after="80" w:line="276" w:lineRule="auto"/>
      </w:pPr>
      <w:r>
        <w:rPr>
          <w:color w:val="334155"/>
          <w:sz w:val="19"/>
        </w:rPr>
        <w:t>Open cut lake site .................................................................................................... 24</w:t>
      </w:r>
    </w:p>
    <w:p>
      <w:pPr>
        <w:spacing w:before="40" w:after="80" w:line="276" w:lineRule="auto"/>
      </w:pPr>
      <w:r>
        <w:rPr>
          <w:color w:val="334155"/>
          <w:sz w:val="19"/>
        </w:rPr>
        <w:t>3.8</w:t>
      </w:r>
    </w:p>
    <w:p>
      <w:pPr>
        <w:spacing w:before="40" w:after="80" w:line="276" w:lineRule="auto"/>
      </w:pPr>
      <w:r>
        <w:rPr>
          <w:color w:val="334155"/>
          <w:sz w:val="19"/>
        </w:rPr>
        <w:t>Soil landscapes ...................................................................................................................... 24</w:t>
      </w:r>
    </w:p>
    <w:p>
      <w:pPr>
        <w:spacing w:before="40" w:after="80" w:line="276" w:lineRule="auto"/>
      </w:pPr>
      <w:r>
        <w:rPr>
          <w:color w:val="334155"/>
          <w:sz w:val="19"/>
        </w:rPr>
        <w:t>3.9</w:t>
      </w:r>
    </w:p>
    <w:p>
      <w:pPr>
        <w:spacing w:before="40" w:after="80" w:line="276" w:lineRule="auto"/>
      </w:pPr>
      <w:r>
        <w:rPr>
          <w:color w:val="334155"/>
          <w:sz w:val="19"/>
        </w:rPr>
        <w:t>Acid Sufalte Soils .................................................................................................................... 28</w:t>
      </w:r>
    </w:p>
    <w:p>
      <w:pPr>
        <w:spacing w:before="40" w:after="80" w:line="276" w:lineRule="auto"/>
      </w:pPr>
      <w:r>
        <w:rPr>
          <w:color w:val="334155"/>
          <w:sz w:val="19"/>
        </w:rPr>
        <w:t>3.10</w:t>
      </w:r>
    </w:p>
    <w:p>
      <w:pPr>
        <w:spacing w:before="40" w:after="80" w:line="276" w:lineRule="auto"/>
      </w:pPr>
      <w:r>
        <w:rPr>
          <w:color w:val="334155"/>
          <w:sz w:val="19"/>
        </w:rPr>
        <w:t>Salinity .................................................................................................................................... 29</w:t>
      </w:r>
    </w:p>
    <w:p>
      <w:pPr>
        <w:spacing w:before="40" w:after="80" w:line="276" w:lineRule="auto"/>
      </w:pPr>
      <w:r>
        <w:rPr>
          <w:color w:val="334155"/>
          <w:sz w:val="19"/>
        </w:rPr>
        <w:t>3.11</w:t>
      </w:r>
    </w:p>
    <w:p>
      <w:pPr>
        <w:spacing w:before="40" w:after="80" w:line="276" w:lineRule="auto"/>
      </w:pPr>
      <w:r>
        <w:rPr>
          <w:color w:val="334155"/>
          <w:sz w:val="19"/>
        </w:rPr>
        <w:t>Groundwater ........................................................................................................................... 30</w:t>
      </w:r>
    </w:p>
    <w:p>
      <w:pPr>
        <w:spacing w:before="40" w:after="80" w:line="276" w:lineRule="auto"/>
      </w:pPr>
      <w:r>
        <w:rPr>
          <w:color w:val="334155"/>
          <w:sz w:val="19"/>
        </w:rPr>
        <w:t>3.12</w:t>
      </w:r>
    </w:p>
    <w:p>
      <w:pPr>
        <w:spacing w:before="40" w:after="80" w:line="276" w:lineRule="auto"/>
      </w:pPr>
      <w:r>
        <w:rPr>
          <w:color w:val="334155"/>
          <w:sz w:val="19"/>
        </w:rPr>
        <w:t>Mine subsidence ..................................................................................................................... 32</w:t>
      </w:r>
    </w:p>
    <w:p>
      <w:pPr>
        <w:spacing w:before="40" w:after="80" w:line="276" w:lineRule="auto"/>
      </w:pPr>
      <w:r>
        <w:rPr>
          <w:color w:val="334155"/>
          <w:sz w:val="19"/>
        </w:rPr>
        <w:t>3.13</w:t>
      </w:r>
    </w:p>
    <w:p>
      <w:pPr>
        <w:spacing w:before="40" w:after="80" w:line="276" w:lineRule="auto"/>
      </w:pPr>
      <w:r>
        <w:rPr>
          <w:color w:val="334155"/>
          <w:sz w:val="19"/>
        </w:rPr>
        <w:t>Available geotechnical information ......................................................................................... 36</w:t>
      </w:r>
    </w:p>
    <w:p>
      <w:pPr>
        <w:spacing w:before="40" w:after="80" w:line="276" w:lineRule="auto"/>
      </w:pPr>
      <w:r>
        <w:rPr>
          <w:color w:val="334155"/>
          <w:sz w:val="19"/>
        </w:rPr>
        <w:t>3.13.1</w:t>
      </w:r>
    </w:p>
    <w:p>
      <w:pPr>
        <w:spacing w:before="40" w:after="80" w:line="276" w:lineRule="auto"/>
      </w:pPr>
      <w:r>
        <w:rPr>
          <w:color w:val="334155"/>
          <w:sz w:val="19"/>
        </w:rPr>
        <w:t>New South Wales Government ............................................................................... 36</w:t>
      </w:r>
    </w:p>
    <w:p>
      <w:pPr>
        <w:spacing w:before="40" w:after="80" w:line="276" w:lineRule="auto"/>
      </w:pPr>
      <w:r>
        <w:rPr>
          <w:color w:val="334155"/>
          <w:sz w:val="19"/>
        </w:rPr>
        <w:t>3.13.2</w:t>
      </w:r>
    </w:p>
    <w:p>
      <w:pPr>
        <w:spacing w:before="40" w:after="80" w:line="276" w:lineRule="auto"/>
      </w:pPr>
      <w:r>
        <w:rPr>
          <w:color w:val="334155"/>
          <w:sz w:val="19"/>
        </w:rPr>
        <w:t>Existing geotechnical investigations ........................................................................ 36</w:t>
      </w:r>
    </w:p>
    <w:p>
      <w:pPr>
        <w:spacing w:before="40" w:after="80" w:line="276" w:lineRule="auto"/>
      </w:pPr>
      <w:r>
        <w:rPr>
          <w:color w:val="334155"/>
          <w:sz w:val="19"/>
        </w:rPr>
        <w:t>4 Structure Plan preliminary ground models ............................................................................................ 42</w:t>
      </w:r>
    </w:p>
    <w:p>
      <w:pPr>
        <w:spacing w:before="40" w:after="80" w:line="276" w:lineRule="auto"/>
      </w:pPr>
      <w:r>
        <w:rPr>
          <w:color w:val="334155"/>
          <w:sz w:val="19"/>
        </w:rPr>
        <w:t>5 Geotechnical constraints assessment .................................................................................................... 46</w:t>
      </w:r>
    </w:p>
    <w:p>
      <w:pPr>
        <w:spacing w:before="40" w:after="80" w:line="276" w:lineRule="auto"/>
      </w:pPr>
      <w:r>
        <w:rPr>
          <w:color w:val="334155"/>
          <w:sz w:val="19"/>
        </w:rPr>
        <w:t>5.1</w:t>
      </w:r>
    </w:p>
    <w:p>
      <w:pPr>
        <w:spacing w:before="40" w:after="80" w:line="276" w:lineRule="auto"/>
      </w:pPr>
      <w:r>
        <w:rPr>
          <w:color w:val="334155"/>
          <w:sz w:val="19"/>
        </w:rPr>
        <w:t>Key geotechnical criteria ........................................................................................................ 46</w:t>
      </w:r>
    </w:p>
    <w:p>
      <w:pPr>
        <w:spacing w:before="40" w:after="80" w:line="276" w:lineRule="auto"/>
      </w:pPr>
      <w:r>
        <w:rPr>
          <w:color w:val="334155"/>
          <w:sz w:val="19"/>
        </w:rPr>
        <w:t>5.2</w:t>
      </w:r>
    </w:p>
    <w:p>
      <w:pPr>
        <w:spacing w:before="40" w:after="80" w:line="276" w:lineRule="auto"/>
      </w:pPr>
      <w:r>
        <w:rPr>
          <w:color w:val="334155"/>
          <w:sz w:val="19"/>
        </w:rPr>
        <w:t>Data confidence ...................................................................................................................... 46</w:t>
      </w:r>
    </w:p>
    <w:p>
      <w:pPr>
        <w:spacing w:before="40" w:after="80" w:line="276" w:lineRule="auto"/>
      </w:pPr>
      <w:r>
        <w:rPr>
          <w:color w:val="334155"/>
          <w:sz w:val="19"/>
        </w:rPr>
        <w:t>5.3</w:t>
      </w:r>
    </w:p>
    <w:p>
      <w:pPr>
        <w:spacing w:before="40" w:after="80" w:line="276" w:lineRule="auto"/>
      </w:pPr>
      <w:r>
        <w:rPr>
          <w:color w:val="334155"/>
          <w:sz w:val="19"/>
        </w:rPr>
        <w:t>Methodology ........................................................................................................................... 47</w:t>
      </w:r>
    </w:p>
    <w:p>
      <w:pPr>
        <w:spacing w:before="40" w:after="80" w:line="276" w:lineRule="auto"/>
      </w:pPr>
      <w:r>
        <w:rPr>
          <w:color w:val="334155"/>
          <w:sz w:val="19"/>
        </w:rPr>
        <w:t>5.3.1</w:t>
      </w:r>
    </w:p>
    <w:p>
      <w:pPr>
        <w:spacing w:before="40" w:after="80" w:line="276" w:lineRule="auto"/>
      </w:pPr>
      <w:r>
        <w:rPr>
          <w:color w:val="334155"/>
          <w:sz w:val="19"/>
        </w:rPr>
        <w:t>Slope stability criterion............................................................................................. 48</w:t>
      </w:r>
    </w:p>
    <w:p>
      <w:pPr>
        <w:spacing w:before="40" w:after="80" w:line="276" w:lineRule="auto"/>
      </w:pPr>
      <w:r>
        <w:rPr>
          <w:color w:val="334155"/>
          <w:sz w:val="19"/>
        </w:rPr>
        <w:t>5.3.2</w:t>
      </w:r>
    </w:p>
    <w:p>
      <w:pPr>
        <w:spacing w:before="40" w:after="80" w:line="276" w:lineRule="auto"/>
      </w:pPr>
      <w:r>
        <w:rPr>
          <w:color w:val="334155"/>
          <w:sz w:val="19"/>
        </w:rPr>
        <w:t>Slope stability criterion (geo zones) ........................................................................ 48</w:t>
      </w:r>
    </w:p>
    <w:p>
      <w:pPr>
        <w:spacing w:before="40" w:after="80" w:line="276" w:lineRule="auto"/>
      </w:pPr>
      <w:r>
        <w:rPr>
          <w:color w:val="334155"/>
          <w:sz w:val="19"/>
        </w:rPr>
        <w:t>5.3.3</w:t>
      </w:r>
    </w:p>
    <w:p>
      <w:pPr>
        <w:spacing w:before="40" w:after="80" w:line="276" w:lineRule="auto"/>
      </w:pPr>
      <w:r>
        <w:rPr>
          <w:color w:val="334155"/>
          <w:sz w:val="19"/>
        </w:rPr>
        <w:t>Geology criterion ..................................................................................................... 49</w:t>
      </w:r>
    </w:p>
    <w:p>
      <w:pPr>
        <w:spacing w:before="40" w:after="80" w:line="276" w:lineRule="auto"/>
      </w:pPr>
      <w:r>
        <w:rPr>
          <w:color w:val="334155"/>
          <w:sz w:val="19"/>
        </w:rPr>
        <w:t>5.3.4</w:t>
      </w:r>
    </w:p>
    <w:p>
      <w:pPr>
        <w:spacing w:before="40" w:after="80" w:line="276" w:lineRule="auto"/>
      </w:pPr>
      <w:r>
        <w:rPr>
          <w:color w:val="334155"/>
          <w:sz w:val="19"/>
        </w:rPr>
        <w:t>Depth of regolith criterion ........................................................................................ 51</w:t>
      </w:r>
    </w:p>
    <w:p>
      <w:pPr>
        <w:spacing w:before="40" w:after="80" w:line="276" w:lineRule="auto"/>
      </w:pPr>
      <w:r>
        <w:rPr>
          <w:color w:val="334155"/>
          <w:sz w:val="19"/>
        </w:rPr>
        <w:t>5.3.5</w:t>
      </w:r>
    </w:p>
    <w:p>
      <w:pPr>
        <w:spacing w:before="40" w:after="80" w:line="276" w:lineRule="auto"/>
      </w:pPr>
      <w:r>
        <w:rPr>
          <w:color w:val="334155"/>
          <w:sz w:val="19"/>
        </w:rPr>
        <w:t>Soil landscapes criterion ......................................................................................... 52</w:t>
      </w:r>
    </w:p>
    <w:p>
      <w:pPr>
        <w:spacing w:before="40" w:after="80" w:line="276" w:lineRule="auto"/>
      </w:pPr>
      <w:r>
        <w:rPr>
          <w:color w:val="334155"/>
          <w:sz w:val="19"/>
        </w:rPr>
        <w:t>5.3.6</w:t>
      </w:r>
    </w:p>
    <w:p>
      <w:pPr>
        <w:spacing w:before="40" w:after="80" w:line="276" w:lineRule="auto"/>
      </w:pPr>
      <w:r>
        <w:rPr>
          <w:color w:val="334155"/>
          <w:sz w:val="19"/>
        </w:rPr>
        <w:t>ASS criterion ............................................................................................................ 54</w:t>
      </w:r>
    </w:p>
    <w:p>
      <w:pPr>
        <w:spacing w:before="40" w:after="80" w:line="276" w:lineRule="auto"/>
      </w:pPr>
      <w:r>
        <w:rPr>
          <w:color w:val="334155"/>
          <w:sz w:val="19"/>
        </w:rPr>
        <w:t>5.3.7</w:t>
      </w:r>
    </w:p>
    <w:p>
      <w:pPr>
        <w:spacing w:before="40" w:after="80" w:line="276" w:lineRule="auto"/>
      </w:pPr>
      <w:r>
        <w:rPr>
          <w:color w:val="334155"/>
          <w:sz w:val="19"/>
        </w:rPr>
        <w:t>Salinity criterion ....................................................................................................... 55</w:t>
      </w:r>
    </w:p>
    <w:p>
      <w:pPr>
        <w:spacing w:before="40" w:after="80" w:line="276" w:lineRule="auto"/>
      </w:pPr>
      <w:r>
        <w:rPr>
          <w:color w:val="334155"/>
          <w:sz w:val="19"/>
        </w:rPr>
        <w:t>5.3.8</w:t>
      </w:r>
    </w:p>
    <w:p>
      <w:pPr>
        <w:spacing w:before="40" w:after="80" w:line="276" w:lineRule="auto"/>
      </w:pPr>
      <w:r>
        <w:rPr>
          <w:color w:val="334155"/>
          <w:sz w:val="19"/>
        </w:rPr>
        <w:t>Mine subsidence criterion ........................................................................................ 56</w:t>
      </w:r>
    </w:p>
    <w:p>
      <w:pPr>
        <w:spacing w:before="40" w:after="80" w:line="276" w:lineRule="auto"/>
      </w:pPr>
      <w:r>
        <w:rPr>
          <w:color w:val="334155"/>
          <w:sz w:val="19"/>
        </w:rPr>
        <w:t>5.4</w:t>
      </w:r>
    </w:p>
    <w:p>
      <w:pPr>
        <w:spacing w:before="40" w:after="80" w:line="276" w:lineRule="auto"/>
      </w:pPr>
      <w:r>
        <w:rPr>
          <w:color w:val="334155"/>
          <w:sz w:val="19"/>
        </w:rPr>
        <w:t>Summary of near surface geotechnical risk ranking per sub-precinct ................................... 57</w:t>
      </w:r>
    </w:p>
    <w:p>
      <w:pPr>
        <w:spacing w:before="40" w:after="80" w:line="276" w:lineRule="auto"/>
      </w:pPr>
      <w:r>
        <w:rPr>
          <w:color w:val="334155"/>
          <w:sz w:val="19"/>
        </w:rPr>
        <w:t>5.5</w:t>
      </w:r>
    </w:p>
    <w:p>
      <w:pPr>
        <w:spacing w:before="40" w:after="80" w:line="276" w:lineRule="auto"/>
      </w:pPr>
      <w:r>
        <w:rPr>
          <w:color w:val="334155"/>
          <w:sz w:val="19"/>
        </w:rPr>
        <w:t>TSF area risk ranking ............................................................................................................. 59</w:t>
      </w:r>
    </w:p>
    <w:p>
      <w:pPr>
        <w:spacing w:before="40" w:after="80" w:line="276" w:lineRule="auto"/>
      </w:pPr>
      <w:r>
        <w:rPr>
          <w:color w:val="334155"/>
          <w:sz w:val="19"/>
        </w:rPr>
        <w:t>`</w:t>
      </w:r>
    </w:p>
    <w:p>
      <w:pPr>
        <w:pStyle w:val="Heading3"/>
        <w:keepNext/>
        <w:spacing w:before="160" w:after="40"/>
      </w:pPr>
      <w:r>
        <w:rPr>
          <w:b/>
          <w:color w:val="334155"/>
        </w:rPr>
        <w:t>Geotechnical Report Page 4</w:t>
      </w:r>
    </w:p>
    <w:p>
      <w:pPr>
        <w:spacing w:before="40" w:after="80" w:line="276" w:lineRule="auto"/>
      </w:pPr>
      <w:r>
        <w:rPr>
          <w:color w:val="334155"/>
          <w:sz w:val="19"/>
        </w:rPr>
        <w:t>`</w:t>
      </w:r>
    </w:p>
    <w:p>
      <w:pPr>
        <w:spacing w:before="40" w:after="80" w:line="276" w:lineRule="auto"/>
      </w:pPr>
      <w:r>
        <w:rPr>
          <w:color w:val="334155"/>
          <w:sz w:val="19"/>
        </w:rPr>
        <w:t>6 Land use scenario ..................................................................................................................................... 61</w:t>
      </w:r>
    </w:p>
    <w:p>
      <w:pPr>
        <w:spacing w:before="40" w:after="80" w:line="276" w:lineRule="auto"/>
      </w:pPr>
      <w:r>
        <w:rPr>
          <w:color w:val="334155"/>
          <w:sz w:val="19"/>
        </w:rPr>
        <w:t>6.1</w:t>
      </w:r>
    </w:p>
    <w:p>
      <w:pPr>
        <w:spacing w:before="40" w:after="80" w:line="276" w:lineRule="auto"/>
      </w:pPr>
      <w:r>
        <w:rPr>
          <w:color w:val="334155"/>
          <w:sz w:val="19"/>
        </w:rPr>
        <w:t>Key scenario findings ............................................................................................................. 61</w:t>
      </w:r>
    </w:p>
    <w:p>
      <w:pPr>
        <w:spacing w:before="40" w:after="80" w:line="276" w:lineRule="auto"/>
      </w:pPr>
      <w:r>
        <w:rPr>
          <w:color w:val="334155"/>
          <w:sz w:val="19"/>
        </w:rPr>
        <w:t>7 Structure plan assessment ...................................................................................................................... 62</w:t>
      </w:r>
    </w:p>
    <w:p>
      <w:pPr>
        <w:spacing w:before="40" w:after="80" w:line="276" w:lineRule="auto"/>
      </w:pPr>
      <w:r>
        <w:rPr>
          <w:color w:val="334155"/>
          <w:sz w:val="19"/>
        </w:rPr>
        <w:t>7.1</w:t>
      </w:r>
    </w:p>
    <w:p>
      <w:pPr>
        <w:spacing w:before="40" w:after="80" w:line="276" w:lineRule="auto"/>
      </w:pPr>
      <w:r>
        <w:rPr>
          <w:color w:val="334155"/>
          <w:sz w:val="19"/>
        </w:rPr>
        <w:t>Approach ................................................................................................................................ 62</w:t>
      </w:r>
    </w:p>
    <w:p>
      <w:pPr>
        <w:spacing w:before="40" w:after="80" w:line="276" w:lineRule="auto"/>
      </w:pPr>
      <w:r>
        <w:rPr>
          <w:color w:val="334155"/>
          <w:sz w:val="19"/>
        </w:rPr>
        <w:t>7.2</w:t>
      </w:r>
    </w:p>
    <w:p>
      <w:pPr>
        <w:spacing w:before="40" w:after="80" w:line="276" w:lineRule="auto"/>
      </w:pPr>
      <w:r>
        <w:rPr>
          <w:color w:val="334155"/>
          <w:sz w:val="19"/>
        </w:rPr>
        <w:t>Proposed Structure Plan ........................................................................................................ 62</w:t>
      </w:r>
    </w:p>
    <w:p>
      <w:pPr>
        <w:spacing w:before="40" w:after="80" w:line="276" w:lineRule="auto"/>
      </w:pPr>
      <w:r>
        <w:rPr>
          <w:color w:val="334155"/>
          <w:sz w:val="19"/>
        </w:rPr>
        <w:t>7.3</w:t>
      </w:r>
    </w:p>
    <w:p>
      <w:pPr>
        <w:spacing w:before="40" w:after="80" w:line="276" w:lineRule="auto"/>
      </w:pPr>
      <w:r>
        <w:rPr>
          <w:color w:val="334155"/>
          <w:sz w:val="19"/>
        </w:rPr>
        <w:t>Geotechnical assessment of the Structure Plan .................................................................... 62</w:t>
      </w:r>
    </w:p>
    <w:p>
      <w:pPr>
        <w:spacing w:before="40" w:after="80" w:line="276" w:lineRule="auto"/>
      </w:pPr>
      <w:r>
        <w:rPr>
          <w:color w:val="334155"/>
          <w:sz w:val="19"/>
        </w:rPr>
        <w:t>7.4</w:t>
      </w:r>
    </w:p>
    <w:p>
      <w:pPr>
        <w:spacing w:before="40" w:after="80" w:line="276" w:lineRule="auto"/>
      </w:pPr>
      <w:r>
        <w:rPr>
          <w:color w:val="334155"/>
          <w:sz w:val="19"/>
        </w:rPr>
        <w:t>Constructability ....................................................................................................................... 67</w:t>
      </w:r>
    </w:p>
    <w:p>
      <w:pPr>
        <w:spacing w:before="40" w:after="80" w:line="276" w:lineRule="auto"/>
      </w:pPr>
      <w:r>
        <w:rPr>
          <w:color w:val="334155"/>
          <w:sz w:val="19"/>
        </w:rPr>
        <w:t>7.4.1</w:t>
      </w:r>
    </w:p>
    <w:p>
      <w:pPr>
        <w:spacing w:before="40" w:after="80" w:line="276" w:lineRule="auto"/>
      </w:pPr>
      <w:r>
        <w:rPr>
          <w:color w:val="334155"/>
          <w:sz w:val="19"/>
        </w:rPr>
        <w:t>Flood management .................................................................................................. 67</w:t>
      </w:r>
    </w:p>
    <w:p>
      <w:pPr>
        <w:spacing w:before="40" w:after="80" w:line="276" w:lineRule="auto"/>
      </w:pPr>
      <w:r>
        <w:rPr>
          <w:color w:val="334155"/>
          <w:sz w:val="19"/>
        </w:rPr>
        <w:t>7.4.2</w:t>
      </w:r>
    </w:p>
    <w:p>
      <w:pPr>
        <w:spacing w:before="40" w:after="80" w:line="276" w:lineRule="auto"/>
      </w:pPr>
      <w:r>
        <w:rPr>
          <w:color w:val="334155"/>
          <w:sz w:val="19"/>
        </w:rPr>
        <w:t>Earthworks considerations ...................................................................................... 67</w:t>
      </w:r>
    </w:p>
    <w:p>
      <w:pPr>
        <w:spacing w:before="40" w:after="80" w:line="276" w:lineRule="auto"/>
      </w:pPr>
      <w:r>
        <w:rPr>
          <w:color w:val="334155"/>
          <w:sz w:val="19"/>
        </w:rPr>
        <w:t>7.4.3</w:t>
      </w:r>
    </w:p>
    <w:p>
      <w:pPr>
        <w:spacing w:before="40" w:after="80" w:line="276" w:lineRule="auto"/>
      </w:pPr>
      <w:r>
        <w:rPr>
          <w:color w:val="334155"/>
          <w:sz w:val="19"/>
        </w:rPr>
        <w:t>Shallow foundations ................................................................................................ 68</w:t>
      </w:r>
    </w:p>
    <w:p>
      <w:pPr>
        <w:spacing w:before="40" w:after="80" w:line="276" w:lineRule="auto"/>
      </w:pPr>
      <w:r>
        <w:rPr>
          <w:color w:val="334155"/>
          <w:sz w:val="19"/>
        </w:rPr>
        <w:t>7.4.4</w:t>
      </w:r>
    </w:p>
    <w:p>
      <w:pPr>
        <w:spacing w:before="40" w:after="80" w:line="276" w:lineRule="auto"/>
      </w:pPr>
      <w:r>
        <w:rPr>
          <w:color w:val="334155"/>
          <w:sz w:val="19"/>
        </w:rPr>
        <w:t>Deep foundations .................................................................................................... 68</w:t>
      </w:r>
    </w:p>
    <w:p>
      <w:pPr>
        <w:spacing w:before="40" w:after="80" w:line="276" w:lineRule="auto"/>
      </w:pPr>
      <w:r>
        <w:rPr>
          <w:color w:val="334155"/>
          <w:sz w:val="19"/>
        </w:rPr>
        <w:t>7.4.5</w:t>
      </w:r>
    </w:p>
    <w:p>
      <w:pPr>
        <w:spacing w:before="40" w:after="80" w:line="276" w:lineRule="auto"/>
      </w:pPr>
      <w:r>
        <w:rPr>
          <w:color w:val="334155"/>
          <w:sz w:val="19"/>
        </w:rPr>
        <w:t>Utilities ..................................................................................................................... 69</w:t>
      </w:r>
    </w:p>
    <w:p>
      <w:pPr>
        <w:spacing w:before="40" w:after="80" w:line="276" w:lineRule="auto"/>
      </w:pPr>
      <w:r>
        <w:rPr>
          <w:color w:val="334155"/>
          <w:sz w:val="19"/>
        </w:rPr>
        <w:t>7.4.6</w:t>
      </w:r>
    </w:p>
    <w:p>
      <w:pPr>
        <w:spacing w:before="40" w:after="80" w:line="276" w:lineRule="auto"/>
      </w:pPr>
      <w:r>
        <w:rPr>
          <w:color w:val="334155"/>
          <w:sz w:val="19"/>
        </w:rPr>
        <w:t>Pavements and roads ............................................................................................. 69</w:t>
      </w:r>
    </w:p>
    <w:p>
      <w:pPr>
        <w:spacing w:before="40" w:after="80" w:line="276" w:lineRule="auto"/>
      </w:pPr>
      <w:r>
        <w:rPr>
          <w:color w:val="334155"/>
          <w:sz w:val="19"/>
        </w:rPr>
        <w:t>7.4.7</w:t>
      </w:r>
    </w:p>
    <w:p>
      <w:pPr>
        <w:spacing w:before="40" w:after="80" w:line="276" w:lineRule="auto"/>
      </w:pPr>
      <w:r>
        <w:rPr>
          <w:color w:val="334155"/>
          <w:sz w:val="19"/>
        </w:rPr>
        <w:t>Acid Sulfate Soils ..................................................................................................... 69</w:t>
      </w:r>
    </w:p>
    <w:p>
      <w:pPr>
        <w:spacing w:before="40" w:after="80" w:line="276" w:lineRule="auto"/>
      </w:pPr>
      <w:r>
        <w:rPr>
          <w:color w:val="334155"/>
          <w:sz w:val="19"/>
        </w:rPr>
        <w:t>7.4.8</w:t>
      </w:r>
    </w:p>
    <w:p>
      <w:pPr>
        <w:spacing w:before="40" w:after="80" w:line="276" w:lineRule="auto"/>
      </w:pPr>
      <w:r>
        <w:rPr>
          <w:color w:val="334155"/>
          <w:sz w:val="19"/>
        </w:rPr>
        <w:t>Mine subsidence ...................................................................................................... 69</w:t>
      </w:r>
    </w:p>
    <w:p>
      <w:pPr>
        <w:spacing w:before="40" w:after="80" w:line="276" w:lineRule="auto"/>
      </w:pPr>
      <w:r>
        <w:rPr>
          <w:color w:val="334155"/>
          <w:sz w:val="19"/>
        </w:rPr>
        <w:t>7.4.9</w:t>
      </w:r>
    </w:p>
    <w:p>
      <w:pPr>
        <w:spacing w:before="40" w:after="80" w:line="276" w:lineRule="auto"/>
      </w:pPr>
      <w:r>
        <w:rPr>
          <w:color w:val="334155"/>
          <w:sz w:val="19"/>
        </w:rPr>
        <w:t>TSF area .................................................................................................................. 71</w:t>
      </w:r>
    </w:p>
    <w:p>
      <w:pPr>
        <w:spacing w:before="40" w:after="80" w:line="276" w:lineRule="auto"/>
      </w:pPr>
      <w:r>
        <w:rPr>
          <w:color w:val="334155"/>
          <w:sz w:val="19"/>
        </w:rPr>
        <w:t>8 Recommendations .................................................................................................................................... 73</w:t>
      </w:r>
    </w:p>
    <w:p>
      <w:pPr>
        <w:spacing w:before="40" w:after="80" w:line="276" w:lineRule="auto"/>
      </w:pPr>
      <w:r>
        <w:rPr>
          <w:color w:val="334155"/>
          <w:sz w:val="19"/>
        </w:rPr>
        <w:t>9 Conclusion ................................................................................................................................................. 75</w:t>
      </w:r>
    </w:p>
    <w:p>
      <w:pPr>
        <w:spacing w:before="40" w:after="80" w:line="276" w:lineRule="auto"/>
      </w:pPr>
      <w:r>
        <w:rPr>
          <w:color w:val="334155"/>
          <w:sz w:val="19"/>
        </w:rPr>
        <w:t>10 References ................................................................................................................................................. 76</w:t>
      </w:r>
    </w:p>
    <w:p>
      <w:pPr>
        <w:spacing w:before="40" w:after="80" w:line="276" w:lineRule="auto"/>
      </w:pPr>
      <w:r>
        <w:rPr>
          <w:color w:val="334155"/>
          <w:sz w:val="19"/>
        </w:rPr>
        <w:t>Appendices</w:t>
      </w:r>
    </w:p>
    <w:p>
      <w:pPr>
        <w:spacing w:before="40" w:after="80" w:line="276" w:lineRule="auto"/>
      </w:pPr>
      <w:r>
        <w:rPr>
          <w:color w:val="334155"/>
          <w:sz w:val="19"/>
        </w:rPr>
        <w:t>Appendix A – Figures</w:t>
      </w:r>
    </w:p>
    <w:p>
      <w:pPr>
        <w:spacing w:before="40" w:after="80" w:line="276" w:lineRule="auto"/>
      </w:pPr>
      <w:r>
        <w:rPr>
          <w:color w:val="334155"/>
          <w:sz w:val="19"/>
        </w:rPr>
        <w:t>Appendix B – Constraints maps</w:t>
      </w:r>
    </w:p>
    <w:p>
      <w:pPr>
        <w:spacing w:before="40" w:after="80" w:line="276" w:lineRule="auto"/>
      </w:pPr>
      <w:r>
        <w:rPr>
          <w:color w:val="334155"/>
          <w:sz w:val="19"/>
        </w:rPr>
        <w:t>Appendix C – Near surface geotechnical constraints map for Structure Plan</w:t>
      </w:r>
    </w:p>
    <w:p>
      <w:pPr>
        <w:spacing w:before="40" w:after="80" w:line="276" w:lineRule="auto"/>
      </w:pPr>
      <w:r>
        <w:rPr>
          <w:color w:val="334155"/>
          <w:sz w:val="19"/>
        </w:rPr>
        <w:t>Figures</w:t>
      </w:r>
    </w:p>
    <w:p>
      <w:pPr>
        <w:spacing w:before="40" w:after="80" w:line="276" w:lineRule="auto"/>
      </w:pPr>
      <w:r>
        <w:rPr>
          <w:color w:val="334155"/>
          <w:sz w:val="19"/>
        </w:rPr>
        <w:t>Figure 2-1 Macquarie Coal Complex Land Transformation Precinct and Teralba Southgate Structure Plan</w:t>
      </w:r>
    </w:p>
    <w:p>
      <w:pPr>
        <w:spacing w:before="40" w:after="80" w:line="276" w:lineRule="auto"/>
      </w:pPr>
      <w:r>
        <w:rPr>
          <w:color w:val="334155"/>
          <w:sz w:val="19"/>
        </w:rPr>
        <w:t>(Master Plan, GHD 2026) ......................................................................................................... 5</w:t>
      </w:r>
    </w:p>
    <w:p>
      <w:pPr>
        <w:spacing w:before="40" w:after="80" w:line="276" w:lineRule="auto"/>
      </w:pPr>
      <w:r>
        <w:rPr>
          <w:color w:val="334155"/>
          <w:sz w:val="19"/>
        </w:rPr>
        <w:t>Figure 3-1 Structure Plan site plan and sub-precincts ....................................................................................... 7</w:t>
      </w:r>
    </w:p>
    <w:p>
      <w:pPr>
        <w:spacing w:before="40" w:after="80" w:line="276" w:lineRule="auto"/>
      </w:pPr>
      <w:r>
        <w:rPr>
          <w:color w:val="334155"/>
          <w:sz w:val="19"/>
        </w:rPr>
        <w:t>Figure 3-2 Topography across the Precinct and Teralba Southgate ................................................................. 8</w:t>
      </w:r>
    </w:p>
    <w:p>
      <w:pPr>
        <w:spacing w:before="40" w:after="80" w:line="276" w:lineRule="auto"/>
      </w:pPr>
      <w:r>
        <w:rPr>
          <w:color w:val="334155"/>
          <w:sz w:val="19"/>
        </w:rPr>
        <w:t>Figure 3-3 Slope across the Precinct and Teralba Southgate ........................................................................... 8</w:t>
      </w:r>
    </w:p>
    <w:p>
      <w:pPr>
        <w:spacing w:before="40" w:after="80" w:line="276" w:lineRule="auto"/>
      </w:pPr>
      <w:r>
        <w:rPr>
          <w:color w:val="334155"/>
          <w:sz w:val="19"/>
        </w:rPr>
        <w:t>Figure 3-4 Visual representation of the final planned landform slopes, with the area of borrow in orange,</w:t>
      </w:r>
    </w:p>
    <w:p>
      <w:pPr>
        <w:spacing w:before="40" w:after="80" w:line="276" w:lineRule="auto"/>
      </w:pPr>
      <w:r>
        <w:rPr>
          <w:color w:val="334155"/>
          <w:sz w:val="19"/>
        </w:rPr>
        <w:t>upper tailings capping area in yellow, and contour bank stripping area in red (WSP, 2025) . 15</w:t>
      </w:r>
    </w:p>
    <w:p>
      <w:pPr>
        <w:spacing w:before="40" w:after="80" w:line="276" w:lineRule="auto"/>
      </w:pPr>
      <w:r>
        <w:rPr>
          <w:color w:val="334155"/>
          <w:sz w:val="19"/>
        </w:rPr>
        <w:t>Figure 3-5 Geological setting............................................................................................................................ 16</w:t>
      </w:r>
    </w:p>
    <w:p>
      <w:pPr>
        <w:spacing w:before="40" w:after="80" w:line="276" w:lineRule="auto"/>
      </w:pPr>
      <w:r>
        <w:rPr>
          <w:color w:val="334155"/>
          <w:sz w:val="19"/>
        </w:rPr>
        <w:t>Figure 3-6 Depth of regolith .............................................................................................................................. 20</w:t>
      </w:r>
    </w:p>
    <w:p>
      <w:pPr>
        <w:spacing w:before="40" w:after="80" w:line="276" w:lineRule="auto"/>
      </w:pPr>
      <w:r>
        <w:rPr>
          <w:color w:val="334155"/>
          <w:sz w:val="19"/>
        </w:rPr>
        <w:t>Figure 3-7 Lake Macquarie Council geo zones ................................................................................................ 22</w:t>
      </w:r>
    </w:p>
    <w:p>
      <w:pPr>
        <w:spacing w:before="40" w:after="80" w:line="276" w:lineRule="auto"/>
      </w:pPr>
      <w:r>
        <w:rPr>
          <w:color w:val="334155"/>
          <w:sz w:val="19"/>
        </w:rPr>
        <w:t>Figure 3-8 Soil landscapes ............................................................................................................................... 24</w:t>
      </w:r>
    </w:p>
    <w:p>
      <w:pPr>
        <w:spacing w:before="40" w:after="80" w:line="276" w:lineRule="auto"/>
      </w:pPr>
      <w:r>
        <w:rPr>
          <w:color w:val="334155"/>
          <w:sz w:val="19"/>
        </w:rPr>
        <w:t>Figure 3-9 ASS probability ................................................................................................................................ 28</w:t>
      </w:r>
    </w:p>
    <w:p>
      <w:pPr>
        <w:spacing w:before="40" w:after="80" w:line="276" w:lineRule="auto"/>
      </w:pPr>
      <w:r>
        <w:rPr>
          <w:color w:val="334155"/>
          <w:sz w:val="19"/>
        </w:rPr>
        <w:t>Figure 3-10 Overall salinity hazard ................................................................................................................... 30</w:t>
      </w:r>
    </w:p>
    <w:p>
      <w:pPr>
        <w:spacing w:before="40" w:after="80" w:line="276" w:lineRule="auto"/>
      </w:pPr>
      <w:r>
        <w:rPr>
          <w:color w:val="334155"/>
          <w:sz w:val="19"/>
        </w:rPr>
        <w:t>Figure 3-11 Mine Subsidence Districts ............................................................................................................. 32</w:t>
      </w:r>
    </w:p>
    <w:p>
      <w:pPr>
        <w:spacing w:before="40" w:after="80" w:line="276" w:lineRule="auto"/>
      </w:pPr>
      <w:r>
        <w:rPr>
          <w:color w:val="334155"/>
          <w:sz w:val="19"/>
        </w:rPr>
        <w:t>Figure 3-12 Existing and predicted settlement lines ........................................................................................ 33</w:t>
      </w:r>
    </w:p>
    <w:p>
      <w:pPr>
        <w:spacing w:before="40" w:after="80" w:line="276" w:lineRule="auto"/>
      </w:pPr>
      <w:r>
        <w:rPr>
          <w:color w:val="334155"/>
          <w:sz w:val="19"/>
        </w:rPr>
        <w:t>Figure 3-13 Observed vs predicted surface settlement, tilt and strain reading above Longwalls 11 to 18 of</w:t>
      </w:r>
    </w:p>
    <w:p>
      <w:pPr>
        <w:spacing w:before="40" w:after="80" w:line="276" w:lineRule="auto"/>
      </w:pPr>
      <w:r>
        <w:rPr>
          <w:color w:val="334155"/>
          <w:sz w:val="19"/>
        </w:rPr>
        <w:t>West Wallsend Colliery ........................................................................................................... 33</w:t>
      </w:r>
    </w:p>
    <w:p>
      <w:pPr>
        <w:spacing w:before="40" w:after="80" w:line="276" w:lineRule="auto"/>
      </w:pPr>
      <w:r>
        <w:rPr>
          <w:color w:val="334155"/>
          <w:sz w:val="19"/>
        </w:rPr>
        <w:t>Figure 3-14 Areas of former underground mine working and surface access points (SLR 2016) ................... 35</w:t>
      </w:r>
    </w:p>
    <w:p>
      <w:pPr>
        <w:spacing w:before="40" w:after="80" w:line="276" w:lineRule="auto"/>
      </w:pPr>
      <w:r>
        <w:rPr>
          <w:color w:val="334155"/>
          <w:sz w:val="19"/>
        </w:rPr>
        <w:t>Figure 3-15 Available geotechnical locations ................................................................................................... 37</w:t>
      </w:r>
    </w:p>
    <w:p>
      <w:pPr>
        <w:spacing w:before="40" w:after="80" w:line="276" w:lineRule="auto"/>
      </w:pPr>
      <w:r>
        <w:rPr>
          <w:color w:val="334155"/>
          <w:sz w:val="19"/>
        </w:rPr>
        <w:t>Figure 5-1 Slope stability risk mapping ............................................................................................................ 48</w:t>
      </w:r>
    </w:p>
    <w:p>
      <w:pPr>
        <w:spacing w:before="40" w:after="80" w:line="276" w:lineRule="auto"/>
      </w:pPr>
      <w:r>
        <w:rPr>
          <w:color w:val="334155"/>
          <w:sz w:val="19"/>
        </w:rPr>
        <w:t>Figure 5-2 Slope stability risk mapping (geo zones) ........................................................................................ 49</w:t>
      </w:r>
    </w:p>
    <w:p>
      <w:pPr>
        <w:spacing w:before="40" w:after="80" w:line="276" w:lineRule="auto"/>
      </w:pPr>
      <w:r>
        <w:rPr>
          <w:color w:val="334155"/>
          <w:sz w:val="19"/>
        </w:rPr>
        <w:t>Figure 5-3 Geology risk mapping (geo zones) ................................................................................................. 50</w:t>
      </w:r>
    </w:p>
    <w:p>
      <w:pPr>
        <w:spacing w:before="40" w:after="80" w:line="276" w:lineRule="auto"/>
      </w:pPr>
      <w:r>
        <w:rPr>
          <w:color w:val="334155"/>
          <w:sz w:val="19"/>
        </w:rPr>
        <w:t>Figure 5-4 Depth of regolith risk mapping ........................................................................................................ 51</w:t>
      </w:r>
    </w:p>
    <w:p>
      <w:pPr>
        <w:spacing w:before="40" w:after="80" w:line="276" w:lineRule="auto"/>
      </w:pPr>
      <w:r>
        <w:rPr>
          <w:color w:val="334155"/>
          <w:sz w:val="19"/>
        </w:rPr>
        <w:t>Figure 5-5 Soil landscapes risk mapping ......................................................................................................... 52</w:t>
      </w:r>
    </w:p>
    <w:p>
      <w:pPr>
        <w:spacing w:before="40" w:after="80" w:line="276" w:lineRule="auto"/>
      </w:pPr>
      <w:r>
        <w:rPr>
          <w:color w:val="334155"/>
          <w:sz w:val="19"/>
        </w:rPr>
        <w:t>Figure 5-6 ASS risk mapping ............................................................................................................................ 54</w:t>
      </w:r>
    </w:p>
    <w:p>
      <w:pPr>
        <w:spacing w:before="40" w:after="80" w:line="276" w:lineRule="auto"/>
      </w:pPr>
      <w:r>
        <w:rPr>
          <w:color w:val="334155"/>
          <w:sz w:val="19"/>
        </w:rPr>
        <w:t>`</w:t>
      </w:r>
    </w:p>
    <w:p>
      <w:pPr>
        <w:pStyle w:val="Heading3"/>
        <w:keepNext/>
        <w:spacing w:before="160" w:after="40"/>
      </w:pPr>
      <w:r>
        <w:rPr>
          <w:b/>
          <w:color w:val="334155"/>
        </w:rPr>
        <w:t>Geotechnical Report Page 5</w:t>
      </w:r>
    </w:p>
    <w:p>
      <w:pPr>
        <w:spacing w:before="40" w:after="80" w:line="276" w:lineRule="auto"/>
      </w:pPr>
      <w:r>
        <w:rPr>
          <w:color w:val="334155"/>
          <w:sz w:val="19"/>
        </w:rPr>
        <w:t>`</w:t>
      </w:r>
    </w:p>
    <w:p>
      <w:pPr>
        <w:spacing w:before="40" w:after="80" w:line="276" w:lineRule="auto"/>
      </w:pPr>
      <w:r>
        <w:rPr>
          <w:color w:val="334155"/>
          <w:sz w:val="19"/>
        </w:rPr>
        <w:t>Figure 5-7 Overall salinity risk mapping ........................................................................................................... 55</w:t>
      </w:r>
    </w:p>
    <w:p>
      <w:pPr>
        <w:spacing w:before="40" w:after="80" w:line="276" w:lineRule="auto"/>
      </w:pPr>
      <w:r>
        <w:rPr>
          <w:color w:val="334155"/>
          <w:sz w:val="19"/>
        </w:rPr>
        <w:t>Figure 5-8 Near surface geotechnical constraints map .................................................................................... 58</w:t>
      </w:r>
    </w:p>
    <w:p>
      <w:pPr>
        <w:spacing w:before="40" w:after="80" w:line="276" w:lineRule="auto"/>
      </w:pPr>
      <w:r>
        <w:rPr>
          <w:color w:val="334155"/>
          <w:sz w:val="19"/>
        </w:rPr>
        <w:t>Figure 5-9 Cross sections of the TSF storage (ATC Williams, 2025) .............................................................. 60</w:t>
      </w:r>
    </w:p>
    <w:p>
      <w:pPr>
        <w:spacing w:before="40" w:after="80" w:line="276" w:lineRule="auto"/>
      </w:pPr>
      <w:r>
        <w:rPr>
          <w:color w:val="334155"/>
          <w:sz w:val="19"/>
        </w:rPr>
        <w:t>Figure 5-10 Section of eastern embankment area (ATC Williams, 2025) ........................................................ 60</w:t>
      </w:r>
    </w:p>
    <w:p>
      <w:pPr>
        <w:spacing w:before="40" w:after="80" w:line="276" w:lineRule="auto"/>
      </w:pPr>
      <w:r>
        <w:rPr>
          <w:color w:val="334155"/>
          <w:sz w:val="19"/>
        </w:rPr>
        <w:t>Figure 5-11 Section of eastern embankment area (ATC Williams, 2025) ........................................................ 60</w:t>
      </w:r>
    </w:p>
    <w:p>
      <w:pPr>
        <w:spacing w:before="40" w:after="80" w:line="276" w:lineRule="auto"/>
      </w:pPr>
      <w:r>
        <w:rPr>
          <w:color w:val="334155"/>
          <w:sz w:val="19"/>
        </w:rPr>
        <w:t>Figure 7-1 Potential initial developable areas around eastern edge of TSF (blue) .......................................... 72</w:t>
      </w:r>
    </w:p>
    <w:p>
      <w:pPr>
        <w:spacing w:before="40" w:after="80" w:line="276" w:lineRule="auto"/>
      </w:pPr>
      <w:r>
        <w:rPr>
          <w:color w:val="334155"/>
          <w:sz w:val="19"/>
        </w:rPr>
        <w:t>Tables</w:t>
      </w:r>
    </w:p>
    <w:p>
      <w:pPr>
        <w:spacing w:before="40" w:after="80" w:line="276" w:lineRule="auto"/>
      </w:pPr>
      <w:r>
        <w:rPr>
          <w:color w:val="334155"/>
          <w:sz w:val="19"/>
        </w:rPr>
        <w:t>Table 2-1 Sub-precinct references ..................................................................................................................... 5</w:t>
      </w:r>
    </w:p>
    <w:p>
      <w:pPr>
        <w:spacing w:before="40" w:after="80" w:line="276" w:lineRule="auto"/>
      </w:pPr>
      <w:r>
        <w:rPr>
          <w:color w:val="334155"/>
          <w:sz w:val="19"/>
        </w:rPr>
        <w:t>Table 3-1 Sub-precincts description and topography across the MCC site ....................................................... 9</w:t>
      </w:r>
    </w:p>
    <w:p>
      <w:pPr>
        <w:spacing w:before="40" w:after="80" w:line="276" w:lineRule="auto"/>
      </w:pPr>
      <w:r>
        <w:rPr>
          <w:color w:val="334155"/>
          <w:sz w:val="19"/>
        </w:rPr>
        <w:t>Table 3-2 Historical land use observations (1953 to 2026) .............................................................................. 12</w:t>
      </w:r>
    </w:p>
    <w:p>
      <w:pPr>
        <w:spacing w:before="40" w:after="80" w:line="276" w:lineRule="auto"/>
      </w:pPr>
      <w:r>
        <w:rPr>
          <w:color w:val="334155"/>
          <w:sz w:val="19"/>
        </w:rPr>
        <w:t>Table 3-3 Regional geology – stratigraphy, lithology and unit characteristics and typical limitations .............. 17</w:t>
      </w:r>
    </w:p>
    <w:p>
      <w:pPr>
        <w:spacing w:before="40" w:after="80" w:line="276" w:lineRule="auto"/>
      </w:pPr>
      <w:r>
        <w:rPr>
          <w:color w:val="334155"/>
          <w:sz w:val="19"/>
        </w:rPr>
        <w:t>Table 3-4 Expected geology and areas of disturbed terrain across the sub-precincts .................................... 18</w:t>
      </w:r>
    </w:p>
    <w:p>
      <w:pPr>
        <w:spacing w:before="40" w:after="80" w:line="276" w:lineRule="auto"/>
      </w:pPr>
      <w:r>
        <w:rPr>
          <w:color w:val="334155"/>
          <w:sz w:val="19"/>
        </w:rPr>
        <w:t>Table 3-5 Depth of regolith and anticipated soil profiles across the sub-precincts .......................................... 20</w:t>
      </w:r>
    </w:p>
    <w:p>
      <w:pPr>
        <w:spacing w:before="40" w:after="80" w:line="276" w:lineRule="auto"/>
      </w:pPr>
      <w:r>
        <w:rPr>
          <w:color w:val="334155"/>
          <w:sz w:val="19"/>
        </w:rPr>
        <w:t>Table 3-6 Slope stability geo zones ................................................................................................................. 22</w:t>
      </w:r>
    </w:p>
    <w:p>
      <w:pPr>
        <w:spacing w:before="40" w:after="80" w:line="276" w:lineRule="auto"/>
      </w:pPr>
      <w:r>
        <w:rPr>
          <w:color w:val="334155"/>
          <w:sz w:val="19"/>
        </w:rPr>
        <w:t>Table 3-7 Geo zones across the Structure Plan sub-precincts ........................................................................ 23</w:t>
      </w:r>
    </w:p>
    <w:p>
      <w:pPr>
        <w:spacing w:before="40" w:after="80" w:line="276" w:lineRule="auto"/>
      </w:pPr>
      <w:r>
        <w:rPr>
          <w:color w:val="334155"/>
          <w:sz w:val="19"/>
        </w:rPr>
        <w:t>Table 3-8 Soil landscapes - topography, soil characteristics and typical limitations ........................................ 25</w:t>
      </w:r>
    </w:p>
    <w:p>
      <w:pPr>
        <w:spacing w:before="40" w:after="80" w:line="276" w:lineRule="auto"/>
      </w:pPr>
      <w:r>
        <w:rPr>
          <w:color w:val="334155"/>
          <w:sz w:val="19"/>
        </w:rPr>
        <w:t>Table 3-9 Expected soil landscapes and key limitations across the sub-precincts .......................................... 27</w:t>
      </w:r>
    </w:p>
    <w:p>
      <w:pPr>
        <w:spacing w:before="40" w:after="80" w:line="276" w:lineRule="auto"/>
      </w:pPr>
      <w:r>
        <w:rPr>
          <w:color w:val="334155"/>
          <w:sz w:val="19"/>
        </w:rPr>
        <w:t>Table 3-10 ASS probability across the sub-precincts ...................................................................................... 28</w:t>
      </w:r>
    </w:p>
    <w:p>
      <w:pPr>
        <w:spacing w:before="40" w:after="80" w:line="276" w:lineRule="auto"/>
      </w:pPr>
      <w:r>
        <w:rPr>
          <w:color w:val="334155"/>
          <w:sz w:val="19"/>
        </w:rPr>
        <w:t>Table 3-11 Overall salinity hazard across the sub-precincts ............................................................................ 30</w:t>
      </w:r>
    </w:p>
    <w:p>
      <w:pPr>
        <w:spacing w:before="40" w:after="80" w:line="276" w:lineRule="auto"/>
      </w:pPr>
      <w:r>
        <w:rPr>
          <w:color w:val="334155"/>
          <w:sz w:val="19"/>
        </w:rPr>
        <w:t>Table 3-12 Mine subsidence hazard across the sub-precincts ........................................................................ 35</w:t>
      </w:r>
    </w:p>
    <w:p>
      <w:pPr>
        <w:spacing w:before="40" w:after="80" w:line="276" w:lineRule="auto"/>
      </w:pPr>
      <w:r>
        <w:rPr>
          <w:color w:val="334155"/>
          <w:sz w:val="19"/>
        </w:rPr>
        <w:t>Table 3-13 Summary of existing geotechnical information within or adjacent to the MCC Precinct ................ 38</w:t>
      </w:r>
    </w:p>
    <w:p>
      <w:pPr>
        <w:spacing w:before="40" w:after="80" w:line="276" w:lineRule="auto"/>
      </w:pPr>
      <w:r>
        <w:rPr>
          <w:color w:val="334155"/>
          <w:sz w:val="19"/>
        </w:rPr>
        <w:t>Table 3-14 Summary of existing geotechnical information within or adjacent to Teralba Southgate .............. 40</w:t>
      </w:r>
    </w:p>
    <w:p>
      <w:pPr>
        <w:spacing w:before="40" w:after="80" w:line="276" w:lineRule="auto"/>
      </w:pPr>
      <w:r>
        <w:rPr>
          <w:color w:val="334155"/>
          <w:sz w:val="19"/>
        </w:rPr>
        <w:t>Table 4-1 Expected ground models across the sub-precincts ......................................................................... 43</w:t>
      </w:r>
    </w:p>
    <w:p>
      <w:pPr>
        <w:spacing w:before="40" w:after="80" w:line="276" w:lineRule="auto"/>
      </w:pPr>
      <w:r>
        <w:rPr>
          <w:color w:val="334155"/>
          <w:sz w:val="19"/>
        </w:rPr>
        <w:t>Table 5-1 Summary of constraint categories and associated datasets ........................................................... 46</w:t>
      </w:r>
    </w:p>
    <w:p>
      <w:pPr>
        <w:spacing w:before="40" w:after="80" w:line="276" w:lineRule="auto"/>
      </w:pPr>
      <w:r>
        <w:rPr>
          <w:color w:val="334155"/>
          <w:sz w:val="19"/>
        </w:rPr>
        <w:t>Table 5-2 Geotechnical constraints risk ranking criteria .................................................................................. 47</w:t>
      </w:r>
    </w:p>
    <w:p>
      <w:pPr>
        <w:spacing w:before="40" w:after="80" w:line="276" w:lineRule="auto"/>
      </w:pPr>
      <w:r>
        <w:rPr>
          <w:color w:val="334155"/>
          <w:sz w:val="19"/>
        </w:rPr>
        <w:t>Table 5-3 Slope stability criterion and weighting for near surface geotechnical constraint mapping ............... 48</w:t>
      </w:r>
    </w:p>
    <w:p>
      <w:pPr>
        <w:spacing w:before="40" w:after="80" w:line="276" w:lineRule="auto"/>
      </w:pPr>
      <w:r>
        <w:rPr>
          <w:color w:val="334155"/>
          <w:sz w:val="19"/>
        </w:rPr>
        <w:t>Table 5-4 Overall slope stability risk ranking for each sub-precinct ................................................................. 48</w:t>
      </w:r>
    </w:p>
    <w:p>
      <w:pPr>
        <w:spacing w:before="40" w:after="80" w:line="276" w:lineRule="auto"/>
      </w:pPr>
      <w:r>
        <w:rPr>
          <w:color w:val="334155"/>
          <w:sz w:val="19"/>
        </w:rPr>
        <w:t>Table 5-5 Slope stability criterion and weighting for near surface geotechnical constraint mapping (geo</w:t>
      </w:r>
    </w:p>
    <w:p>
      <w:pPr>
        <w:spacing w:before="40" w:after="80" w:line="276" w:lineRule="auto"/>
      </w:pPr>
      <w:r>
        <w:rPr>
          <w:color w:val="334155"/>
          <w:sz w:val="19"/>
        </w:rPr>
        <w:t>zones) ..................................................................................................................................... 49</w:t>
      </w:r>
    </w:p>
    <w:p>
      <w:pPr>
        <w:spacing w:before="40" w:after="80" w:line="276" w:lineRule="auto"/>
      </w:pPr>
      <w:r>
        <w:rPr>
          <w:color w:val="334155"/>
          <w:sz w:val="19"/>
        </w:rPr>
        <w:t>Table 5-6 Overall slope stability risk ranking for each sub-precinct (geo zones) ............................................. 49</w:t>
      </w:r>
    </w:p>
    <w:p>
      <w:pPr>
        <w:spacing w:before="40" w:after="80" w:line="276" w:lineRule="auto"/>
      </w:pPr>
      <w:r>
        <w:rPr>
          <w:color w:val="334155"/>
          <w:sz w:val="19"/>
        </w:rPr>
        <w:t>Table 5-7 Geology criterion and weighting for near surface geotechnical constraint mapping ....................... 50</w:t>
      </w:r>
    </w:p>
    <w:p>
      <w:pPr>
        <w:spacing w:before="40" w:after="80" w:line="276" w:lineRule="auto"/>
      </w:pPr>
      <w:r>
        <w:rPr>
          <w:color w:val="334155"/>
          <w:sz w:val="19"/>
        </w:rPr>
        <w:t>Table 5-8 Overall geology risk ranking for each sub-precinct .......................................................................... 51</w:t>
      </w:r>
    </w:p>
    <w:p>
      <w:pPr>
        <w:spacing w:before="40" w:after="80" w:line="276" w:lineRule="auto"/>
      </w:pPr>
      <w:r>
        <w:rPr>
          <w:color w:val="334155"/>
          <w:sz w:val="19"/>
        </w:rPr>
        <w:t>Table 5-9 Depth of regolith criterion and weighting for near surface geotechnical constraint mapping .......... 52</w:t>
      </w:r>
    </w:p>
    <w:p>
      <w:pPr>
        <w:spacing w:before="40" w:after="80" w:line="276" w:lineRule="auto"/>
      </w:pPr>
      <w:r>
        <w:rPr>
          <w:color w:val="334155"/>
          <w:sz w:val="19"/>
        </w:rPr>
        <w:t>Table 5-10 Overall depth of regolith risk ranking for each sub-precinct ........................................................... 52</w:t>
      </w:r>
    </w:p>
    <w:p>
      <w:pPr>
        <w:spacing w:before="40" w:after="80" w:line="276" w:lineRule="auto"/>
      </w:pPr>
      <w:r>
        <w:rPr>
          <w:color w:val="334155"/>
          <w:sz w:val="19"/>
        </w:rPr>
        <w:t>Table 5-11 Soil landscapes criterion and weighting for near surface geotechnical constraint mapping.......... 53</w:t>
      </w:r>
    </w:p>
    <w:p>
      <w:pPr>
        <w:spacing w:before="40" w:after="80" w:line="276" w:lineRule="auto"/>
      </w:pPr>
      <w:r>
        <w:rPr>
          <w:color w:val="334155"/>
          <w:sz w:val="19"/>
        </w:rPr>
        <w:t>Table 5-12 Overall soil landscapes risk ranking for each sub-precinct ............................................................ 54</w:t>
      </w:r>
    </w:p>
    <w:p>
      <w:pPr>
        <w:spacing w:before="40" w:after="80" w:line="276" w:lineRule="auto"/>
      </w:pPr>
      <w:r>
        <w:rPr>
          <w:color w:val="334155"/>
          <w:sz w:val="19"/>
        </w:rPr>
        <w:t>Table 5-13 ASS criterion and weighting for near surface geotechnical constraint mapping ............................ 54</w:t>
      </w:r>
    </w:p>
    <w:p>
      <w:pPr>
        <w:spacing w:before="40" w:after="80" w:line="276" w:lineRule="auto"/>
      </w:pPr>
      <w:r>
        <w:rPr>
          <w:color w:val="334155"/>
          <w:sz w:val="19"/>
        </w:rPr>
        <w:t>Table 5-14 Overall ASS risk ranking for each sub-precinct ............................................................................. 55</w:t>
      </w:r>
    </w:p>
    <w:p>
      <w:pPr>
        <w:spacing w:before="40" w:after="80" w:line="276" w:lineRule="auto"/>
      </w:pPr>
      <w:r>
        <w:rPr>
          <w:color w:val="334155"/>
          <w:sz w:val="19"/>
        </w:rPr>
        <w:t>Table 5-15 Salinity criterion and weighting for near surface geotechnical constraint mapping ....................... 55</w:t>
      </w:r>
    </w:p>
    <w:p>
      <w:pPr>
        <w:spacing w:before="40" w:after="80" w:line="276" w:lineRule="auto"/>
      </w:pPr>
      <w:r>
        <w:rPr>
          <w:color w:val="334155"/>
          <w:sz w:val="19"/>
        </w:rPr>
        <w:t>Table 5-16 Overall salinity risk ranking for each sub-precinct .......................................................................... 56</w:t>
      </w:r>
    </w:p>
    <w:p>
      <w:pPr>
        <w:spacing w:before="40" w:after="80" w:line="276" w:lineRule="auto"/>
      </w:pPr>
      <w:r>
        <w:rPr>
          <w:color w:val="334155"/>
          <w:sz w:val="19"/>
        </w:rPr>
        <w:t>Table 5-17 Near surface geotechnical risk ranking per sub-precinct ............................................................... 57</w:t>
      </w:r>
    </w:p>
    <w:p>
      <w:pPr>
        <w:spacing w:before="40" w:after="80" w:line="276" w:lineRule="auto"/>
      </w:pPr>
      <w:r>
        <w:rPr>
          <w:color w:val="334155"/>
          <w:sz w:val="19"/>
        </w:rPr>
        <w:t>Table 5-18 Overall risk ranking within the TSF area (for reference only) ........................................................ 59</w:t>
      </w:r>
    </w:p>
    <w:p>
      <w:pPr>
        <w:spacing w:before="40" w:after="80" w:line="276" w:lineRule="auto"/>
      </w:pPr>
      <w:r>
        <w:rPr>
          <w:color w:val="334155"/>
          <w:sz w:val="19"/>
        </w:rPr>
        <w:t>Table 7-1 Sub-precinct land use intents and anticipated structural characteristics ......................................... 63</w:t>
      </w:r>
    </w:p>
    <w:p>
      <w:pPr>
        <w:spacing w:before="40" w:after="80" w:line="276" w:lineRule="auto"/>
      </w:pPr>
      <w:r>
        <w:rPr>
          <w:color w:val="334155"/>
          <w:sz w:val="19"/>
        </w:rPr>
        <w:t>Table 8-1 Summary of recommendations ........................................................................................................ 73</w:t>
      </w:r>
    </w:p>
    <w:p>
      <w:pPr>
        <w:spacing w:before="40" w:after="80" w:line="276" w:lineRule="auto"/>
      </w:pPr>
      <w:r>
        <w:rPr>
          <w:color w:val="334155"/>
          <w:sz w:val="19"/>
        </w:rPr>
        <w:t>`</w:t>
      </w:r>
    </w:p>
    <w:p>
      <w:pPr>
        <w:pStyle w:val="Heading3"/>
        <w:keepNext/>
        <w:spacing w:before="160" w:after="40"/>
      </w:pPr>
      <w:r>
        <w:rPr>
          <w:b/>
          <w:color w:val="334155"/>
        </w:rPr>
        <w:t>Geotechnical Report Page 6</w:t>
      </w:r>
    </w:p>
    <w:p>
      <w:pPr>
        <w:spacing w:before="40" w:after="80" w:line="276" w:lineRule="auto"/>
      </w:pPr>
      <w:r>
        <w:rPr>
          <w:color w:val="334155"/>
          <w:sz w:val="19"/>
        </w:rPr>
        <w:t>`</w:t>
      </w:r>
    </w:p>
    <w:p>
      <w:pPr>
        <w:spacing w:before="40" w:after="80" w:line="276" w:lineRule="auto"/>
      </w:pPr>
      <w:r>
        <w:rPr>
          <w:color w:val="334155"/>
          <w:sz w:val="19"/>
        </w:rPr>
        <w:t>Project number 531168-000  File Geotechnical Engineering Report Rev B_Clean.docx  2026-07-01  Revision B</w:t>
      </w:r>
    </w:p>
    <w:p>
      <w:pPr>
        <w:spacing w:before="40" w:after="80" w:line="276" w:lineRule="auto"/>
      </w:pPr>
      <w:r>
        <w:rPr>
          <w:color w:val="334155"/>
          <w:sz w:val="19"/>
        </w:rPr>
        <w:t>1</w:t>
      </w:r>
    </w:p>
    <w:p>
      <w:pPr>
        <w:spacing w:before="40" w:after="80" w:line="276" w:lineRule="auto"/>
      </w:pPr>
      <w:r>
        <w:rPr>
          <w:color w:val="334155"/>
          <w:sz w:val="19"/>
        </w:rPr>
        <w:t>Definitions and abbreviations</w:t>
      </w:r>
    </w:p>
    <w:p>
      <w:pPr>
        <w:spacing w:before="40" w:after="80" w:line="276" w:lineRule="auto"/>
      </w:pPr>
      <w:r>
        <w:rPr>
          <w:color w:val="334155"/>
          <w:sz w:val="19"/>
        </w:rPr>
        <w:t>Abbreviation</w:t>
      </w:r>
    </w:p>
    <w:p>
      <w:pPr>
        <w:spacing w:before="40" w:after="80" w:line="276" w:lineRule="auto"/>
      </w:pPr>
      <w:r>
        <w:rPr>
          <w:color w:val="334155"/>
          <w:sz w:val="19"/>
        </w:rPr>
        <w:t>Definition</w:t>
      </w:r>
    </w:p>
    <w:p>
      <w:pPr>
        <w:spacing w:before="40" w:after="80" w:line="276" w:lineRule="auto"/>
      </w:pPr>
      <w:r>
        <w:rPr>
          <w:color w:val="334155"/>
          <w:sz w:val="19"/>
        </w:rPr>
        <w:t>ASS</w:t>
      </w:r>
    </w:p>
    <w:p>
      <w:pPr>
        <w:spacing w:before="40" w:after="80" w:line="276" w:lineRule="auto"/>
      </w:pPr>
      <w:r>
        <w:rPr>
          <w:color w:val="334155"/>
          <w:sz w:val="19"/>
        </w:rPr>
        <w:t>Acid Sulfate Soils</w:t>
      </w:r>
    </w:p>
    <w:p>
      <w:pPr>
        <w:spacing w:before="40" w:after="80" w:line="276" w:lineRule="auto"/>
      </w:pPr>
      <w:r>
        <w:rPr>
          <w:color w:val="334155"/>
          <w:sz w:val="19"/>
        </w:rPr>
        <w:t>CFA</w:t>
      </w:r>
    </w:p>
    <w:p>
      <w:pPr>
        <w:spacing w:before="40" w:after="80" w:line="276" w:lineRule="auto"/>
      </w:pPr>
      <w:r>
        <w:rPr>
          <w:color w:val="334155"/>
          <w:sz w:val="19"/>
        </w:rPr>
        <w:t>Continuous Flight Auger</w:t>
      </w:r>
    </w:p>
    <w:p>
      <w:pPr>
        <w:spacing w:before="40" w:after="80" w:line="276" w:lineRule="auto"/>
      </w:pPr>
      <w:r>
        <w:rPr>
          <w:color w:val="334155"/>
          <w:sz w:val="19"/>
        </w:rPr>
        <w:t>CSIRO</w:t>
      </w:r>
    </w:p>
    <w:p>
      <w:pPr>
        <w:spacing w:before="40" w:after="80" w:line="276" w:lineRule="auto"/>
      </w:pPr>
      <w:r>
        <w:rPr>
          <w:color w:val="334155"/>
          <w:sz w:val="19"/>
        </w:rPr>
        <w:t>Commonwealth Scientific and Industrial Research Organisation</w:t>
      </w:r>
    </w:p>
    <w:p>
      <w:pPr>
        <w:spacing w:before="40" w:after="80" w:line="276" w:lineRule="auto"/>
      </w:pPr>
      <w:r>
        <w:rPr>
          <w:color w:val="334155"/>
          <w:sz w:val="19"/>
        </w:rPr>
        <w:t>EbD</w:t>
      </w:r>
    </w:p>
    <w:p>
      <w:pPr>
        <w:spacing w:before="40" w:after="80" w:line="276" w:lineRule="auto"/>
      </w:pPr>
      <w:r>
        <w:rPr>
          <w:color w:val="334155"/>
          <w:sz w:val="19"/>
        </w:rPr>
        <w:t>Enquiry by Design</w:t>
      </w:r>
    </w:p>
    <w:p>
      <w:pPr>
        <w:spacing w:before="40" w:after="80" w:line="276" w:lineRule="auto"/>
      </w:pPr>
      <w:r>
        <w:rPr>
          <w:color w:val="334155"/>
          <w:sz w:val="19"/>
        </w:rPr>
        <w:t>GIS</w:t>
      </w:r>
    </w:p>
    <w:p>
      <w:pPr>
        <w:spacing w:before="40" w:after="80" w:line="276" w:lineRule="auto"/>
      </w:pPr>
      <w:r>
        <w:rPr>
          <w:color w:val="334155"/>
          <w:sz w:val="19"/>
        </w:rPr>
        <w:t>Geographic Information System</w:t>
      </w:r>
    </w:p>
    <w:p>
      <w:pPr>
        <w:spacing w:before="40" w:after="80" w:line="276" w:lineRule="auto"/>
      </w:pPr>
      <w:r>
        <w:rPr>
          <w:color w:val="334155"/>
          <w:sz w:val="19"/>
        </w:rPr>
        <w:t>m AHD</w:t>
      </w:r>
    </w:p>
    <w:p>
      <w:pPr>
        <w:spacing w:before="40" w:after="80" w:line="276" w:lineRule="auto"/>
      </w:pPr>
      <w:r>
        <w:rPr>
          <w:color w:val="334155"/>
          <w:sz w:val="19"/>
        </w:rPr>
        <w:t>metres Australian Height Datum</w:t>
      </w:r>
    </w:p>
    <w:p>
      <w:pPr>
        <w:spacing w:before="40" w:after="80" w:line="276" w:lineRule="auto"/>
      </w:pPr>
      <w:r>
        <w:rPr>
          <w:color w:val="334155"/>
          <w:sz w:val="19"/>
        </w:rPr>
        <w:t>m BGL</w:t>
      </w:r>
    </w:p>
    <w:p>
      <w:pPr>
        <w:spacing w:before="40" w:after="80" w:line="276" w:lineRule="auto"/>
      </w:pPr>
      <w:r>
        <w:rPr>
          <w:color w:val="334155"/>
          <w:sz w:val="19"/>
        </w:rPr>
        <w:t>metres Below Ground Level</w:t>
      </w:r>
    </w:p>
    <w:p>
      <w:pPr>
        <w:spacing w:before="40" w:after="80" w:line="276" w:lineRule="auto"/>
      </w:pPr>
      <w:r>
        <w:rPr>
          <w:color w:val="334155"/>
          <w:sz w:val="19"/>
        </w:rPr>
        <w:t>MCC</w:t>
      </w:r>
    </w:p>
    <w:p>
      <w:pPr>
        <w:spacing w:before="40" w:after="80" w:line="276" w:lineRule="auto"/>
      </w:pPr>
      <w:r>
        <w:rPr>
          <w:color w:val="334155"/>
          <w:sz w:val="19"/>
        </w:rPr>
        <w:t>Macquarie Coal Complex</w:t>
      </w:r>
    </w:p>
    <w:p>
      <w:pPr>
        <w:spacing w:before="40" w:after="80" w:line="276" w:lineRule="auto"/>
      </w:pPr>
      <w:r>
        <w:rPr>
          <w:color w:val="334155"/>
          <w:sz w:val="19"/>
        </w:rPr>
        <w:t>PLMU</w:t>
      </w:r>
    </w:p>
    <w:p>
      <w:pPr>
        <w:spacing w:before="40" w:after="80" w:line="276" w:lineRule="auto"/>
      </w:pPr>
      <w:r>
        <w:rPr>
          <w:color w:val="334155"/>
          <w:sz w:val="19"/>
        </w:rPr>
        <w:t>Post Mining Land Use</w:t>
      </w:r>
    </w:p>
    <w:p>
      <w:pPr>
        <w:spacing w:before="40" w:after="80" w:line="276" w:lineRule="auto"/>
      </w:pPr>
      <w:r>
        <w:rPr>
          <w:color w:val="334155"/>
          <w:sz w:val="19"/>
        </w:rPr>
        <w:t>RL</w:t>
      </w:r>
    </w:p>
    <w:p>
      <w:pPr>
        <w:spacing w:before="40" w:after="80" w:line="276" w:lineRule="auto"/>
      </w:pPr>
      <w:r>
        <w:rPr>
          <w:color w:val="334155"/>
          <w:sz w:val="19"/>
        </w:rPr>
        <w:t>Reduced Level</w:t>
      </w:r>
    </w:p>
    <w:p>
      <w:pPr>
        <w:spacing w:before="40" w:after="80" w:line="276" w:lineRule="auto"/>
      </w:pPr>
      <w:r>
        <w:rPr>
          <w:color w:val="334155"/>
          <w:sz w:val="19"/>
        </w:rPr>
        <w:t>TSF</w:t>
      </w:r>
    </w:p>
    <w:p>
      <w:pPr>
        <w:spacing w:before="40" w:after="80" w:line="276" w:lineRule="auto"/>
      </w:pPr>
      <w:r>
        <w:rPr>
          <w:color w:val="334155"/>
          <w:sz w:val="19"/>
        </w:rPr>
        <w:t>Tailings Storage Facility</w:t>
      </w:r>
    </w:p>
    <w:p>
      <w:pPr>
        <w:spacing w:before="40" w:after="80" w:line="276" w:lineRule="auto"/>
      </w:pPr>
      <w:r>
        <w:rPr>
          <w:color w:val="334155"/>
          <w:sz w:val="19"/>
        </w:rPr>
        <w:t>SA</w:t>
      </w:r>
    </w:p>
    <w:p>
      <w:pPr>
        <w:spacing w:before="40" w:after="80" w:line="276" w:lineRule="auto"/>
      </w:pPr>
      <w:r>
        <w:rPr>
          <w:color w:val="334155"/>
          <w:sz w:val="19"/>
        </w:rPr>
        <w:t>Subsidence advisory</w:t>
      </w:r>
    </w:p>
    <w:p>
      <w:pPr>
        <w:spacing w:before="40" w:after="80" w:line="276" w:lineRule="auto"/>
      </w:pPr>
      <w:r>
        <w:rPr>
          <w:color w:val="334155"/>
          <w:sz w:val="19"/>
        </w:rPr>
        <w:t>WBH</w:t>
      </w:r>
    </w:p>
    <w:p>
      <w:pPr>
        <w:spacing w:before="40" w:after="80" w:line="276" w:lineRule="auto"/>
      </w:pPr>
      <w:r>
        <w:rPr>
          <w:color w:val="334155"/>
          <w:sz w:val="19"/>
        </w:rPr>
        <w:t>West Borehole</w:t>
      </w:r>
    </w:p>
    <w:p>
      <w:pPr>
        <w:spacing w:before="40" w:after="80" w:line="276" w:lineRule="auto"/>
      </w:pPr>
      <w:r>
        <w:rPr>
          <w:color w:val="334155"/>
          <w:sz w:val="19"/>
        </w:rPr>
        <w:t>YW</w:t>
      </w:r>
    </w:p>
    <w:p>
      <w:pPr>
        <w:spacing w:before="40" w:after="80" w:line="276" w:lineRule="auto"/>
      </w:pPr>
      <w:r>
        <w:rPr>
          <w:color w:val="334155"/>
          <w:sz w:val="19"/>
        </w:rPr>
        <w:t>Young Wallsend</w:t>
      </w:r>
    </w:p>
    <w:p>
      <w:pPr>
        <w:spacing w:before="40" w:after="80" w:line="276" w:lineRule="auto"/>
      </w:pPr>
      <w:r>
        <w:rPr>
          <w:color w:val="334155"/>
          <w:sz w:val="19"/>
        </w:rPr>
        <w:t>`</w:t>
      </w:r>
    </w:p>
    <w:p>
      <w:pPr>
        <w:pStyle w:val="Heading3"/>
        <w:keepNext/>
        <w:spacing w:before="160" w:after="40"/>
      </w:pPr>
      <w:r>
        <w:rPr>
          <w:b/>
          <w:color w:val="334155"/>
        </w:rPr>
        <w:t>Geotechnical Report Page 7</w:t>
      </w:r>
    </w:p>
    <w:p>
      <w:pPr>
        <w:spacing w:before="40" w:after="80" w:line="276" w:lineRule="auto"/>
      </w:pPr>
      <w:r>
        <w:rPr>
          <w:color w:val="334155"/>
          <w:sz w:val="19"/>
        </w:rPr>
        <w:t>`</w:t>
      </w:r>
    </w:p>
    <w:p>
      <w:pPr>
        <w:spacing w:before="40" w:after="80" w:line="276" w:lineRule="auto"/>
      </w:pPr>
      <w:r>
        <w:rPr>
          <w:color w:val="334155"/>
          <w:sz w:val="19"/>
        </w:rPr>
        <w:t>Project number 531168-000  File Geotechnical Engineering Report Rev B_Clean.docx  2026-07-01  Revision B</w:t>
      </w:r>
    </w:p>
    <w:p>
      <w:pPr>
        <w:spacing w:before="40" w:after="80" w:line="276" w:lineRule="auto"/>
      </w:pPr>
      <w:r>
        <w:rPr>
          <w:color w:val="334155"/>
          <w:sz w:val="19"/>
        </w:rPr>
        <w:t>2</w:t>
      </w:r>
    </w:p>
    <w:p>
      <w:pPr>
        <w:spacing w:before="40" w:after="80" w:line="276" w:lineRule="auto"/>
      </w:pPr>
      <w:r>
        <w:rPr>
          <w:color w:val="334155"/>
          <w:sz w:val="19"/>
        </w:rPr>
        <w:t>1</w:t>
      </w:r>
    </w:p>
    <w:p>
      <w:pPr>
        <w:spacing w:before="40" w:after="80" w:line="276" w:lineRule="auto"/>
      </w:pPr>
      <w:r>
        <w:rPr>
          <w:color w:val="334155"/>
          <w:sz w:val="19"/>
        </w:rPr>
        <w:t>Executive summary</w:t>
      </w:r>
    </w:p>
    <w:p>
      <w:pPr>
        <w:spacing w:before="40" w:after="80" w:line="276" w:lineRule="auto"/>
      </w:pPr>
      <w:r>
        <w:rPr>
          <w:color w:val="334155"/>
          <w:sz w:val="19"/>
        </w:rPr>
        <w:t>This Geotechnical Engineering Report has been prepared to support the State-led rezoning of the Macquarie</w:t>
      </w:r>
    </w:p>
    <w:p>
      <w:pPr>
        <w:spacing w:before="40" w:after="80" w:line="276" w:lineRule="auto"/>
      </w:pPr>
      <w:r>
        <w:rPr>
          <w:color w:val="334155"/>
          <w:sz w:val="19"/>
        </w:rPr>
        <w:t>Coal Complex (MCC) (the Precinct), and Teralba Southgate for post-mining land use. The report provides a</w:t>
      </w:r>
    </w:p>
    <w:p>
      <w:pPr>
        <w:spacing w:before="40" w:after="80" w:line="276" w:lineRule="auto"/>
      </w:pPr>
      <w:r>
        <w:rPr>
          <w:color w:val="334155"/>
          <w:sz w:val="19"/>
        </w:rPr>
        <w:t>precinct-scale assessment of geotechnical conditions, constraints and risks, and establishes a risk-informed</w:t>
      </w:r>
    </w:p>
    <w:p>
      <w:pPr>
        <w:spacing w:before="40" w:after="80" w:line="276" w:lineRule="auto"/>
      </w:pPr>
      <w:r>
        <w:rPr>
          <w:color w:val="334155"/>
          <w:sz w:val="19"/>
        </w:rPr>
        <w:t>framework to guide land use planning, infrastructure provision, and staging.</w:t>
      </w:r>
    </w:p>
    <w:p>
      <w:pPr>
        <w:spacing w:before="40" w:after="80" w:line="276" w:lineRule="auto"/>
      </w:pPr>
      <w:r>
        <w:rPr>
          <w:color w:val="334155"/>
          <w:sz w:val="19"/>
        </w:rPr>
        <w:t>The Precinct and Teralba Southgate comprises a highly modified post-mining landscape characterised by</w:t>
      </w:r>
    </w:p>
    <w:p>
      <w:pPr>
        <w:spacing w:before="40" w:after="80" w:line="276" w:lineRule="auto"/>
      </w:pPr>
      <w:r>
        <w:rPr>
          <w:color w:val="334155"/>
          <w:sz w:val="19"/>
        </w:rPr>
        <w:t>variable topography, anthropogenic ground conditions, and legacy mining impacts, including mine</w:t>
      </w:r>
    </w:p>
    <w:p>
      <w:pPr>
        <w:spacing w:before="40" w:after="80" w:line="276" w:lineRule="auto"/>
      </w:pPr>
      <w:r>
        <w:rPr>
          <w:color w:val="334155"/>
          <w:sz w:val="19"/>
        </w:rPr>
        <w:t>subsidence risk, disturbed terrains, a Tailings Storage Facility (TSF) and areas of potentially deep alluvium.</w:t>
      </w:r>
    </w:p>
    <w:p>
      <w:pPr>
        <w:spacing w:before="40" w:after="80" w:line="276" w:lineRule="auto"/>
      </w:pPr>
      <w:r>
        <w:rPr>
          <w:color w:val="334155"/>
          <w:sz w:val="19"/>
        </w:rPr>
        <w:t>These conditions result in spatially variable development constraints across the Precinct and Teralba</w:t>
      </w:r>
    </w:p>
    <w:p>
      <w:pPr>
        <w:spacing w:before="40" w:after="80" w:line="276" w:lineRule="auto"/>
      </w:pPr>
      <w:r>
        <w:rPr>
          <w:color w:val="334155"/>
          <w:sz w:val="19"/>
        </w:rPr>
        <w:t>Southgate.</w:t>
      </w:r>
    </w:p>
    <w:p>
      <w:pPr>
        <w:spacing w:before="40" w:after="80" w:line="276" w:lineRule="auto"/>
      </w:pPr>
      <w:r>
        <w:rPr>
          <w:color w:val="334155"/>
          <w:sz w:val="19"/>
        </w:rPr>
        <w:t>A multi-criteria geotechnical assessment has been undertaken, considering slope, geology, regolith depth,</w:t>
      </w:r>
    </w:p>
    <w:p>
      <w:pPr>
        <w:spacing w:before="40" w:after="80" w:line="276" w:lineRule="auto"/>
      </w:pPr>
      <w:r>
        <w:rPr>
          <w:color w:val="334155"/>
          <w:sz w:val="19"/>
        </w:rPr>
        <w:t>soil landscapes, groundwater, salinity and acid sulfate soils. The assessment identifies a range of</w:t>
      </w:r>
    </w:p>
    <w:p>
      <w:pPr>
        <w:spacing w:before="40" w:after="80" w:line="276" w:lineRule="auto"/>
      </w:pPr>
      <w:r>
        <w:rPr>
          <w:color w:val="334155"/>
          <w:sz w:val="19"/>
        </w:rPr>
        <w:t>constraints, from low to high, across the Precinct and Teralba Southgate and confirms that development</w:t>
      </w:r>
    </w:p>
    <w:p>
      <w:pPr>
        <w:spacing w:before="40" w:after="80" w:line="276" w:lineRule="auto"/>
      </w:pPr>
      <w:r>
        <w:rPr>
          <w:color w:val="334155"/>
          <w:sz w:val="19"/>
        </w:rPr>
        <w:t>feasibility will depend on location, land use intensity and staging.</w:t>
      </w:r>
    </w:p>
    <w:p>
      <w:pPr>
        <w:spacing w:before="40" w:after="80" w:line="276" w:lineRule="auto"/>
      </w:pPr>
      <w:r>
        <w:rPr>
          <w:color w:val="334155"/>
          <w:sz w:val="19"/>
        </w:rPr>
        <w:t>1.1</w:t>
      </w:r>
    </w:p>
    <w:p>
      <w:pPr>
        <w:spacing w:before="40" w:after="80" w:line="276" w:lineRule="auto"/>
      </w:pPr>
      <w:r>
        <w:rPr>
          <w:color w:val="334155"/>
          <w:sz w:val="19"/>
        </w:rPr>
        <w:t>Key geotechnical constraints</w:t>
      </w:r>
    </w:p>
    <w:p>
      <w:pPr>
        <w:spacing w:before="40" w:after="80" w:line="276" w:lineRule="auto"/>
      </w:pPr>
      <w:r>
        <w:rPr>
          <w:color w:val="334155"/>
          <w:sz w:val="19"/>
        </w:rPr>
        <w:t>The principal geotechnical constraints affecting the Precinct and Teralba Southgate include:</w:t>
      </w:r>
    </w:p>
    <w:p>
      <w:pPr>
        <w:spacing w:before="40" w:after="80" w:line="276" w:lineRule="auto"/>
      </w:pPr>
      <w:r>
        <w:rPr>
          <w:color w:val="334155"/>
          <w:sz w:val="19"/>
        </w:rPr>
        <w:t> Mine subsidence: all the sub-precincts are underlain by historic underground coal workings, resulting in</w:t>
      </w:r>
    </w:p>
    <w:p>
      <w:pPr>
        <w:spacing w:before="40" w:after="80" w:line="276" w:lineRule="auto"/>
      </w:pPr>
      <w:r>
        <w:rPr>
          <w:color w:val="334155"/>
          <w:sz w:val="19"/>
        </w:rPr>
        <w:t>potential subsidence risk that must be considered in land use planning and foundation design. Potential</w:t>
      </w:r>
    </w:p>
    <w:p>
      <w:pPr>
        <w:spacing w:before="40" w:after="80" w:line="276" w:lineRule="auto"/>
      </w:pPr>
      <w:r>
        <w:rPr>
          <w:color w:val="334155"/>
          <w:sz w:val="19"/>
        </w:rPr>
        <w:t>subsidence risks are not currently quantified as further studies are required. Development in these areas</w:t>
      </w:r>
    </w:p>
    <w:p>
      <w:pPr>
        <w:spacing w:before="40" w:after="80" w:line="276" w:lineRule="auto"/>
      </w:pPr>
      <w:r>
        <w:rPr>
          <w:color w:val="334155"/>
          <w:sz w:val="19"/>
        </w:rPr>
        <w:t>must include geotechnical assessments to characterise the risk and potentially solutions such as grouting</w:t>
      </w:r>
    </w:p>
    <w:p>
      <w:pPr>
        <w:spacing w:before="40" w:after="80" w:line="276" w:lineRule="auto"/>
      </w:pPr>
      <w:r>
        <w:rPr>
          <w:color w:val="334155"/>
          <w:sz w:val="19"/>
        </w:rPr>
        <w:t>of the former workings, if settlement has not already occurred.</w:t>
      </w:r>
    </w:p>
    <w:p>
      <w:pPr>
        <w:spacing w:before="40" w:after="80" w:line="276" w:lineRule="auto"/>
      </w:pPr>
      <w:r>
        <w:rPr>
          <w:color w:val="334155"/>
          <w:sz w:val="19"/>
        </w:rPr>
        <w:t> Tailings Storage Facility: the TSF comprises hydraulically placed tailings and fill materials with high</w:t>
      </w:r>
    </w:p>
    <w:p>
      <w:pPr>
        <w:spacing w:before="40" w:after="80" w:line="276" w:lineRule="auto"/>
      </w:pPr>
      <w:r>
        <w:rPr>
          <w:color w:val="334155"/>
          <w:sz w:val="19"/>
        </w:rPr>
        <w:t>variability, uncertain composition, and long-term settlement potential. The area is currently undergoing</w:t>
      </w:r>
    </w:p>
    <w:p>
      <w:pPr>
        <w:spacing w:before="40" w:after="80" w:line="276" w:lineRule="auto"/>
      </w:pPr>
      <w:r>
        <w:rPr>
          <w:color w:val="334155"/>
          <w:sz w:val="19"/>
        </w:rPr>
        <w:t>rehabilitation and remains a declared dam. It represents a high-risk area for development, with settlement</w:t>
      </w:r>
    </w:p>
    <w:p>
      <w:pPr>
        <w:spacing w:before="40" w:after="80" w:line="276" w:lineRule="auto"/>
      </w:pPr>
      <w:r>
        <w:rPr>
          <w:color w:val="334155"/>
          <w:sz w:val="19"/>
        </w:rPr>
        <w:t>potentially occurring over decades.</w:t>
      </w:r>
    </w:p>
    <w:p>
      <w:pPr>
        <w:spacing w:before="40" w:after="80" w:line="276" w:lineRule="auto"/>
      </w:pPr>
      <w:r>
        <w:rPr>
          <w:color w:val="334155"/>
          <w:sz w:val="19"/>
        </w:rPr>
        <w:t> Alluvial and low-lying areas: land adjacent to Cockle Creek and its tributaries is characterised by deep,</w:t>
      </w:r>
    </w:p>
    <w:p>
      <w:pPr>
        <w:spacing w:before="40" w:after="80" w:line="276" w:lineRule="auto"/>
      </w:pPr>
      <w:r>
        <w:rPr>
          <w:color w:val="334155"/>
          <w:sz w:val="19"/>
        </w:rPr>
        <w:t>compressible soils, shallow groundwater, flooding and acid sulfate soil risk, presenting significant</w:t>
      </w:r>
    </w:p>
    <w:p>
      <w:pPr>
        <w:spacing w:before="40" w:after="80" w:line="276" w:lineRule="auto"/>
      </w:pPr>
      <w:r>
        <w:rPr>
          <w:color w:val="334155"/>
          <w:sz w:val="19"/>
        </w:rPr>
        <w:t>constraints to structural development.</w:t>
      </w:r>
    </w:p>
    <w:p>
      <w:pPr>
        <w:spacing w:before="40" w:after="80" w:line="276" w:lineRule="auto"/>
      </w:pPr>
      <w:r>
        <w:rPr>
          <w:color w:val="334155"/>
          <w:sz w:val="19"/>
        </w:rPr>
        <w:t> Disturbed and anthropogenic terrains: areas of fill and disturbed ground exhibit variable and uncertain</w:t>
      </w:r>
    </w:p>
    <w:p>
      <w:pPr>
        <w:spacing w:before="40" w:after="80" w:line="276" w:lineRule="auto"/>
      </w:pPr>
      <w:r>
        <w:rPr>
          <w:color w:val="334155"/>
          <w:sz w:val="19"/>
        </w:rPr>
        <w:t>geotechnical properties, reducing bearing capacity and increasing settlement risk.</w:t>
      </w:r>
    </w:p>
    <w:p>
      <w:pPr>
        <w:spacing w:before="40" w:after="80" w:line="276" w:lineRule="auto"/>
      </w:pPr>
      <w:r>
        <w:rPr>
          <w:color w:val="334155"/>
          <w:sz w:val="19"/>
        </w:rPr>
        <w:t> Salinity and reactive soils: much of the Precinct and Taralba Southgate are affected by moderate to very</w:t>
      </w:r>
    </w:p>
    <w:p>
      <w:pPr>
        <w:spacing w:before="40" w:after="80" w:line="276" w:lineRule="auto"/>
      </w:pPr>
      <w:r>
        <w:rPr>
          <w:color w:val="334155"/>
          <w:sz w:val="19"/>
        </w:rPr>
        <w:t>high salinity hazard and reactive clay soils, with implications for durability of infrastructure and long-term</w:t>
      </w:r>
    </w:p>
    <w:p>
      <w:pPr>
        <w:spacing w:before="40" w:after="80" w:line="276" w:lineRule="auto"/>
      </w:pPr>
      <w:r>
        <w:rPr>
          <w:color w:val="334155"/>
          <w:sz w:val="19"/>
        </w:rPr>
        <w:t>maintenance.</w:t>
      </w:r>
    </w:p>
    <w:p>
      <w:pPr>
        <w:spacing w:before="40" w:after="80" w:line="276" w:lineRule="auto"/>
      </w:pPr>
      <w:r>
        <w:rPr>
          <w:color w:val="334155"/>
          <w:sz w:val="19"/>
        </w:rPr>
        <w:t>1.2</w:t>
      </w:r>
    </w:p>
    <w:p>
      <w:pPr>
        <w:spacing w:before="40" w:after="80" w:line="276" w:lineRule="auto"/>
      </w:pPr>
      <w:r>
        <w:rPr>
          <w:color w:val="334155"/>
          <w:sz w:val="19"/>
        </w:rPr>
        <w:t>Structure Plan sub-precincts and Teralba Southgate</w:t>
      </w:r>
    </w:p>
    <w:p>
      <w:pPr>
        <w:spacing w:before="40" w:after="80" w:line="276" w:lineRule="auto"/>
      </w:pPr>
      <w:r>
        <w:rPr>
          <w:color w:val="334155"/>
          <w:sz w:val="19"/>
        </w:rPr>
        <w:t> Lower constraint areas (e.g. Killingworth, West Lake, Teralba Southgate, Barnsley West and more</w:t>
      </w:r>
    </w:p>
    <w:p>
      <w:pPr>
        <w:spacing w:before="40" w:after="80" w:line="276" w:lineRule="auto"/>
      </w:pPr>
      <w:r>
        <w:rPr>
          <w:color w:val="334155"/>
          <w:sz w:val="19"/>
        </w:rPr>
        <w:t>broadly the eastern portion of Cockle Creek) are suitable for early-stage development.</w:t>
      </w:r>
    </w:p>
    <w:p>
      <w:pPr>
        <w:spacing w:before="40" w:after="80" w:line="276" w:lineRule="auto"/>
      </w:pPr>
      <w:r>
        <w:rPr>
          <w:color w:val="334155"/>
          <w:sz w:val="19"/>
        </w:rPr>
        <w:t> Moderate constraint areas (e.g. environmentally constrained areas) require targeted investigation and</w:t>
      </w:r>
    </w:p>
    <w:p>
      <w:pPr>
        <w:spacing w:before="40" w:after="80" w:line="276" w:lineRule="auto"/>
      </w:pPr>
      <w:r>
        <w:rPr>
          <w:color w:val="334155"/>
          <w:sz w:val="19"/>
        </w:rPr>
        <w:t>design responses prior to development, subject to subsidence risk investigation.</w:t>
      </w:r>
    </w:p>
    <w:p>
      <w:pPr>
        <w:spacing w:before="40" w:after="80" w:line="276" w:lineRule="auto"/>
      </w:pPr>
      <w:r>
        <w:rPr>
          <w:color w:val="334155"/>
          <w:sz w:val="19"/>
        </w:rPr>
        <w:t> Higher constrained areas, including the TSF within the Cockle Creek sub-precinct and floodplain</w:t>
      </w:r>
    </w:p>
    <w:p>
      <w:pPr>
        <w:spacing w:before="40" w:after="80" w:line="276" w:lineRule="auto"/>
      </w:pPr>
      <w:r>
        <w:rPr>
          <w:color w:val="334155"/>
          <w:sz w:val="19"/>
        </w:rPr>
        <w:t>environments, are subject to long-term considerations for development potential.</w:t>
      </w:r>
    </w:p>
    <w:p>
      <w:pPr>
        <w:spacing w:before="40" w:after="80" w:line="276" w:lineRule="auto"/>
      </w:pPr>
      <w:r>
        <w:rPr>
          <w:color w:val="334155"/>
          <w:sz w:val="19"/>
        </w:rPr>
        <w:t>Given that all the sub-precincts are likely underlain by historic underground mine workings and the entirety of</w:t>
      </w:r>
    </w:p>
    <w:p>
      <w:pPr>
        <w:spacing w:before="40" w:after="80" w:line="276" w:lineRule="auto"/>
      </w:pPr>
      <w:r>
        <w:rPr>
          <w:color w:val="334155"/>
          <w:sz w:val="19"/>
        </w:rPr>
        <w:t>the Precinct and Terlaba Southgate is mapped as a declared Mine Subsidence District, all future</w:t>
      </w:r>
    </w:p>
    <w:p>
      <w:pPr>
        <w:spacing w:before="40" w:after="80" w:line="276" w:lineRule="auto"/>
      </w:pPr>
      <w:r>
        <w:rPr>
          <w:color w:val="334155"/>
          <w:sz w:val="19"/>
        </w:rPr>
        <w:t>development will require approval from Subsidence Advisory NSW (SA) and may entail further site specific</w:t>
      </w:r>
    </w:p>
    <w:p>
      <w:pPr>
        <w:spacing w:before="40" w:after="80" w:line="276" w:lineRule="auto"/>
      </w:pPr>
      <w:r>
        <w:rPr>
          <w:color w:val="334155"/>
          <w:sz w:val="19"/>
        </w:rPr>
        <w:t>mine subsidence investigations and assessments.</w:t>
      </w:r>
    </w:p>
    <w:p>
      <w:pPr>
        <w:spacing w:before="40" w:after="80" w:line="276" w:lineRule="auto"/>
      </w:pPr>
      <w:r>
        <w:rPr>
          <w:color w:val="334155"/>
          <w:sz w:val="19"/>
        </w:rPr>
        <w:t>`</w:t>
      </w:r>
    </w:p>
    <w:p>
      <w:pPr>
        <w:pStyle w:val="Heading3"/>
        <w:keepNext/>
        <w:spacing w:before="160" w:after="40"/>
      </w:pPr>
      <w:r>
        <w:rPr>
          <w:b/>
          <w:color w:val="334155"/>
        </w:rPr>
        <w:t>Geotechnical Report Page 8</w:t>
      </w:r>
    </w:p>
    <w:p>
      <w:pPr>
        <w:spacing w:before="40" w:after="80" w:line="276" w:lineRule="auto"/>
      </w:pPr>
      <w:r>
        <w:rPr>
          <w:color w:val="334155"/>
          <w:sz w:val="19"/>
        </w:rPr>
        <w:t>`</w:t>
      </w:r>
    </w:p>
    <w:p>
      <w:pPr>
        <w:spacing w:before="40" w:after="80" w:line="276" w:lineRule="auto"/>
      </w:pPr>
      <w:r>
        <w:rPr>
          <w:color w:val="334155"/>
          <w:sz w:val="19"/>
        </w:rPr>
        <w:t>Project number 531168-000  File Geotechnical Engineering Report Rev B_Clean.docx  2026-07-01  Revision B</w:t>
      </w:r>
    </w:p>
    <w:p>
      <w:pPr>
        <w:spacing w:before="40" w:after="80" w:line="276" w:lineRule="auto"/>
      </w:pPr>
      <w:r>
        <w:rPr>
          <w:color w:val="334155"/>
          <w:sz w:val="19"/>
        </w:rPr>
        <w:t>3</w:t>
      </w:r>
    </w:p>
    <w:p>
      <w:pPr>
        <w:spacing w:before="40" w:after="80" w:line="276" w:lineRule="auto"/>
      </w:pPr>
      <w:r>
        <w:rPr>
          <w:color w:val="334155"/>
          <w:sz w:val="19"/>
        </w:rPr>
        <w:t>1.3</w:t>
      </w:r>
    </w:p>
    <w:p>
      <w:pPr>
        <w:spacing w:before="40" w:after="80" w:line="276" w:lineRule="auto"/>
      </w:pPr>
      <w:r>
        <w:rPr>
          <w:color w:val="334155"/>
          <w:sz w:val="19"/>
        </w:rPr>
        <w:t>Infrastructure and constructability</w:t>
      </w:r>
    </w:p>
    <w:p>
      <w:pPr>
        <w:spacing w:before="40" w:after="80" w:line="276" w:lineRule="auto"/>
      </w:pPr>
      <w:r>
        <w:rPr>
          <w:color w:val="334155"/>
          <w:sz w:val="19"/>
        </w:rPr>
        <w:t>The Report identifies several implications for infrastructure design:</w:t>
      </w:r>
    </w:p>
    <w:p>
      <w:pPr>
        <w:spacing w:before="40" w:after="80" w:line="276" w:lineRule="auto"/>
      </w:pPr>
      <w:r>
        <w:rPr>
          <w:color w:val="334155"/>
          <w:sz w:val="19"/>
        </w:rPr>
        <w:t> Flood-prone areas require resilient design and scour protection</w:t>
      </w:r>
    </w:p>
    <w:p>
      <w:pPr>
        <w:spacing w:before="40" w:after="80" w:line="276" w:lineRule="auto"/>
      </w:pPr>
      <w:r>
        <w:rPr>
          <w:color w:val="334155"/>
          <w:sz w:val="19"/>
        </w:rPr>
        <w:t> Ground improvement (e.g. preloading, wick drains) may be required in soft or compressible soils</w:t>
      </w:r>
    </w:p>
    <w:p>
      <w:pPr>
        <w:spacing w:before="40" w:after="80" w:line="276" w:lineRule="auto"/>
      </w:pPr>
      <w:r>
        <w:rPr>
          <w:color w:val="334155"/>
          <w:sz w:val="19"/>
        </w:rPr>
        <w:t> Excavation in coal-bearing strata may require selective removal and treatment</w:t>
      </w:r>
    </w:p>
    <w:p>
      <w:pPr>
        <w:spacing w:before="40" w:after="80" w:line="276" w:lineRule="auto"/>
      </w:pPr>
      <w:r>
        <w:rPr>
          <w:color w:val="334155"/>
          <w:sz w:val="19"/>
        </w:rPr>
        <w:t> Utilities may require specialised trenching, dewatering, and corrosion protection</w:t>
      </w:r>
    </w:p>
    <w:p>
      <w:pPr>
        <w:spacing w:before="40" w:after="80" w:line="276" w:lineRule="auto"/>
      </w:pPr>
      <w:r>
        <w:rPr>
          <w:color w:val="334155"/>
          <w:sz w:val="19"/>
        </w:rPr>
        <w:t>These factors will influence development cost, timing and feasibility across the Precinct and Teralba</w:t>
      </w:r>
    </w:p>
    <w:p>
      <w:pPr>
        <w:spacing w:before="40" w:after="80" w:line="276" w:lineRule="auto"/>
      </w:pPr>
      <w:r>
        <w:rPr>
          <w:color w:val="334155"/>
          <w:sz w:val="19"/>
        </w:rPr>
        <w:t>Southgate.</w:t>
      </w:r>
    </w:p>
    <w:p>
      <w:pPr>
        <w:spacing w:before="40" w:after="80" w:line="276" w:lineRule="auto"/>
      </w:pPr>
      <w:r>
        <w:rPr>
          <w:color w:val="334155"/>
          <w:sz w:val="19"/>
        </w:rPr>
        <w:t>1.4</w:t>
      </w:r>
    </w:p>
    <w:p>
      <w:pPr>
        <w:spacing w:before="40" w:after="80" w:line="276" w:lineRule="auto"/>
      </w:pPr>
      <w:r>
        <w:rPr>
          <w:color w:val="334155"/>
          <w:sz w:val="19"/>
        </w:rPr>
        <w:t>Data gaps and further investigations</w:t>
      </w:r>
    </w:p>
    <w:p>
      <w:pPr>
        <w:spacing w:before="40" w:after="80" w:line="276" w:lineRule="auto"/>
      </w:pPr>
      <w:r>
        <w:rPr>
          <w:color w:val="334155"/>
          <w:sz w:val="19"/>
        </w:rPr>
        <w:t>The assessment identifies data limitations, including:</w:t>
      </w:r>
    </w:p>
    <w:p>
      <w:pPr>
        <w:spacing w:before="40" w:after="80" w:line="276" w:lineRule="auto"/>
      </w:pPr>
      <w:r>
        <w:rPr>
          <w:color w:val="334155"/>
          <w:sz w:val="19"/>
        </w:rPr>
        <w:t> Limited and dated geotechnical investigations</w:t>
      </w:r>
    </w:p>
    <w:p>
      <w:pPr>
        <w:spacing w:before="40" w:after="80" w:line="276" w:lineRule="auto"/>
      </w:pPr>
      <w:r>
        <w:rPr>
          <w:color w:val="334155"/>
          <w:sz w:val="19"/>
        </w:rPr>
        <w:t> Incomplete understanding of TSF material properties and depth</w:t>
      </w:r>
    </w:p>
    <w:p>
      <w:pPr>
        <w:spacing w:before="40" w:after="80" w:line="276" w:lineRule="auto"/>
      </w:pPr>
      <w:r>
        <w:rPr>
          <w:color w:val="334155"/>
          <w:sz w:val="19"/>
        </w:rPr>
        <w:t> Uncertainty in mine subsidence risks in details and condition of historic fill areas as well as groundwater</w:t>
      </w:r>
    </w:p>
    <w:p>
      <w:pPr>
        <w:spacing w:before="40" w:after="80" w:line="276" w:lineRule="auto"/>
      </w:pPr>
      <w:r>
        <w:rPr>
          <w:color w:val="334155"/>
          <w:sz w:val="19"/>
        </w:rPr>
        <w:t>behaviour.</w:t>
      </w:r>
    </w:p>
    <w:p>
      <w:pPr>
        <w:spacing w:before="40" w:after="80" w:line="276" w:lineRule="auto"/>
      </w:pPr>
      <w:r>
        <w:rPr>
          <w:color w:val="334155"/>
          <w:sz w:val="19"/>
        </w:rPr>
        <w:t>To address these uncertainties, following rezoning, further site-specific investigations are required to:</w:t>
      </w:r>
    </w:p>
    <w:p>
      <w:pPr>
        <w:spacing w:before="40" w:after="80" w:line="276" w:lineRule="auto"/>
      </w:pPr>
      <w:r>
        <w:rPr>
          <w:color w:val="334155"/>
          <w:sz w:val="19"/>
        </w:rPr>
        <w:t> Confirm ground conditions and groundwater regimes</w:t>
      </w:r>
    </w:p>
    <w:p>
      <w:pPr>
        <w:spacing w:before="40" w:after="80" w:line="276" w:lineRule="auto"/>
      </w:pPr>
      <w:r>
        <w:rPr>
          <w:color w:val="334155"/>
          <w:sz w:val="19"/>
        </w:rPr>
        <w:t> Refine geotechnical risk mapping</w:t>
      </w:r>
    </w:p>
    <w:p>
      <w:pPr>
        <w:spacing w:before="40" w:after="80" w:line="276" w:lineRule="auto"/>
      </w:pPr>
      <w:r>
        <w:rPr>
          <w:color w:val="334155"/>
          <w:sz w:val="19"/>
        </w:rPr>
        <w:t> Support detailed design and future development approvals.</w:t>
      </w:r>
    </w:p>
    <w:p>
      <w:pPr>
        <w:spacing w:before="40" w:after="80" w:line="276" w:lineRule="auto"/>
      </w:pPr>
      <w:r>
        <w:rPr>
          <w:color w:val="334155"/>
          <w:sz w:val="19"/>
        </w:rPr>
        <w:t>Development at later stages must be supported by intrusive investigations, modelling, and engineering</w:t>
      </w:r>
    </w:p>
    <w:p>
      <w:pPr>
        <w:spacing w:before="40" w:after="80" w:line="276" w:lineRule="auto"/>
      </w:pPr>
      <w:r>
        <w:rPr>
          <w:color w:val="334155"/>
          <w:sz w:val="19"/>
        </w:rPr>
        <w:t>validation.</w:t>
      </w:r>
    </w:p>
    <w:p>
      <w:pPr>
        <w:spacing w:before="40" w:after="80" w:line="276" w:lineRule="auto"/>
      </w:pPr>
      <w:r>
        <w:rPr>
          <w:color w:val="334155"/>
          <w:sz w:val="19"/>
        </w:rPr>
        <w:t>In general, from a geotechnical perspective, the majority of the Precinct  is considered to be suitable for the</w:t>
      </w:r>
    </w:p>
    <w:p>
      <w:pPr>
        <w:spacing w:before="40" w:after="80" w:line="276" w:lineRule="auto"/>
      </w:pPr>
      <w:r>
        <w:rPr>
          <w:color w:val="334155"/>
          <w:sz w:val="19"/>
        </w:rPr>
        <w:t>purposes of commercial and industrial use, with varying levels of localised mitigation measures based on</w:t>
      </w:r>
    </w:p>
    <w:p>
      <w:pPr>
        <w:spacing w:before="40" w:after="80" w:line="276" w:lineRule="auto"/>
      </w:pPr>
      <w:r>
        <w:rPr>
          <w:color w:val="334155"/>
          <w:sz w:val="19"/>
        </w:rPr>
        <w:t>geographically specific constraints.</w:t>
      </w:r>
    </w:p>
    <w:p>
      <w:pPr>
        <w:spacing w:before="40" w:after="80" w:line="276" w:lineRule="auto"/>
      </w:pPr>
      <w:r>
        <w:rPr>
          <w:color w:val="334155"/>
          <w:sz w:val="19"/>
        </w:rPr>
        <w:t>Referral to Subsidence Advisory NSW (SA NSW) will be required to confirm site specific requirements and</w:t>
      </w:r>
    </w:p>
    <w:p>
      <w:pPr>
        <w:spacing w:before="40" w:after="80" w:line="276" w:lineRule="auto"/>
      </w:pPr>
      <w:r>
        <w:rPr>
          <w:color w:val="334155"/>
          <w:sz w:val="19"/>
        </w:rPr>
        <w:t>more detailed subsidence modelling may be required. It is expected that many of the site constraints can be</w:t>
      </w:r>
    </w:p>
    <w:p>
      <w:pPr>
        <w:spacing w:before="40" w:after="80" w:line="276" w:lineRule="auto"/>
      </w:pPr>
      <w:r>
        <w:rPr>
          <w:color w:val="334155"/>
          <w:sz w:val="19"/>
        </w:rPr>
        <w:t>managed through engineering intervention such as ground improvement and consideration of mine</w:t>
      </w:r>
    </w:p>
    <w:p>
      <w:pPr>
        <w:spacing w:before="40" w:after="80" w:line="276" w:lineRule="auto"/>
      </w:pPr>
      <w:r>
        <w:rPr>
          <w:color w:val="334155"/>
          <w:sz w:val="19"/>
        </w:rPr>
        <w:t>subsidence in structural design or ground stabilisation by means such as grouting of former workings.</w:t>
      </w:r>
    </w:p>
    <w:p>
      <w:pPr>
        <w:spacing w:before="40" w:after="80" w:line="276" w:lineRule="auto"/>
      </w:pPr>
      <w:r>
        <w:rPr>
          <w:color w:val="334155"/>
          <w:sz w:val="19"/>
        </w:rPr>
        <w:t>`</w:t>
      </w:r>
    </w:p>
    <w:p>
      <w:pPr>
        <w:pStyle w:val="Heading3"/>
        <w:keepNext/>
        <w:spacing w:before="160" w:after="40"/>
      </w:pPr>
      <w:r>
        <w:rPr>
          <w:b/>
          <w:color w:val="334155"/>
        </w:rPr>
        <w:t>Geotechnical Report Page 9</w:t>
      </w:r>
    </w:p>
    <w:p>
      <w:pPr>
        <w:spacing w:before="40" w:after="80" w:line="276" w:lineRule="auto"/>
      </w:pPr>
      <w:r>
        <w:rPr>
          <w:color w:val="334155"/>
          <w:sz w:val="19"/>
        </w:rPr>
        <w:t>`</w:t>
      </w:r>
    </w:p>
    <w:p>
      <w:pPr>
        <w:spacing w:before="40" w:after="80" w:line="276" w:lineRule="auto"/>
      </w:pPr>
      <w:r>
        <w:rPr>
          <w:color w:val="334155"/>
          <w:sz w:val="19"/>
        </w:rPr>
        <w:t>Project number 531168-000  File Geotechnical Engineering Report Rev B_Clean.docx  2026-07-01  Revision B</w:t>
      </w:r>
    </w:p>
    <w:p>
      <w:pPr>
        <w:spacing w:before="40" w:after="80" w:line="276" w:lineRule="auto"/>
      </w:pPr>
      <w:r>
        <w:rPr>
          <w:color w:val="334155"/>
          <w:sz w:val="19"/>
        </w:rPr>
        <w:t>4</w:t>
      </w:r>
    </w:p>
    <w:p>
      <w:pPr>
        <w:spacing w:before="40" w:after="80" w:line="276" w:lineRule="auto"/>
      </w:pPr>
      <w:r>
        <w:rPr>
          <w:color w:val="334155"/>
          <w:sz w:val="19"/>
        </w:rPr>
        <w:t>2</w:t>
      </w:r>
    </w:p>
    <w:p>
      <w:pPr>
        <w:spacing w:before="40" w:after="80" w:line="276" w:lineRule="auto"/>
      </w:pPr>
      <w:r>
        <w:rPr>
          <w:color w:val="334155"/>
          <w:sz w:val="19"/>
        </w:rPr>
        <w:t>Introduction</w:t>
      </w:r>
    </w:p>
    <w:p>
      <w:pPr>
        <w:spacing w:before="40" w:after="80" w:line="276" w:lineRule="auto"/>
      </w:pPr>
      <w:r>
        <w:rPr>
          <w:color w:val="334155"/>
          <w:sz w:val="19"/>
        </w:rPr>
        <w:t>This Geotechnical Engineering Report (this Report) has been prepared by Aurecon on behalf of the</w:t>
      </w:r>
    </w:p>
    <w:p>
      <w:pPr>
        <w:spacing w:before="40" w:after="80" w:line="276" w:lineRule="auto"/>
      </w:pPr>
      <w:r>
        <w:rPr>
          <w:color w:val="334155"/>
          <w:sz w:val="19"/>
        </w:rPr>
        <w:t>Department Planning, Housing and Infrastructure (DPHI) to support the State-led rezoning of the Macquarie</w:t>
      </w:r>
    </w:p>
    <w:p>
      <w:pPr>
        <w:spacing w:before="40" w:after="80" w:line="276" w:lineRule="auto"/>
      </w:pPr>
      <w:r>
        <w:rPr>
          <w:color w:val="334155"/>
          <w:sz w:val="19"/>
        </w:rPr>
        <w:t>Coal Complex for Post Mining Land Use. The Macquarie Coal Complex Land Transformation Precinct (the</w:t>
      </w:r>
    </w:p>
    <w:p>
      <w:pPr>
        <w:spacing w:before="40" w:after="80" w:line="276" w:lineRule="auto"/>
      </w:pPr>
      <w:r>
        <w:rPr>
          <w:color w:val="334155"/>
          <w:sz w:val="19"/>
        </w:rPr>
        <w:t>Precinct) and Teralba Southgate form part of the NSW Government’s investigation into future land use</w:t>
      </w:r>
    </w:p>
    <w:p>
      <w:pPr>
        <w:spacing w:before="40" w:after="80" w:line="276" w:lineRule="auto"/>
      </w:pPr>
      <w:r>
        <w:rPr>
          <w:color w:val="334155"/>
          <w:sz w:val="19"/>
        </w:rPr>
        <w:t>pathways for mining affected land.</w:t>
      </w:r>
    </w:p>
    <w:p>
      <w:pPr>
        <w:spacing w:before="40" w:after="80" w:line="276" w:lineRule="auto"/>
      </w:pPr>
      <w:r>
        <w:rPr>
          <w:color w:val="334155"/>
          <w:sz w:val="19"/>
        </w:rPr>
        <w:t>This Report provides a desktop based geotechnical assessment to support the rezoning, planning and</w:t>
      </w:r>
    </w:p>
    <w:p>
      <w:pPr>
        <w:spacing w:before="40" w:after="80" w:line="276" w:lineRule="auto"/>
      </w:pPr>
      <w:r>
        <w:rPr>
          <w:color w:val="334155"/>
          <w:sz w:val="19"/>
        </w:rPr>
        <w:t>staged redevelopment of the Precinct and Teralba Southgate sub-precinct. It establishes an evidence base</w:t>
      </w:r>
    </w:p>
    <w:p>
      <w:pPr>
        <w:spacing w:before="40" w:after="80" w:line="276" w:lineRule="auto"/>
      </w:pPr>
      <w:r>
        <w:rPr>
          <w:color w:val="334155"/>
          <w:sz w:val="19"/>
        </w:rPr>
        <w:t>to identify, assess and manage geotechnical constraints, and to guide investigation, earthworks and</w:t>
      </w:r>
    </w:p>
    <w:p>
      <w:pPr>
        <w:spacing w:before="40" w:after="80" w:line="276" w:lineRule="auto"/>
      </w:pPr>
      <w:r>
        <w:rPr>
          <w:color w:val="334155"/>
          <w:sz w:val="19"/>
        </w:rPr>
        <w:t>foundation design requirements across in these areas.</w:t>
      </w:r>
    </w:p>
    <w:p>
      <w:pPr>
        <w:spacing w:before="40" w:after="80" w:line="276" w:lineRule="auto"/>
      </w:pPr>
      <w:r>
        <w:rPr>
          <w:color w:val="334155"/>
          <w:sz w:val="19"/>
        </w:rPr>
        <w:t>The Report is intended to inform:</w:t>
      </w:r>
    </w:p>
    <w:p>
      <w:pPr>
        <w:spacing w:before="40" w:after="80" w:line="276" w:lineRule="auto"/>
      </w:pPr>
      <w:r>
        <w:rPr>
          <w:color w:val="334155"/>
          <w:sz w:val="19"/>
        </w:rPr>
        <w:t> State-led rezoning processes</w:t>
      </w:r>
    </w:p>
    <w:p>
      <w:pPr>
        <w:spacing w:before="40" w:after="80" w:line="276" w:lineRule="auto"/>
      </w:pPr>
      <w:r>
        <w:rPr>
          <w:color w:val="334155"/>
          <w:sz w:val="19"/>
        </w:rPr>
        <w:t> Structure planning and sub‑precinct development strategies</w:t>
      </w:r>
    </w:p>
    <w:p>
      <w:pPr>
        <w:spacing w:before="40" w:after="80" w:line="276" w:lineRule="auto"/>
      </w:pPr>
      <w:r>
        <w:rPr>
          <w:color w:val="334155"/>
          <w:sz w:val="19"/>
        </w:rPr>
        <w:t> Infrastructure planning and delivery</w:t>
      </w:r>
    </w:p>
    <w:p>
      <w:pPr>
        <w:spacing w:before="40" w:after="80" w:line="276" w:lineRule="auto"/>
      </w:pPr>
      <w:r>
        <w:rPr>
          <w:color w:val="334155"/>
          <w:sz w:val="19"/>
        </w:rPr>
        <w:t> Future development applications and site-specific investigations.</w:t>
      </w:r>
    </w:p>
    <w:p>
      <w:pPr>
        <w:spacing w:before="40" w:after="80" w:line="276" w:lineRule="auto"/>
      </w:pPr>
      <w:r>
        <w:rPr>
          <w:color w:val="334155"/>
          <w:sz w:val="19"/>
        </w:rPr>
        <w:t>The Precinct and Teralba Southgate are characterised by a highly variable ground environment, shaped by:</w:t>
      </w:r>
    </w:p>
    <w:p>
      <w:pPr>
        <w:spacing w:before="40" w:after="80" w:line="276" w:lineRule="auto"/>
      </w:pPr>
      <w:r>
        <w:rPr>
          <w:color w:val="334155"/>
          <w:sz w:val="19"/>
        </w:rPr>
        <w:t> Underground mining (West Wallsend Colliery)</w:t>
      </w:r>
    </w:p>
    <w:p>
      <w:pPr>
        <w:spacing w:before="40" w:after="80" w:line="276" w:lineRule="auto"/>
      </w:pPr>
      <w:r>
        <w:rPr>
          <w:color w:val="334155"/>
          <w:sz w:val="19"/>
        </w:rPr>
        <w:t> Open cut mining and backfilled voids</w:t>
      </w:r>
    </w:p>
    <w:p>
      <w:pPr>
        <w:spacing w:before="40" w:after="80" w:line="276" w:lineRule="auto"/>
      </w:pPr>
      <w:r>
        <w:rPr>
          <w:color w:val="334155"/>
          <w:sz w:val="19"/>
        </w:rPr>
        <w:t> Coal processing infrastructure and tailings deposition</w:t>
      </w:r>
    </w:p>
    <w:p>
      <w:pPr>
        <w:spacing w:before="40" w:after="80" w:line="276" w:lineRule="auto"/>
      </w:pPr>
      <w:r>
        <w:rPr>
          <w:color w:val="334155"/>
          <w:sz w:val="19"/>
        </w:rPr>
        <w:t> Progressive rehabilitation and landform recontouring</w:t>
      </w:r>
    </w:p>
    <w:p>
      <w:pPr>
        <w:spacing w:before="40" w:after="80" w:line="276" w:lineRule="auto"/>
      </w:pPr>
      <w:r>
        <w:rPr>
          <w:color w:val="334155"/>
          <w:sz w:val="19"/>
        </w:rPr>
        <w:t>These legacy conditions result in a range of geotechnical challenges, including:</w:t>
      </w:r>
    </w:p>
    <w:p>
      <w:pPr>
        <w:spacing w:before="40" w:after="80" w:line="276" w:lineRule="auto"/>
      </w:pPr>
      <w:r>
        <w:rPr>
          <w:color w:val="334155"/>
          <w:sz w:val="19"/>
        </w:rPr>
        <w:t> Mine subsidence risk</w:t>
      </w:r>
    </w:p>
    <w:p>
      <w:pPr>
        <w:spacing w:before="40" w:after="80" w:line="276" w:lineRule="auto"/>
      </w:pPr>
      <w:r>
        <w:rPr>
          <w:color w:val="334155"/>
          <w:sz w:val="19"/>
        </w:rPr>
        <w:t> Variable and uncontrolled fill</w:t>
      </w:r>
    </w:p>
    <w:p>
      <w:pPr>
        <w:spacing w:before="40" w:after="80" w:line="276" w:lineRule="auto"/>
      </w:pPr>
      <w:r>
        <w:rPr>
          <w:color w:val="334155"/>
          <w:sz w:val="19"/>
        </w:rPr>
        <w:t> Soft and compressible alluvial soils</w:t>
      </w:r>
    </w:p>
    <w:p>
      <w:pPr>
        <w:spacing w:before="40" w:after="80" w:line="276" w:lineRule="auto"/>
      </w:pPr>
      <w:r>
        <w:rPr>
          <w:color w:val="334155"/>
          <w:sz w:val="19"/>
        </w:rPr>
        <w:t> Groundwater variability</w:t>
      </w:r>
    </w:p>
    <w:p>
      <w:pPr>
        <w:spacing w:before="40" w:after="80" w:line="276" w:lineRule="auto"/>
      </w:pPr>
      <w:r>
        <w:rPr>
          <w:color w:val="334155"/>
          <w:sz w:val="19"/>
        </w:rPr>
        <w:t> Stability and settlement considerations associated with the Tailings Storage Facility (TSF).</w:t>
      </w:r>
    </w:p>
    <w:p>
      <w:pPr>
        <w:spacing w:before="40" w:after="80" w:line="276" w:lineRule="auto"/>
      </w:pPr>
      <w:r>
        <w:rPr>
          <w:color w:val="334155"/>
          <w:sz w:val="19"/>
        </w:rPr>
        <w:t>A strategic, risk-informed framework to manage constraints associated with the geotechnical conditions of</w:t>
      </w:r>
    </w:p>
    <w:p>
      <w:pPr>
        <w:spacing w:before="40" w:after="80" w:line="276" w:lineRule="auto"/>
      </w:pPr>
      <w:r>
        <w:rPr>
          <w:color w:val="334155"/>
          <w:sz w:val="19"/>
        </w:rPr>
        <w:t>the Precinct and Teralba Southgate should therefore be adopted.</w:t>
      </w:r>
    </w:p>
    <w:p>
      <w:pPr>
        <w:spacing w:before="40" w:after="80" w:line="276" w:lineRule="auto"/>
      </w:pPr>
      <w:r>
        <w:rPr>
          <w:color w:val="334155"/>
          <w:sz w:val="19"/>
        </w:rPr>
        <w:t>2.1</w:t>
      </w:r>
    </w:p>
    <w:p>
      <w:pPr>
        <w:spacing w:before="40" w:after="80" w:line="276" w:lineRule="auto"/>
      </w:pPr>
      <w:r>
        <w:rPr>
          <w:color w:val="334155"/>
          <w:sz w:val="19"/>
        </w:rPr>
        <w:t>Background</w:t>
      </w:r>
    </w:p>
    <w:p>
      <w:pPr>
        <w:spacing w:before="40" w:after="80" w:line="276" w:lineRule="auto"/>
      </w:pPr>
      <w:r>
        <w:rPr>
          <w:color w:val="334155"/>
          <w:sz w:val="19"/>
        </w:rPr>
        <w:t>Open cut and underground mining operations have all ceased and current activities are focused on</w:t>
      </w:r>
    </w:p>
    <w:p>
      <w:pPr>
        <w:spacing w:before="40" w:after="80" w:line="276" w:lineRule="auto"/>
      </w:pPr>
      <w:r>
        <w:rPr>
          <w:color w:val="334155"/>
          <w:sz w:val="19"/>
        </w:rPr>
        <w:t>rehabilitation, closure planning, and long-term environmental management.</w:t>
      </w:r>
    </w:p>
    <w:p>
      <w:pPr>
        <w:spacing w:before="40" w:after="80" w:line="276" w:lineRule="auto"/>
      </w:pPr>
      <w:r>
        <w:rPr>
          <w:color w:val="334155"/>
          <w:sz w:val="19"/>
        </w:rPr>
        <w:t>The Macquarie Coal Complex is a decommissioned mining operation previously operated by Glencore,</w:t>
      </w:r>
    </w:p>
    <w:p>
      <w:pPr>
        <w:spacing w:before="40" w:after="80" w:line="276" w:lineRule="auto"/>
      </w:pPr>
      <w:r>
        <w:rPr>
          <w:color w:val="334155"/>
          <w:sz w:val="19"/>
        </w:rPr>
        <w:t>which processed coal sourced from the nearby underground West Wallsend Colliery and the Westside open-</w:t>
      </w:r>
    </w:p>
    <w:p>
      <w:pPr>
        <w:spacing w:before="40" w:after="80" w:line="276" w:lineRule="auto"/>
      </w:pPr>
      <w:r>
        <w:rPr>
          <w:color w:val="334155"/>
          <w:sz w:val="19"/>
        </w:rPr>
        <w:t>cut mining operations. Mining activities at West Wallsend Colliery, Westside open-cut mining operation and</w:t>
      </w:r>
    </w:p>
    <w:p>
      <w:pPr>
        <w:spacing w:before="40" w:after="80" w:line="276" w:lineRule="auto"/>
      </w:pPr>
      <w:r>
        <w:rPr>
          <w:color w:val="334155"/>
          <w:sz w:val="19"/>
        </w:rPr>
        <w:t>Teralba Southgate respectively ceased in 2016, 2012 and 2001.</w:t>
      </w:r>
    </w:p>
    <w:p>
      <w:pPr>
        <w:spacing w:before="40" w:after="80" w:line="276" w:lineRule="auto"/>
      </w:pPr>
      <w:r>
        <w:rPr>
          <w:color w:val="334155"/>
          <w:sz w:val="19"/>
        </w:rPr>
        <w:t>The Structure Plan has divided the Precinct and Teralba Southgate into three post mining land use land</w:t>
      </w:r>
    </w:p>
    <w:p>
      <w:pPr>
        <w:spacing w:before="40" w:after="80" w:line="276" w:lineRule="auto"/>
      </w:pPr>
      <w:r>
        <w:rPr>
          <w:color w:val="334155"/>
          <w:sz w:val="19"/>
        </w:rPr>
        <w:t>categories for conservation, development and recreation purposes, further divided into six sub-precinct areas</w:t>
      </w:r>
    </w:p>
    <w:p>
      <w:pPr>
        <w:spacing w:before="40" w:after="80" w:line="276" w:lineRule="auto"/>
      </w:pPr>
      <w:r>
        <w:rPr>
          <w:color w:val="334155"/>
          <w:sz w:val="19"/>
        </w:rPr>
        <w:t>as shown Figure 2-1 and listed in Table 2-1.</w:t>
      </w:r>
    </w:p>
    <w:p>
      <w:pPr>
        <w:spacing w:before="40" w:after="80" w:line="276" w:lineRule="auto"/>
      </w:pPr>
      <w:r>
        <w:rPr>
          <w:color w:val="334155"/>
          <w:sz w:val="19"/>
        </w:rPr>
        <w:t>`</w:t>
      </w:r>
    </w:p>
    <w:p>
      <w:pPr>
        <w:pStyle w:val="Heading3"/>
        <w:keepNext/>
        <w:spacing w:before="160" w:after="40"/>
      </w:pPr>
      <w:r>
        <w:rPr>
          <w:b/>
          <w:color w:val="334155"/>
        </w:rPr>
        <w:t>Geotechnical Report Page 11</w:t>
      </w:r>
    </w:p>
    <w:p>
      <w:pPr>
        <w:spacing w:before="40" w:after="80" w:line="276" w:lineRule="auto"/>
      </w:pPr>
      <w:r>
        <w:rPr>
          <w:color w:val="334155"/>
          <w:sz w:val="19"/>
        </w:rPr>
        <w:t>`</w:t>
      </w:r>
    </w:p>
    <w:p>
      <w:pPr>
        <w:spacing w:before="40" w:after="80" w:line="276" w:lineRule="auto"/>
      </w:pPr>
      <w:r>
        <w:rPr>
          <w:color w:val="334155"/>
          <w:sz w:val="19"/>
        </w:rPr>
        <w:t>Project number 531168-000  File Geotechnical Engineering Report Rev B_Clean.docx  2026-07-01  Revision B</w:t>
      </w:r>
    </w:p>
    <w:p>
      <w:pPr>
        <w:spacing w:before="40" w:after="80" w:line="276" w:lineRule="auto"/>
      </w:pPr>
      <w:r>
        <w:rPr>
          <w:color w:val="334155"/>
          <w:sz w:val="19"/>
        </w:rPr>
        <w:t>6</w:t>
      </w:r>
    </w:p>
    <w:p>
      <w:pPr>
        <w:spacing w:before="40" w:after="80" w:line="276" w:lineRule="auto"/>
      </w:pPr>
      <w:r>
        <w:rPr>
          <w:color w:val="334155"/>
          <w:sz w:val="19"/>
        </w:rPr>
        <w:t>This Report has been prepared using publicly available information together with existing project data,</w:t>
      </w:r>
    </w:p>
    <w:p>
      <w:pPr>
        <w:spacing w:before="40" w:after="80" w:line="276" w:lineRule="auto"/>
      </w:pPr>
      <w:r>
        <w:rPr>
          <w:color w:val="334155"/>
          <w:sz w:val="19"/>
        </w:rPr>
        <w:t>including previous geotechnical investigations, borehole logs, laboratory testing records, mine rehabilitation</w:t>
      </w:r>
    </w:p>
    <w:p>
      <w:pPr>
        <w:spacing w:before="40" w:after="80" w:line="276" w:lineRule="auto"/>
      </w:pPr>
      <w:r>
        <w:rPr>
          <w:color w:val="334155"/>
          <w:sz w:val="19"/>
        </w:rPr>
        <w:t>documentation, and available topographic and subsidence information.</w:t>
      </w:r>
    </w:p>
    <w:p>
      <w:pPr>
        <w:spacing w:before="40" w:after="80" w:line="276" w:lineRule="auto"/>
      </w:pPr>
      <w:r>
        <w:rPr>
          <w:color w:val="334155"/>
          <w:sz w:val="19"/>
        </w:rPr>
        <w:t>Specifically, the Report aims to:</w:t>
      </w:r>
    </w:p>
    <w:p>
      <w:pPr>
        <w:spacing w:before="40" w:after="80" w:line="276" w:lineRule="auto"/>
      </w:pPr>
      <w:r>
        <w:rPr>
          <w:color w:val="334155"/>
          <w:sz w:val="19"/>
        </w:rPr>
        <w:t> Provide a rezoning/master plan level geotechnical evidence base to verify developable land and inform</w:t>
      </w:r>
    </w:p>
    <w:p>
      <w:pPr>
        <w:spacing w:before="40" w:after="80" w:line="276" w:lineRule="auto"/>
      </w:pPr>
      <w:r>
        <w:rPr>
          <w:color w:val="334155"/>
          <w:sz w:val="19"/>
        </w:rPr>
        <w:t>land use compatibility, built form intensity and infrastructure feasibility</w:t>
      </w:r>
    </w:p>
    <w:p>
      <w:pPr>
        <w:spacing w:before="40" w:after="80" w:line="276" w:lineRule="auto"/>
      </w:pPr>
      <w:r>
        <w:rPr>
          <w:color w:val="334155"/>
          <w:sz w:val="19"/>
        </w:rPr>
        <w:t> Translate Enquiry by Design (EbD) identified constraints, including soils, steep terrain constraints and</w:t>
      </w:r>
    </w:p>
    <w:p>
      <w:pPr>
        <w:spacing w:before="40" w:after="80" w:line="276" w:lineRule="auto"/>
      </w:pPr>
      <w:r>
        <w:rPr>
          <w:color w:val="334155"/>
          <w:sz w:val="19"/>
        </w:rPr>
        <w:t>mine subsidence district considerations, into Master Plan mapping, performance criteria and staging</w:t>
      </w:r>
    </w:p>
    <w:p>
      <w:pPr>
        <w:spacing w:before="40" w:after="80" w:line="276" w:lineRule="auto"/>
      </w:pPr>
      <w:r>
        <w:rPr>
          <w:color w:val="334155"/>
          <w:sz w:val="19"/>
        </w:rPr>
        <w:t>triggers</w:t>
      </w:r>
    </w:p>
    <w:p>
      <w:pPr>
        <w:spacing w:before="40" w:after="80" w:line="276" w:lineRule="auto"/>
      </w:pPr>
      <w:r>
        <w:rPr>
          <w:color w:val="334155"/>
          <w:sz w:val="19"/>
        </w:rPr>
        <w:t> Provide a clear pathway for later-phase investigations (intrusive testing, stability modelling, settlement</w:t>
      </w:r>
    </w:p>
    <w:p>
      <w:pPr>
        <w:spacing w:before="40" w:after="80" w:line="276" w:lineRule="auto"/>
      </w:pPr>
      <w:r>
        <w:rPr>
          <w:color w:val="334155"/>
          <w:sz w:val="19"/>
        </w:rPr>
        <w:t>monitoring) without duplicating Development Application (DA) stage work.</w:t>
      </w:r>
    </w:p>
    <w:p>
      <w:pPr>
        <w:spacing w:before="40" w:after="80" w:line="276" w:lineRule="auto"/>
      </w:pPr>
      <w:r>
        <w:rPr>
          <w:color w:val="334155"/>
          <w:sz w:val="19"/>
        </w:rPr>
        <w:t>2.3</w:t>
      </w:r>
    </w:p>
    <w:p>
      <w:pPr>
        <w:spacing w:before="40" w:after="80" w:line="276" w:lineRule="auto"/>
      </w:pPr>
      <w:r>
        <w:rPr>
          <w:color w:val="334155"/>
          <w:sz w:val="19"/>
        </w:rPr>
        <w:t>Assumptions and limitations</w:t>
      </w:r>
    </w:p>
    <w:p>
      <w:pPr>
        <w:spacing w:before="40" w:after="80" w:line="276" w:lineRule="auto"/>
      </w:pPr>
      <w:r>
        <w:rPr>
          <w:color w:val="334155"/>
          <w:sz w:val="19"/>
        </w:rPr>
        <w:t>This Report has been prepared to inform a Master Plan for post mining land use at the rezoning stage.  The</w:t>
      </w:r>
    </w:p>
    <w:p>
      <w:pPr>
        <w:spacing w:before="40" w:after="80" w:line="276" w:lineRule="auto"/>
      </w:pPr>
      <w:r>
        <w:rPr>
          <w:color w:val="334155"/>
          <w:sz w:val="19"/>
        </w:rPr>
        <w:t>assessment is based on existing available information and does not constitute a DA level geotechnical</w:t>
      </w:r>
    </w:p>
    <w:p>
      <w:pPr>
        <w:spacing w:before="40" w:after="80" w:line="276" w:lineRule="auto"/>
      </w:pPr>
      <w:r>
        <w:rPr>
          <w:color w:val="334155"/>
          <w:sz w:val="19"/>
        </w:rPr>
        <w:t>design assessment.</w:t>
      </w:r>
    </w:p>
    <w:p>
      <w:pPr>
        <w:spacing w:before="40" w:after="80" w:line="276" w:lineRule="auto"/>
      </w:pPr>
      <w:r>
        <w:rPr>
          <w:color w:val="334155"/>
          <w:sz w:val="19"/>
        </w:rPr>
        <w:t>The following limitations apply to this assessment:</w:t>
      </w:r>
    </w:p>
    <w:p>
      <w:pPr>
        <w:spacing w:before="40" w:after="80" w:line="276" w:lineRule="auto"/>
      </w:pPr>
      <w:r>
        <w:rPr>
          <w:color w:val="334155"/>
          <w:sz w:val="19"/>
        </w:rPr>
        <w:t> This assessment has been limited to publicly accessible data available to Aurecon and that provided by</w:t>
      </w:r>
    </w:p>
    <w:p>
      <w:pPr>
        <w:spacing w:before="40" w:after="80" w:line="276" w:lineRule="auto"/>
      </w:pPr>
      <w:r>
        <w:rPr>
          <w:color w:val="334155"/>
          <w:sz w:val="19"/>
        </w:rPr>
        <w:t>DPHI, and Glencore</w:t>
      </w:r>
    </w:p>
    <w:p>
      <w:pPr>
        <w:spacing w:before="40" w:after="80" w:line="276" w:lineRule="auto"/>
      </w:pPr>
      <w:r>
        <w:rPr>
          <w:color w:val="334155"/>
          <w:sz w:val="19"/>
        </w:rPr>
        <w:t> No geotechnical or hydrogeological modelling has been undertaken for the purpose of this assessment</w:t>
      </w:r>
    </w:p>
    <w:p>
      <w:pPr>
        <w:spacing w:before="40" w:after="80" w:line="276" w:lineRule="auto"/>
      </w:pPr>
      <w:r>
        <w:rPr>
          <w:color w:val="334155"/>
          <w:sz w:val="19"/>
        </w:rPr>
        <w:t> No detailed development analysis has been undertaken as part of geotechnical assessment</w:t>
      </w:r>
    </w:p>
    <w:p>
      <w:pPr>
        <w:spacing w:before="40" w:after="80" w:line="276" w:lineRule="auto"/>
      </w:pPr>
      <w:r>
        <w:rPr>
          <w:color w:val="334155"/>
          <w:sz w:val="19"/>
        </w:rPr>
        <w:t> No geotechnical investigations were carried out for this assessment.</w:t>
      </w:r>
    </w:p>
    <w:p>
      <w:pPr>
        <w:spacing w:before="40" w:after="80" w:line="276" w:lineRule="auto"/>
      </w:pPr>
      <w:r>
        <w:rPr>
          <w:color w:val="334155"/>
          <w:sz w:val="19"/>
        </w:rPr>
        <w:t>The following items are specifically excluded from, or deferred beyond, the scope of this assessment:</w:t>
      </w:r>
    </w:p>
    <w:p>
      <w:pPr>
        <w:spacing w:before="40" w:after="80" w:line="276" w:lineRule="auto"/>
      </w:pPr>
      <w:r>
        <w:rPr>
          <w:color w:val="334155"/>
          <w:sz w:val="19"/>
        </w:rPr>
        <w:t> Comprehensive intrusive site investigation campaigns across the full Precinct and Teralba Southgate</w:t>
      </w:r>
    </w:p>
    <w:p>
      <w:pPr>
        <w:spacing w:before="40" w:after="80" w:line="276" w:lineRule="auto"/>
      </w:pPr>
      <w:r>
        <w:rPr>
          <w:color w:val="334155"/>
          <w:sz w:val="19"/>
        </w:rPr>
        <w:t> Detailed stability modelling, settlement predictions and foundation design</w:t>
      </w:r>
    </w:p>
    <w:p>
      <w:pPr>
        <w:spacing w:before="40" w:after="80" w:line="276" w:lineRule="auto"/>
      </w:pPr>
      <w:r>
        <w:rPr>
          <w:color w:val="334155"/>
          <w:sz w:val="19"/>
        </w:rPr>
        <w:t> DA stage geotechnical design certification and construction-phase verification</w:t>
      </w:r>
    </w:p>
    <w:p>
      <w:pPr>
        <w:spacing w:before="40" w:after="80" w:line="276" w:lineRule="auto"/>
      </w:pPr>
      <w:r>
        <w:rPr>
          <w:color w:val="334155"/>
          <w:sz w:val="19"/>
        </w:rPr>
        <w:t> Detailed data gaps identified for the geotechnical constraint assessment are further outlined in Section</w:t>
      </w:r>
    </w:p>
    <w:p>
      <w:pPr>
        <w:spacing w:before="40" w:after="80" w:line="276" w:lineRule="auto"/>
      </w:pPr>
      <w:r>
        <w:rPr>
          <w:color w:val="334155"/>
          <w:sz w:val="19"/>
        </w:rPr>
        <w:t>5.2</w:t>
      </w:r>
    </w:p>
    <w:p>
      <w:pPr>
        <w:spacing w:before="40" w:after="80" w:line="276" w:lineRule="auto"/>
      </w:pPr>
      <w:r>
        <w:rPr>
          <w:color w:val="334155"/>
          <w:sz w:val="19"/>
        </w:rPr>
        <w:t> Mine subsidence is assumed to apply across the entire Precinct and Teralba Southgate, and is treated as</w:t>
      </w:r>
    </w:p>
    <w:p>
      <w:pPr>
        <w:spacing w:before="40" w:after="80" w:line="276" w:lineRule="auto"/>
      </w:pPr>
      <w:r>
        <w:rPr>
          <w:color w:val="334155"/>
          <w:sz w:val="19"/>
        </w:rPr>
        <w:t>a site-wide constraint rather than a differentiating factor between sub-precincts.</w:t>
      </w:r>
    </w:p>
    <w:p>
      <w:pPr>
        <w:spacing w:before="40" w:after="80" w:line="276" w:lineRule="auto"/>
      </w:pPr>
      <w:r>
        <w:rPr>
          <w:color w:val="334155"/>
          <w:sz w:val="19"/>
        </w:rPr>
        <w:t>`</w:t>
      </w:r>
    </w:p>
    <w:p>
      <w:pPr>
        <w:pStyle w:val="Heading2"/>
        <w:keepNext/>
        <w:spacing w:before="240" w:after="80"/>
      </w:pPr>
      <w:r>
        <w:rPr>
          <w:b/>
          <w:color w:val="0284C7"/>
        </w:rPr>
        <w:t>4. Contamination, TSF &amp; Dams</w:t>
      </w:r>
    </w:p>
    <w:p>
      <w:pPr>
        <w:pStyle w:val="Heading3"/>
        <w:keepNext/>
        <w:spacing w:before="160" w:after="40"/>
      </w:pPr>
      <w:r>
        <w:rPr>
          <w:b/>
          <w:color w:val="334155"/>
        </w:rPr>
        <w:t>Contamination Report Page 3</w:t>
      </w:r>
    </w:p>
    <w:p>
      <w:pPr>
        <w:spacing w:before="40" w:after="80" w:line="276" w:lineRule="auto"/>
      </w:pPr>
      <w:r>
        <w:rPr>
          <w:color w:val="334155"/>
          <w:sz w:val="19"/>
        </w:rPr>
        <w:t>`</w:t>
      </w:r>
    </w:p>
    <w:p>
      <w:pPr>
        <w:spacing w:before="40" w:after="80" w:line="276" w:lineRule="auto"/>
      </w:pPr>
      <w:r>
        <w:rPr>
          <w:color w:val="334155"/>
          <w:sz w:val="19"/>
        </w:rPr>
        <w:t>Project number 531168-000  File MCC PMLU Rezoning_Package B_Contamination Report_Final.docx  2026-07-01  Revision B</w:t>
      </w:r>
    </w:p>
    <w:p>
      <w:pPr>
        <w:spacing w:before="40" w:after="80" w:line="276" w:lineRule="auto"/>
      </w:pPr>
      <w:r>
        <w:rPr>
          <w:color w:val="334155"/>
          <w:sz w:val="19"/>
        </w:rPr>
        <w:t>Executive summary</w:t>
      </w:r>
    </w:p>
    <w:p>
      <w:pPr>
        <w:spacing w:before="40" w:after="80" w:line="276" w:lineRule="auto"/>
      </w:pPr>
      <w:r>
        <w:rPr>
          <w:color w:val="334155"/>
          <w:sz w:val="19"/>
        </w:rPr>
        <w:t>This Contamination Technical Assessment (CTA) has been prepared by Aurecon Australasia Pty Ltd</w:t>
      </w:r>
    </w:p>
    <w:p>
      <w:pPr>
        <w:spacing w:before="40" w:after="80" w:line="276" w:lineRule="auto"/>
      </w:pPr>
      <w:r>
        <w:rPr>
          <w:color w:val="334155"/>
          <w:sz w:val="19"/>
        </w:rPr>
        <w:t>(Aurecon) on behalf of the Department of Planning, Housing and Infrastructure (DPHI) to support the State-</w:t>
      </w:r>
    </w:p>
    <w:p>
      <w:pPr>
        <w:spacing w:before="40" w:after="80" w:line="276" w:lineRule="auto"/>
      </w:pPr>
      <w:r>
        <w:rPr>
          <w:color w:val="334155"/>
          <w:sz w:val="19"/>
        </w:rPr>
        <w:t>led rezoning of the Macquarie Coal Complex (the Precinct) and Teralba Southgate, located approximately 20</w:t>
      </w:r>
    </w:p>
    <w:p>
      <w:pPr>
        <w:spacing w:before="40" w:after="80" w:line="276" w:lineRule="auto"/>
      </w:pPr>
      <w:r>
        <w:rPr>
          <w:color w:val="334155"/>
          <w:sz w:val="19"/>
        </w:rPr>
        <w:t>km southwest of Newcastle within the Lake Macquarie region, NSW.</w:t>
      </w:r>
    </w:p>
    <w:p>
      <w:pPr>
        <w:spacing w:before="40" w:after="80" w:line="276" w:lineRule="auto"/>
      </w:pPr>
      <w:r>
        <w:rPr>
          <w:color w:val="334155"/>
          <w:sz w:val="19"/>
        </w:rPr>
        <w:t>The purpose of this CTA is to reinterpret existing contamination data, originally collected to support mine</w:t>
      </w:r>
    </w:p>
    <w:p>
      <w:pPr>
        <w:spacing w:before="40" w:after="80" w:line="276" w:lineRule="auto"/>
      </w:pPr>
      <w:r>
        <w:rPr>
          <w:color w:val="334155"/>
          <w:sz w:val="19"/>
        </w:rPr>
        <w:t>closure and rehabilitation, within the context of proposed rezoning and future land use scenarios identified in</w:t>
      </w:r>
    </w:p>
    <w:p>
      <w:pPr>
        <w:spacing w:before="40" w:after="80" w:line="276" w:lineRule="auto"/>
      </w:pPr>
      <w:r>
        <w:rPr>
          <w:color w:val="334155"/>
          <w:sz w:val="19"/>
        </w:rPr>
        <w:t>the Structure and Master Plan and Teralba Southgate. The assessment is scoped at the rezoning stage to</w:t>
      </w:r>
    </w:p>
    <w:p>
      <w:pPr>
        <w:spacing w:before="40" w:after="80" w:line="276" w:lineRule="auto"/>
      </w:pPr>
      <w:r>
        <w:rPr>
          <w:color w:val="334155"/>
          <w:sz w:val="19"/>
        </w:rPr>
        <w:t>inform land use compatibility and identification of developable land. It does not constitute development</w:t>
      </w:r>
    </w:p>
    <w:p>
      <w:pPr>
        <w:spacing w:before="40" w:after="80" w:line="276" w:lineRule="auto"/>
      </w:pPr>
      <w:r>
        <w:rPr>
          <w:color w:val="334155"/>
          <w:sz w:val="19"/>
        </w:rPr>
        <w:t>application (DA) level investigation or detailed remediation design.</w:t>
      </w:r>
    </w:p>
    <w:p>
      <w:pPr>
        <w:spacing w:before="40" w:after="80" w:line="276" w:lineRule="auto"/>
      </w:pPr>
      <w:r>
        <w:rPr>
          <w:color w:val="334155"/>
          <w:sz w:val="19"/>
        </w:rPr>
        <w:t>Site Context</w:t>
      </w:r>
    </w:p>
    <w:p>
      <w:pPr>
        <w:spacing w:before="40" w:after="80" w:line="276" w:lineRule="auto"/>
      </w:pPr>
      <w:r>
        <w:rPr>
          <w:color w:val="334155"/>
          <w:sz w:val="19"/>
        </w:rPr>
        <w:t>The Precinct comprises four former mining operations: including West Wallsend Colliery, Macquarie Coal,</w:t>
      </w:r>
    </w:p>
    <w:p>
      <w:pPr>
        <w:spacing w:before="40" w:after="80" w:line="276" w:lineRule="auto"/>
      </w:pPr>
      <w:r>
        <w:rPr>
          <w:color w:val="334155"/>
          <w:sz w:val="19"/>
        </w:rPr>
        <w:t>Preparation Plant, Westside Mine (open-cut), and Teralba Colliery (Northgate). Teralba Southgate is located</w:t>
      </w:r>
    </w:p>
    <w:p>
      <w:pPr>
        <w:spacing w:before="40" w:after="80" w:line="276" w:lineRule="auto"/>
      </w:pPr>
      <w:r>
        <w:rPr>
          <w:color w:val="334155"/>
          <w:sz w:val="19"/>
        </w:rPr>
        <w:t>approximately 2.5 kilometres south of the Precinct and is occupied by former mine infrastructure including</w:t>
      </w:r>
    </w:p>
    <w:p>
      <w:pPr>
        <w:spacing w:before="40" w:after="80" w:line="276" w:lineRule="auto"/>
      </w:pPr>
      <w:r>
        <w:rPr>
          <w:color w:val="334155"/>
          <w:sz w:val="19"/>
        </w:rPr>
        <w:t>shafts. Mining activities ceased progressively between 2001 and 2016. Current activities are limited to</w:t>
      </w:r>
    </w:p>
    <w:p>
      <w:pPr>
        <w:spacing w:before="40" w:after="80" w:line="276" w:lineRule="auto"/>
      </w:pPr>
      <w:r>
        <w:rPr>
          <w:color w:val="334155"/>
          <w:sz w:val="19"/>
        </w:rPr>
        <w:t>environmental management and rehabilitation in accordance with the Rehabilitation Management Plan (RMP</w:t>
      </w:r>
    </w:p>
    <w:p>
      <w:pPr>
        <w:spacing w:before="40" w:after="80" w:line="276" w:lineRule="auto"/>
      </w:pPr>
      <w:r>
        <w:rPr>
          <w:color w:val="334155"/>
          <w:sz w:val="19"/>
        </w:rPr>
        <w:t>2022). The Precinct and Teralba Southgate are surrounded primarily by residential and mixed-use industrial</w:t>
      </w:r>
    </w:p>
    <w:p>
      <w:pPr>
        <w:spacing w:before="40" w:after="80" w:line="276" w:lineRule="auto"/>
      </w:pPr>
      <w:r>
        <w:rPr>
          <w:color w:val="334155"/>
          <w:sz w:val="19"/>
        </w:rPr>
        <w:t>areas.</w:t>
      </w:r>
    </w:p>
    <w:p>
      <w:pPr>
        <w:spacing w:before="40" w:after="80" w:line="276" w:lineRule="auto"/>
      </w:pPr>
      <w:r>
        <w:rPr>
          <w:color w:val="334155"/>
          <w:sz w:val="19"/>
        </w:rPr>
        <w:t>The rezoning aims to facilitate employment-led development supported by residential, conservation, and</w:t>
      </w:r>
    </w:p>
    <w:p>
      <w:pPr>
        <w:spacing w:before="40" w:after="80" w:line="276" w:lineRule="auto"/>
      </w:pPr>
      <w:r>
        <w:rPr>
          <w:color w:val="334155"/>
          <w:sz w:val="19"/>
        </w:rPr>
        <w:t>open space land uses. A figure showing the extent of Teralba Southgate and the current Structure Plan for</w:t>
      </w:r>
    </w:p>
    <w:p>
      <w:pPr>
        <w:spacing w:before="40" w:after="80" w:line="276" w:lineRule="auto"/>
      </w:pPr>
      <w:r>
        <w:rPr>
          <w:color w:val="334155"/>
          <w:sz w:val="19"/>
        </w:rPr>
        <w:t>the Precinct is provided in Figure E1.</w:t>
      </w:r>
    </w:p>
    <w:p>
      <w:pPr>
        <w:spacing w:before="40" w:after="80" w:line="276" w:lineRule="auto"/>
      </w:pPr>
      <w:r>
        <w:rPr>
          <w:color w:val="334155"/>
          <w:sz w:val="19"/>
        </w:rPr>
        <w:t>Figure E1 – Layout and extent of Teralba Southgate and the Structure Plan for the Precinct</w:t>
      </w:r>
    </w:p>
    <w:p>
      <w:pPr>
        <w:spacing w:before="40" w:after="80" w:line="276" w:lineRule="auto"/>
      </w:pPr>
      <w:r>
        <w:rPr>
          <w:color w:val="334155"/>
          <w:sz w:val="19"/>
        </w:rPr>
        <w:t>`</w:t>
      </w:r>
    </w:p>
    <w:p>
      <w:pPr>
        <w:pStyle w:val="Heading3"/>
        <w:keepNext/>
        <w:spacing w:before="160" w:after="40"/>
      </w:pPr>
      <w:r>
        <w:rPr>
          <w:b/>
          <w:color w:val="334155"/>
        </w:rPr>
        <w:t>Contamination Report Page 5</w:t>
      </w:r>
    </w:p>
    <w:p>
      <w:pPr>
        <w:spacing w:before="40" w:after="80" w:line="276" w:lineRule="auto"/>
      </w:pPr>
      <w:r>
        <w:rPr>
          <w:color w:val="334155"/>
          <w:sz w:val="19"/>
        </w:rPr>
        <w:t>`</w:t>
      </w:r>
    </w:p>
    <w:p>
      <w:pPr>
        <w:spacing w:before="40" w:after="80" w:line="276" w:lineRule="auto"/>
      </w:pPr>
      <w:r>
        <w:rPr>
          <w:color w:val="334155"/>
          <w:sz w:val="19"/>
        </w:rPr>
        <w:t>Project number 531168-000  File MCC PMLU Rezoning_Package B_Contamination Report_Final.docx  2026-07-01  Revision B</w:t>
      </w:r>
    </w:p>
    <w:p>
      <w:pPr>
        <w:spacing w:before="40" w:after="80" w:line="276" w:lineRule="auto"/>
      </w:pPr>
      <w:r>
        <w:rPr>
          <w:color w:val="334155"/>
          <w:sz w:val="19"/>
        </w:rPr>
        <w:t>Figure E2 – Location and extent of the closure domains at the Precinct and Teralba Southgate</w:t>
      </w:r>
    </w:p>
    <w:p>
      <w:pPr>
        <w:spacing w:before="40" w:after="80" w:line="276" w:lineRule="auto"/>
      </w:pPr>
      <w:r>
        <w:rPr>
          <w:color w:val="334155"/>
          <w:sz w:val="19"/>
        </w:rPr>
        <w:t>Data Gaps and Limitations</w:t>
      </w:r>
    </w:p>
    <w:p>
      <w:pPr>
        <w:spacing w:before="40" w:after="80" w:line="276" w:lineRule="auto"/>
      </w:pPr>
      <w:r>
        <w:rPr>
          <w:color w:val="334155"/>
          <w:sz w:val="19"/>
        </w:rPr>
        <w:t>Significant data gaps limit ability for full characterisation of contamination and land suitability, including:</w:t>
      </w:r>
    </w:p>
    <w:p>
      <w:pPr>
        <w:spacing w:before="40" w:after="80" w:line="276" w:lineRule="auto"/>
      </w:pPr>
      <w:r>
        <w:rPr>
          <w:color w:val="334155"/>
          <w:sz w:val="19"/>
        </w:rPr>
        <w:t>◼ Multiple domains with no intrusive investigation (lacking soil, groundwater, surface water and sediment</w:t>
      </w:r>
    </w:p>
    <w:p>
      <w:pPr>
        <w:spacing w:before="40" w:after="80" w:line="276" w:lineRule="auto"/>
      </w:pPr>
      <w:r>
        <w:rPr>
          <w:color w:val="334155"/>
          <w:sz w:val="19"/>
        </w:rPr>
        <w:t>data).</w:t>
      </w:r>
    </w:p>
    <w:p>
      <w:pPr>
        <w:spacing w:before="40" w:after="80" w:line="276" w:lineRule="auto"/>
      </w:pPr>
      <w:r>
        <w:rPr>
          <w:color w:val="334155"/>
          <w:sz w:val="19"/>
        </w:rPr>
        <w:t>◼ Incomplete ASS and groundwater characterisation.</w:t>
      </w:r>
    </w:p>
    <w:p>
      <w:pPr>
        <w:spacing w:before="40" w:after="80" w:line="276" w:lineRule="auto"/>
      </w:pPr>
      <w:r>
        <w:rPr>
          <w:color w:val="334155"/>
          <w:sz w:val="19"/>
        </w:rPr>
        <w:t>◼ Limited assessment beneath buildings and inaccessible areas/structures.</w:t>
      </w:r>
    </w:p>
    <w:p>
      <w:pPr>
        <w:spacing w:before="40" w:after="80" w:line="276" w:lineRule="auto"/>
      </w:pPr>
      <w:r>
        <w:rPr>
          <w:color w:val="334155"/>
          <w:sz w:val="19"/>
        </w:rPr>
        <w:t>◼ Incomplete delineation of buried asbestos materials.</w:t>
      </w:r>
    </w:p>
    <w:p>
      <w:pPr>
        <w:spacing w:before="40" w:after="80" w:line="276" w:lineRule="auto"/>
      </w:pPr>
      <w:r>
        <w:rPr>
          <w:color w:val="334155"/>
          <w:sz w:val="19"/>
        </w:rPr>
        <w:t>◼ Limited ground gas assessments.</w:t>
      </w:r>
    </w:p>
    <w:p>
      <w:pPr>
        <w:spacing w:before="40" w:after="80" w:line="276" w:lineRule="auto"/>
      </w:pPr>
      <w:r>
        <w:rPr>
          <w:color w:val="334155"/>
          <w:sz w:val="19"/>
        </w:rPr>
        <w:t>Land Use Suitability</w:t>
      </w:r>
    </w:p>
    <w:p>
      <w:pPr>
        <w:spacing w:before="40" w:after="80" w:line="276" w:lineRule="auto"/>
      </w:pPr>
      <w:r>
        <w:rPr>
          <w:color w:val="334155"/>
          <w:sz w:val="19"/>
        </w:rPr>
        <w:t>Based on available data and acknowledging limitations:</w:t>
      </w:r>
    </w:p>
    <w:p>
      <w:pPr>
        <w:spacing w:before="40" w:after="80" w:line="276" w:lineRule="auto"/>
      </w:pPr>
      <w:r>
        <w:rPr>
          <w:color w:val="334155"/>
          <w:sz w:val="19"/>
        </w:rPr>
        <w:t>◼ Commercial and industrial uses - Generally compatible across most of the Precinct and Teralba</w:t>
      </w:r>
    </w:p>
    <w:p>
      <w:pPr>
        <w:spacing w:before="40" w:after="80" w:line="276" w:lineRule="auto"/>
      </w:pPr>
      <w:r>
        <w:rPr>
          <w:color w:val="334155"/>
          <w:sz w:val="19"/>
        </w:rPr>
        <w:t>Southgate, subject to targeted investigation and management.</w:t>
      </w:r>
    </w:p>
    <w:p>
      <w:pPr>
        <w:spacing w:before="40" w:after="80" w:line="276" w:lineRule="auto"/>
      </w:pPr>
      <w:r>
        <w:rPr>
          <w:color w:val="334155"/>
          <w:sz w:val="19"/>
        </w:rPr>
        <w:t>◼ Sensitive uses (residential, conservation, recreational) - Require further investigation and risk assessment</w:t>
      </w:r>
    </w:p>
    <w:p>
      <w:pPr>
        <w:spacing w:before="40" w:after="80" w:line="276" w:lineRule="auto"/>
      </w:pPr>
      <w:r>
        <w:rPr>
          <w:color w:val="334155"/>
          <w:sz w:val="19"/>
        </w:rPr>
        <w:t>to confirm suitability.</w:t>
      </w:r>
    </w:p>
    <w:p>
      <w:pPr>
        <w:spacing w:before="40" w:after="80" w:line="276" w:lineRule="auto"/>
      </w:pPr>
      <w:r>
        <w:rPr>
          <w:color w:val="334155"/>
          <w:sz w:val="19"/>
        </w:rPr>
        <w:t>◼ Key constraint - The Tailings Storage Facility (Domain 7) presents a significant constraint requiring</w:t>
      </w:r>
    </w:p>
    <w:p>
      <w:pPr>
        <w:spacing w:before="40" w:after="80" w:line="276" w:lineRule="auto"/>
      </w:pPr>
      <w:r>
        <w:rPr>
          <w:color w:val="334155"/>
          <w:sz w:val="19"/>
        </w:rPr>
        <w:t>detailed, multidisciplinary assessment.</w:t>
      </w:r>
    </w:p>
    <w:p>
      <w:pPr>
        <w:spacing w:before="40" w:after="80" w:line="276" w:lineRule="auto"/>
      </w:pPr>
      <w:r>
        <w:rPr>
          <w:color w:val="334155"/>
          <w:sz w:val="19"/>
        </w:rPr>
        <w:t>`</w:t>
      </w:r>
    </w:p>
    <w:p>
      <w:pPr>
        <w:pStyle w:val="Heading3"/>
        <w:keepNext/>
        <w:spacing w:before="160" w:after="40"/>
      </w:pPr>
      <w:r>
        <w:rPr>
          <w:b/>
          <w:color w:val="334155"/>
        </w:rPr>
        <w:t>Contamination Report Page 6</w:t>
      </w:r>
    </w:p>
    <w:p>
      <w:pPr>
        <w:spacing w:before="40" w:after="80" w:line="276" w:lineRule="auto"/>
      </w:pPr>
      <w:r>
        <w:rPr>
          <w:color w:val="334155"/>
          <w:sz w:val="19"/>
        </w:rPr>
        <w:t>`</w:t>
      </w:r>
    </w:p>
    <w:p>
      <w:pPr>
        <w:spacing w:before="40" w:after="80" w:line="276" w:lineRule="auto"/>
      </w:pPr>
      <w:r>
        <w:rPr>
          <w:color w:val="334155"/>
          <w:sz w:val="19"/>
        </w:rPr>
        <w:t>Project number 531168-000  File MCC PMLU Rezoning_Package B_Contamination Report_Final.docx  2026-07-01  Revision B</w:t>
      </w:r>
    </w:p>
    <w:p>
      <w:pPr>
        <w:spacing w:before="40" w:after="80" w:line="276" w:lineRule="auto"/>
      </w:pPr>
      <w:r>
        <w:rPr>
          <w:color w:val="334155"/>
          <w:sz w:val="19"/>
        </w:rPr>
        <w:t>Implementation Approach and Key Recommendations</w:t>
      </w:r>
    </w:p>
    <w:p>
      <w:pPr>
        <w:spacing w:before="40" w:after="80" w:line="276" w:lineRule="auto"/>
      </w:pPr>
      <w:r>
        <w:rPr>
          <w:color w:val="334155"/>
          <w:sz w:val="19"/>
        </w:rPr>
        <w:t>A staged, risk-based approach to investigation and management is recommended to support rezoning and</w:t>
      </w:r>
    </w:p>
    <w:p>
      <w:pPr>
        <w:spacing w:before="40" w:after="80" w:line="276" w:lineRule="auto"/>
      </w:pPr>
      <w:r>
        <w:rPr>
          <w:color w:val="334155"/>
          <w:sz w:val="19"/>
        </w:rPr>
        <w:t>future development. With appropriate controls and management (including detailed site investigations and</w:t>
      </w:r>
    </w:p>
    <w:p>
      <w:pPr>
        <w:spacing w:before="40" w:after="80" w:line="276" w:lineRule="auto"/>
      </w:pPr>
      <w:r>
        <w:rPr>
          <w:color w:val="334155"/>
          <w:sz w:val="19"/>
        </w:rPr>
        <w:t>appropriate remediation), the Precinct and Teralba Southgate can be made suitable for its intended uses</w:t>
      </w:r>
    </w:p>
    <w:p>
      <w:pPr>
        <w:spacing w:before="40" w:after="80" w:line="276" w:lineRule="auto"/>
      </w:pPr>
      <w:r>
        <w:rPr>
          <w:color w:val="334155"/>
          <w:sz w:val="19"/>
        </w:rPr>
        <w:t>while protecting human health and environmental values, including Cockle Creek and Lake Macquarie.</w:t>
      </w:r>
    </w:p>
    <w:p>
      <w:pPr>
        <w:spacing w:before="40" w:after="80" w:line="276" w:lineRule="auto"/>
      </w:pPr>
      <w:r>
        <w:rPr>
          <w:color w:val="334155"/>
          <w:sz w:val="19"/>
        </w:rPr>
        <w:t>Based on available data and with consideration to identified data gaps, the assessment concludes that</w:t>
      </w:r>
    </w:p>
    <w:p>
      <w:pPr>
        <w:spacing w:before="40" w:after="80" w:line="276" w:lineRule="auto"/>
      </w:pPr>
      <w:r>
        <w:rPr>
          <w:color w:val="334155"/>
          <w:sz w:val="19"/>
        </w:rPr>
        <w:t>known or potential contamination is unlikely to preclude commercial/industrial rezoning for the majority of the</w:t>
      </w:r>
    </w:p>
    <w:p>
      <w:pPr>
        <w:spacing w:before="40" w:after="80" w:line="276" w:lineRule="auto"/>
      </w:pPr>
      <w:r>
        <w:rPr>
          <w:color w:val="334155"/>
          <w:sz w:val="19"/>
        </w:rPr>
        <w:t>Precinct and Teralba Southgate, provided that targeted investigation and appropriate management controls</w:t>
      </w:r>
    </w:p>
    <w:p>
      <w:pPr>
        <w:spacing w:before="40" w:after="80" w:line="276" w:lineRule="auto"/>
      </w:pPr>
      <w:r>
        <w:rPr>
          <w:color w:val="334155"/>
          <w:sz w:val="19"/>
        </w:rPr>
        <w:t>are implemented during future design and construction phases.  However, suitability determinations vary by</w:t>
      </w:r>
    </w:p>
    <w:p>
      <w:pPr>
        <w:spacing w:before="40" w:after="80" w:line="276" w:lineRule="auto"/>
      </w:pPr>
      <w:r>
        <w:rPr>
          <w:color w:val="334155"/>
          <w:sz w:val="19"/>
        </w:rPr>
        <w:t>sub-precinct and proposed land use. Employment-led commercial and industrial uses are generally</w:t>
      </w:r>
    </w:p>
    <w:p>
      <w:pPr>
        <w:spacing w:before="40" w:after="80" w:line="276" w:lineRule="auto"/>
      </w:pPr>
      <w:r>
        <w:rPr>
          <w:color w:val="334155"/>
          <w:sz w:val="19"/>
        </w:rPr>
        <w:t>considered compatible with the current contamination profile across most sub-precincts. However, more</w:t>
      </w:r>
    </w:p>
    <w:p>
      <w:pPr>
        <w:spacing w:before="40" w:after="80" w:line="276" w:lineRule="auto"/>
      </w:pPr>
      <w:r>
        <w:rPr>
          <w:color w:val="334155"/>
          <w:sz w:val="19"/>
        </w:rPr>
        <w:t>sensitive land uses including medium or high-density residential, conservation, and recreational uses,</w:t>
      </w:r>
    </w:p>
    <w:p>
      <w:pPr>
        <w:spacing w:before="40" w:after="80" w:line="276" w:lineRule="auto"/>
      </w:pPr>
      <w:r>
        <w:rPr>
          <w:color w:val="334155"/>
          <w:sz w:val="19"/>
        </w:rPr>
        <w:t>require targeted investigation and risk assessment to confirm suitability. This is particularly important at</w:t>
      </w:r>
    </w:p>
    <w:p>
      <w:pPr>
        <w:spacing w:before="40" w:after="80" w:line="276" w:lineRule="auto"/>
      </w:pPr>
      <w:r>
        <w:rPr>
          <w:color w:val="334155"/>
          <w:sz w:val="19"/>
        </w:rPr>
        <w:t>Teralba Southgate where detailed ground gas assessments have not been undertaken. The Tailings Storage</w:t>
      </w:r>
    </w:p>
    <w:p>
      <w:pPr>
        <w:spacing w:before="40" w:after="80" w:line="276" w:lineRule="auto"/>
      </w:pPr>
      <w:r>
        <w:rPr>
          <w:color w:val="334155"/>
          <w:sz w:val="19"/>
        </w:rPr>
        <w:t>Facility (Domain 7) also represents a material constraint requiring detailed assessment and integrated</w:t>
      </w:r>
    </w:p>
    <w:p>
      <w:pPr>
        <w:spacing w:before="40" w:after="80" w:line="276" w:lineRule="auto"/>
      </w:pPr>
      <w:r>
        <w:rPr>
          <w:color w:val="334155"/>
          <w:sz w:val="19"/>
        </w:rPr>
        <w:t>management across multiple environmental and engineering disciplines.</w:t>
      </w:r>
    </w:p>
    <w:p>
      <w:pPr>
        <w:spacing w:before="40" w:after="80" w:line="276" w:lineRule="auto"/>
      </w:pPr>
      <w:r>
        <w:rPr>
          <w:color w:val="334155"/>
          <w:sz w:val="19"/>
        </w:rPr>
        <w:t>Implementation of the management framework and performance criteria outlined in this CTA, combined with</w:t>
      </w:r>
    </w:p>
    <w:p>
      <w:pPr>
        <w:spacing w:before="40" w:after="80" w:line="276" w:lineRule="auto"/>
      </w:pPr>
      <w:r>
        <w:rPr>
          <w:color w:val="334155"/>
          <w:sz w:val="19"/>
        </w:rPr>
        <w:t>progressive investigation and remediation through the DA approval process, will enable the Precinct and</w:t>
      </w:r>
    </w:p>
    <w:p>
      <w:pPr>
        <w:spacing w:before="40" w:after="80" w:line="276" w:lineRule="auto"/>
      </w:pPr>
      <w:r>
        <w:rPr>
          <w:color w:val="334155"/>
          <w:sz w:val="19"/>
        </w:rPr>
        <w:t>Teralba Southgate to support sustainable post-mining land use while protecting human health and</w:t>
      </w:r>
    </w:p>
    <w:p>
      <w:pPr>
        <w:spacing w:before="40" w:after="80" w:line="276" w:lineRule="auto"/>
      </w:pPr>
      <w:r>
        <w:rPr>
          <w:color w:val="334155"/>
          <w:sz w:val="19"/>
        </w:rPr>
        <w:t>environmental values in Cockle Creek and Lake Macquarie.</w:t>
      </w:r>
    </w:p>
    <w:p>
      <w:pPr>
        <w:spacing w:before="40" w:after="80" w:line="276" w:lineRule="auto"/>
      </w:pPr>
      <w:r>
        <w:rPr>
          <w:color w:val="334155"/>
          <w:sz w:val="19"/>
        </w:rPr>
        <w:t>Based on the findings of this assessment, and subject to the limitations outlined in Section 11, Aurecon</w:t>
      </w:r>
    </w:p>
    <w:p>
      <w:pPr>
        <w:spacing w:before="40" w:after="80" w:line="276" w:lineRule="auto"/>
      </w:pPr>
      <w:r>
        <w:rPr>
          <w:color w:val="334155"/>
          <w:sz w:val="19"/>
        </w:rPr>
        <w:t>presents the following recommendations:</w:t>
      </w:r>
    </w:p>
    <w:p>
      <w:pPr>
        <w:spacing w:before="40" w:after="80" w:line="276" w:lineRule="auto"/>
      </w:pPr>
      <w:r>
        <w:rPr>
          <w:color w:val="334155"/>
          <w:sz w:val="19"/>
        </w:rPr>
        <w:t>◼ Implement a risk-based, staged investigation program for all future development proposals, with Detailed</w:t>
      </w:r>
    </w:p>
    <w:p>
      <w:pPr>
        <w:spacing w:before="40" w:after="80" w:line="276" w:lineRule="auto"/>
      </w:pPr>
      <w:r>
        <w:rPr>
          <w:color w:val="334155"/>
          <w:sz w:val="19"/>
        </w:rPr>
        <w:t>Site Investigations (DSIs) and Tier 2/3 quantitative risk assessments undertaken where elevated COPC</w:t>
      </w:r>
    </w:p>
    <w:p>
      <w:pPr>
        <w:spacing w:before="40" w:after="80" w:line="276" w:lineRule="auto"/>
      </w:pPr>
      <w:r>
        <w:rPr>
          <w:color w:val="334155"/>
          <w:sz w:val="19"/>
        </w:rPr>
        <w:t>concentrations are present or data gaps are identified, ensuring land use suitability is confirmed prior to</w:t>
      </w:r>
    </w:p>
    <w:p>
      <w:pPr>
        <w:spacing w:before="40" w:after="80" w:line="276" w:lineRule="auto"/>
      </w:pPr>
      <w:r>
        <w:rPr>
          <w:color w:val="334155"/>
          <w:sz w:val="19"/>
        </w:rPr>
        <w:t>development approval</w:t>
      </w:r>
    </w:p>
    <w:p>
      <w:pPr>
        <w:spacing w:before="40" w:after="80" w:line="276" w:lineRule="auto"/>
      </w:pPr>
      <w:r>
        <w:rPr>
          <w:color w:val="334155"/>
          <w:sz w:val="19"/>
        </w:rPr>
        <w:t>◼ Prioritise targeted investigation of Domains 2, 5, 7, 14, and 16 (uninvestigated domains), comprehensive</w:t>
      </w:r>
    </w:p>
    <w:p>
      <w:pPr>
        <w:spacing w:before="40" w:after="80" w:line="276" w:lineRule="auto"/>
      </w:pPr>
      <w:r>
        <w:rPr>
          <w:color w:val="334155"/>
          <w:sz w:val="19"/>
        </w:rPr>
        <w:t>groundwater assessment across all domains, ASS characterisation in low-lying areas, and asbestos</w:t>
      </w:r>
    </w:p>
    <w:p>
      <w:pPr>
        <w:spacing w:before="40" w:after="80" w:line="276" w:lineRule="auto"/>
      </w:pPr>
      <w:r>
        <w:rPr>
          <w:color w:val="334155"/>
          <w:sz w:val="19"/>
        </w:rPr>
        <w:t>delineation sampling to resolve material data gaps constraining sensitive land use suitability</w:t>
      </w:r>
    </w:p>
    <w:p>
      <w:pPr>
        <w:spacing w:before="40" w:after="80" w:line="276" w:lineRule="auto"/>
      </w:pPr>
      <w:r>
        <w:rPr>
          <w:color w:val="334155"/>
          <w:sz w:val="19"/>
        </w:rPr>
        <w:t>determination</w:t>
      </w:r>
    </w:p>
    <w:p>
      <w:pPr>
        <w:spacing w:before="40" w:after="80" w:line="276" w:lineRule="auto"/>
      </w:pPr>
      <w:r>
        <w:rPr>
          <w:color w:val="334155"/>
          <w:sz w:val="19"/>
        </w:rPr>
        <w:t>◼ Undertake integrated assessment of the Tailings Storage Facility (TSF) across water management,</w:t>
      </w:r>
    </w:p>
    <w:p>
      <w:pPr>
        <w:spacing w:before="40" w:after="80" w:line="276" w:lineRule="auto"/>
      </w:pPr>
      <w:r>
        <w:rPr>
          <w:color w:val="334155"/>
          <w:sz w:val="19"/>
        </w:rPr>
        <w:t>geotechnical stability, dam safety, and regulatory compliance frameworks, including geochemical</w:t>
      </w:r>
    </w:p>
    <w:p>
      <w:pPr>
        <w:spacing w:before="40" w:after="80" w:line="276" w:lineRule="auto"/>
      </w:pPr>
      <w:r>
        <w:rPr>
          <w:color w:val="334155"/>
          <w:sz w:val="19"/>
        </w:rPr>
        <w:t>characterisation of tailings materials and assessment of leachate generation and Acid Mine Drainage</w:t>
      </w:r>
    </w:p>
    <w:p>
      <w:pPr>
        <w:spacing w:before="40" w:after="80" w:line="276" w:lineRule="auto"/>
      </w:pPr>
      <w:r>
        <w:rPr>
          <w:color w:val="334155"/>
          <w:sz w:val="19"/>
        </w:rPr>
        <w:t>(AMD) pathways to inform remediation and long-term management strategy</w:t>
      </w:r>
    </w:p>
    <w:p>
      <w:pPr>
        <w:spacing w:before="40" w:after="80" w:line="276" w:lineRule="auto"/>
      </w:pPr>
      <w:r>
        <w:rPr>
          <w:color w:val="334155"/>
          <w:sz w:val="19"/>
        </w:rPr>
        <w:t>◼ Undertake targeted surface water and sediment quality assessments adjacent to waterway and wetland</w:t>
      </w:r>
    </w:p>
    <w:p>
      <w:pPr>
        <w:spacing w:before="40" w:after="80" w:line="276" w:lineRule="auto"/>
      </w:pPr>
      <w:r>
        <w:rPr>
          <w:color w:val="334155"/>
          <w:sz w:val="19"/>
        </w:rPr>
        <w:t>interface zones (including recreational areas within West Lake); and assess PFAS-impacted areas in</w:t>
      </w:r>
    </w:p>
    <w:p>
      <w:pPr>
        <w:spacing w:before="40" w:after="80" w:line="276" w:lineRule="auto"/>
      </w:pPr>
      <w:r>
        <w:rPr>
          <w:color w:val="334155"/>
          <w:sz w:val="19"/>
        </w:rPr>
        <w:t>accordance with the PFAS National Environmental Management Plan (NEMP 3.1)</w:t>
      </w:r>
    </w:p>
    <w:p>
      <w:pPr>
        <w:spacing w:before="40" w:after="80" w:line="276" w:lineRule="auto"/>
      </w:pPr>
      <w:r>
        <w:rPr>
          <w:color w:val="334155"/>
          <w:sz w:val="19"/>
        </w:rPr>
        <w:t>◼ Undertake comprehensive ground gas assessment in accordance with NSW EPA Assessment and</w:t>
      </w:r>
    </w:p>
    <w:p>
      <w:pPr>
        <w:spacing w:before="40" w:after="80" w:line="276" w:lineRule="auto"/>
      </w:pPr>
      <w:r>
        <w:rPr>
          <w:color w:val="334155"/>
          <w:sz w:val="19"/>
        </w:rPr>
        <w:t>management of hazardous ground gases (EPA 2020), with particular focus on Domains 11 and 13 where</w:t>
      </w:r>
    </w:p>
    <w:p>
      <w:pPr>
        <w:spacing w:before="40" w:after="80" w:line="276" w:lineRule="auto"/>
      </w:pPr>
      <w:r>
        <w:rPr>
          <w:color w:val="334155"/>
          <w:sz w:val="19"/>
        </w:rPr>
        <w:t>methane concentrations were reported. If required, implement ground gas mitigation measures during</w:t>
      </w:r>
    </w:p>
    <w:p>
      <w:pPr>
        <w:spacing w:before="40" w:after="80" w:line="276" w:lineRule="auto"/>
      </w:pPr>
      <w:r>
        <w:rPr>
          <w:color w:val="334155"/>
          <w:sz w:val="19"/>
        </w:rPr>
        <w:t>building design and construction to prevent vapour intrusion risk to future enclosed structures</w:t>
      </w:r>
    </w:p>
    <w:p>
      <w:pPr>
        <w:spacing w:before="40" w:after="80" w:line="276" w:lineRule="auto"/>
      </w:pPr>
      <w:r>
        <w:rPr>
          <w:color w:val="334155"/>
          <w:sz w:val="19"/>
        </w:rPr>
        <w:t>◼ Confirm land suitability for more sensitive uses (residential in Teralba Southgate, conservation, and</w:t>
      </w:r>
    </w:p>
    <w:p>
      <w:pPr>
        <w:spacing w:before="40" w:after="80" w:line="276" w:lineRule="auto"/>
      </w:pPr>
      <w:r>
        <w:rPr>
          <w:color w:val="334155"/>
          <w:sz w:val="19"/>
        </w:rPr>
        <w:t>recreational uses) through targeted investigation of soil, groundwater, surface water, and ground gas;</w:t>
      </w:r>
    </w:p>
    <w:p>
      <w:pPr>
        <w:spacing w:before="40" w:after="80" w:line="276" w:lineRule="auto"/>
      </w:pPr>
      <w:r>
        <w:rPr>
          <w:color w:val="334155"/>
          <w:sz w:val="19"/>
        </w:rPr>
        <w:t>implement PFAS plume delineation, asbestos delineation, and methane management measures; obtain</w:t>
      </w:r>
    </w:p>
    <w:p>
      <w:pPr>
        <w:spacing w:before="40" w:after="80" w:line="276" w:lineRule="auto"/>
      </w:pPr>
      <w:r>
        <w:rPr>
          <w:color w:val="334155"/>
          <w:sz w:val="19"/>
        </w:rPr>
        <w:t>Site Audit Statements from NSW EPA-accredited Site Auditors where remediation or management</w:t>
      </w:r>
    </w:p>
    <w:p>
      <w:pPr>
        <w:spacing w:before="40" w:after="80" w:line="276" w:lineRule="auto"/>
      </w:pPr>
      <w:r>
        <w:rPr>
          <w:color w:val="334155"/>
          <w:sz w:val="19"/>
        </w:rPr>
        <w:t>measures are implemented</w:t>
      </w:r>
    </w:p>
    <w:p>
      <w:pPr>
        <w:spacing w:before="40" w:after="80" w:line="276" w:lineRule="auto"/>
      </w:pPr>
      <w:r>
        <w:rPr>
          <w:color w:val="334155"/>
          <w:sz w:val="19"/>
        </w:rPr>
        <w:t>◼ Implement contamination pathway controls during earthworks and future development to prevent</w:t>
      </w:r>
    </w:p>
    <w:p>
      <w:pPr>
        <w:spacing w:before="40" w:after="80" w:line="276" w:lineRule="auto"/>
      </w:pPr>
      <w:r>
        <w:rPr>
          <w:color w:val="334155"/>
          <w:sz w:val="19"/>
        </w:rPr>
        <w:t>migration of identified COPCs to Cockle Creek and Lake Macquarie</w:t>
      </w:r>
    </w:p>
    <w:p>
      <w:pPr>
        <w:spacing w:before="40" w:after="80" w:line="276" w:lineRule="auto"/>
      </w:pPr>
      <w:r>
        <w:rPr>
          <w:color w:val="334155"/>
          <w:sz w:val="19"/>
        </w:rPr>
        <w:t>◼ Ensure all contamination assessments comply with NSW EPA Guidelines and are prepared by a suitably</w:t>
      </w:r>
    </w:p>
    <w:p>
      <w:pPr>
        <w:spacing w:before="40" w:after="80" w:line="276" w:lineRule="auto"/>
      </w:pPr>
      <w:r>
        <w:rPr>
          <w:color w:val="334155"/>
          <w:sz w:val="19"/>
        </w:rPr>
        <w:t>qualified contaminated land consultant including any review and update of duty to report obligations under</w:t>
      </w:r>
    </w:p>
    <w:p>
      <w:pPr>
        <w:spacing w:before="40" w:after="80" w:line="276" w:lineRule="auto"/>
      </w:pPr>
      <w:r>
        <w:rPr>
          <w:color w:val="334155"/>
          <w:sz w:val="19"/>
        </w:rPr>
        <w:t>Section 60 of the Contaminated Land Management Act 1997 at each DA-stage investigation and</w:t>
      </w:r>
    </w:p>
    <w:p>
      <w:pPr>
        <w:spacing w:before="40" w:after="80" w:line="276" w:lineRule="auto"/>
      </w:pPr>
      <w:r>
        <w:rPr>
          <w:color w:val="334155"/>
          <w:sz w:val="19"/>
        </w:rPr>
        <w:t>`</w:t>
      </w:r>
    </w:p>
    <w:p>
      <w:pPr>
        <w:pStyle w:val="Heading3"/>
        <w:keepNext/>
        <w:spacing w:before="160" w:after="40"/>
      </w:pPr>
      <w:r>
        <w:rPr>
          <w:b/>
          <w:color w:val="334155"/>
        </w:rPr>
        <w:t>Contamination Report Page 7</w:t>
      </w:r>
    </w:p>
    <w:p>
      <w:pPr>
        <w:spacing w:before="40" w:after="80" w:line="276" w:lineRule="auto"/>
      </w:pPr>
      <w:r>
        <w:rPr>
          <w:color w:val="334155"/>
          <w:sz w:val="19"/>
        </w:rPr>
        <w:t>`</w:t>
      </w:r>
    </w:p>
    <w:p>
      <w:pPr>
        <w:spacing w:before="40" w:after="80" w:line="276" w:lineRule="auto"/>
      </w:pPr>
      <w:r>
        <w:rPr>
          <w:color w:val="334155"/>
          <w:sz w:val="19"/>
        </w:rPr>
        <w:t>Project number 531168-000  File MCC PMLU Rezoning_Package B_Contamination Report_Final.docx  2026-07-01  Revision B</w:t>
      </w:r>
    </w:p>
    <w:p>
      <w:pPr>
        <w:spacing w:before="40" w:after="80" w:line="276" w:lineRule="auto"/>
      </w:pPr>
      <w:r>
        <w:rPr>
          <w:color w:val="334155"/>
          <w:sz w:val="19"/>
        </w:rPr>
        <w:t>preparation of Long-Term Environmental Management Plans (LTEMPs) where residual contamination</w:t>
      </w:r>
    </w:p>
    <w:p>
      <w:pPr>
        <w:spacing w:before="40" w:after="80" w:line="276" w:lineRule="auto"/>
      </w:pPr>
      <w:r>
        <w:rPr>
          <w:color w:val="334155"/>
          <w:sz w:val="19"/>
        </w:rPr>
        <w:t>risks remain. As per Lake Macquarie City Council’s (LMCCs) requirements, an EPA certified consultant</w:t>
      </w:r>
    </w:p>
    <w:p>
      <w:pPr>
        <w:spacing w:before="40" w:after="80" w:line="276" w:lineRule="auto"/>
      </w:pPr>
      <w:r>
        <w:rPr>
          <w:color w:val="334155"/>
          <w:sz w:val="19"/>
        </w:rPr>
        <w:t>must be engaged where reports are submitted to the NSW EPA or where required by the consent</w:t>
      </w:r>
    </w:p>
    <w:p>
      <w:pPr>
        <w:spacing w:before="40" w:after="80" w:line="276" w:lineRule="auto"/>
      </w:pPr>
      <w:r>
        <w:rPr>
          <w:color w:val="334155"/>
          <w:sz w:val="19"/>
        </w:rPr>
        <w:t>authority</w:t>
      </w:r>
    </w:p>
    <w:p>
      <w:pPr>
        <w:spacing w:before="40" w:after="80" w:line="276" w:lineRule="auto"/>
      </w:pPr>
      <w:r>
        <w:rPr>
          <w:color w:val="334155"/>
          <w:sz w:val="19"/>
        </w:rPr>
        <w:t>◼ All future works should be conducted by an appropriately qualified environmental consultant under the</w:t>
      </w:r>
    </w:p>
    <w:p>
      <w:pPr>
        <w:spacing w:before="40" w:after="80" w:line="276" w:lineRule="auto"/>
      </w:pPr>
      <w:r>
        <w:rPr>
          <w:color w:val="334155"/>
          <w:sz w:val="19"/>
        </w:rPr>
        <w:t>direction of a CEnvP-SC or equivalent accreditation. An accredited NSW EPA Auditor may be required to</w:t>
      </w:r>
    </w:p>
    <w:p>
      <w:pPr>
        <w:spacing w:before="40" w:after="80" w:line="276" w:lineRule="auto"/>
      </w:pPr>
      <w:r>
        <w:rPr>
          <w:color w:val="334155"/>
          <w:sz w:val="19"/>
        </w:rPr>
        <w:t>endorse the investigation, remediation/management and validation works where more sensitive land uses</w:t>
      </w:r>
    </w:p>
    <w:p>
      <w:pPr>
        <w:spacing w:before="40" w:after="80" w:line="276" w:lineRule="auto"/>
      </w:pPr>
      <w:r>
        <w:rPr>
          <w:color w:val="334155"/>
          <w:sz w:val="19"/>
        </w:rPr>
        <w:t>are proposed or where there are elevated risks to ecological receptors.</w:t>
      </w:r>
    </w:p>
    <w:p>
      <w:pPr>
        <w:spacing w:before="40" w:after="80" w:line="276" w:lineRule="auto"/>
      </w:pPr>
      <w:r>
        <w:rPr>
          <w:color w:val="334155"/>
          <w:sz w:val="19"/>
        </w:rPr>
        <w:t>Pathway for Residential Development (Teralba Southgate)</w:t>
      </w:r>
    </w:p>
    <w:p>
      <w:pPr>
        <w:spacing w:before="40" w:after="80" w:line="276" w:lineRule="auto"/>
      </w:pPr>
      <w:r>
        <w:rPr>
          <w:color w:val="334155"/>
          <w:sz w:val="19"/>
        </w:rPr>
        <w:t>Residential development at Teralba Southgate will require a standard but targeted contaminated land</w:t>
      </w:r>
    </w:p>
    <w:p>
      <w:pPr>
        <w:spacing w:before="40" w:after="80" w:line="276" w:lineRule="auto"/>
      </w:pPr>
      <w:r>
        <w:rPr>
          <w:color w:val="334155"/>
          <w:sz w:val="19"/>
        </w:rPr>
        <w:t>assessment and approval process, including:</w:t>
      </w:r>
    </w:p>
    <w:p>
      <w:pPr>
        <w:spacing w:before="40" w:after="80" w:line="276" w:lineRule="auto"/>
      </w:pPr>
      <w:r>
        <w:rPr>
          <w:color w:val="334155"/>
          <w:sz w:val="19"/>
        </w:rPr>
        <w:t>◼ Detailed Site Investigation (DSI) involving intrusive assessment to fully characterise the nature and extent</w:t>
      </w:r>
    </w:p>
    <w:p>
      <w:pPr>
        <w:spacing w:before="40" w:after="80" w:line="276" w:lineRule="auto"/>
      </w:pPr>
      <w:r>
        <w:rPr>
          <w:color w:val="334155"/>
          <w:sz w:val="19"/>
        </w:rPr>
        <w:t>of contamination across the site in potentially affected media (i.e. ground gas and to a lesser extent soil,</w:t>
      </w:r>
    </w:p>
    <w:p>
      <w:pPr>
        <w:spacing w:before="40" w:after="80" w:line="276" w:lineRule="auto"/>
      </w:pPr>
      <w:r>
        <w:rPr>
          <w:color w:val="334155"/>
          <w:sz w:val="19"/>
        </w:rPr>
        <w:t>groundwater, surface water, sediment) with data comparison made to applicable land use criteria as per</w:t>
      </w:r>
    </w:p>
    <w:p>
      <w:pPr>
        <w:spacing w:before="40" w:after="80" w:line="276" w:lineRule="auto"/>
      </w:pPr>
      <w:r>
        <w:rPr>
          <w:color w:val="334155"/>
          <w:sz w:val="19"/>
        </w:rPr>
        <w:t>the NEPM (e.g. medium to high density residential).</w:t>
      </w:r>
    </w:p>
    <w:p>
      <w:pPr>
        <w:spacing w:before="40" w:after="80" w:line="276" w:lineRule="auto"/>
      </w:pPr>
      <w:r>
        <w:rPr>
          <w:color w:val="334155"/>
          <w:sz w:val="19"/>
        </w:rPr>
        <w:t>◼ Remedial Action Plan (RAP) to define extents and media requiring remediation and/or management to</w:t>
      </w:r>
    </w:p>
    <w:p>
      <w:pPr>
        <w:spacing w:before="40" w:after="80" w:line="276" w:lineRule="auto"/>
      </w:pPr>
      <w:r>
        <w:rPr>
          <w:color w:val="334155"/>
          <w:sz w:val="19"/>
        </w:rPr>
        <w:t>render the site suitable for the proposed land uses (e.g. residential).</w:t>
      </w:r>
    </w:p>
    <w:p>
      <w:pPr>
        <w:spacing w:before="40" w:after="80" w:line="276" w:lineRule="auto"/>
      </w:pPr>
      <w:r>
        <w:rPr>
          <w:color w:val="334155"/>
          <w:sz w:val="19"/>
        </w:rPr>
        <w:t>◼ Validation sampling and reporting to confirm remediation objectives have been achieved.</w:t>
      </w:r>
    </w:p>
    <w:p>
      <w:pPr>
        <w:spacing w:before="40" w:after="80" w:line="276" w:lineRule="auto"/>
      </w:pPr>
      <w:r>
        <w:rPr>
          <w:color w:val="334155"/>
          <w:sz w:val="19"/>
        </w:rPr>
        <w:t>◼ Independent Site Audit by an accredited NSW EPA Auditor which is recommended for residential land</w:t>
      </w:r>
    </w:p>
    <w:p>
      <w:pPr>
        <w:spacing w:before="40" w:after="80" w:line="276" w:lineRule="auto"/>
      </w:pPr>
      <w:r>
        <w:rPr>
          <w:color w:val="334155"/>
          <w:sz w:val="19"/>
        </w:rPr>
        <w:t>use on a former mine site, to provide independent assurance of site suitability prior to development</w:t>
      </w:r>
    </w:p>
    <w:p>
      <w:pPr>
        <w:spacing w:before="40" w:after="80" w:line="276" w:lineRule="auto"/>
      </w:pPr>
      <w:r>
        <w:rPr>
          <w:color w:val="334155"/>
          <w:sz w:val="19"/>
        </w:rPr>
        <w:t>consent being granted.</w:t>
      </w:r>
    </w:p>
    <w:p>
      <w:pPr>
        <w:spacing w:before="40" w:after="80" w:line="276" w:lineRule="auto"/>
      </w:pPr>
      <w:r>
        <w:rPr>
          <w:color w:val="334155"/>
          <w:sz w:val="19"/>
        </w:rPr>
        <w:t>This process will demonstrate that the land is suitable, or can be made suitable, for residential use in</w:t>
      </w:r>
    </w:p>
    <w:p>
      <w:pPr>
        <w:spacing w:before="40" w:after="80" w:line="276" w:lineRule="auto"/>
      </w:pPr>
      <w:r>
        <w:rPr>
          <w:color w:val="334155"/>
          <w:sz w:val="19"/>
        </w:rPr>
        <w:t>accordance with the NEPM (2013), EP&amp;A Act, State Environmental Planning Policy (SEPP, Resilience and</w:t>
      </w:r>
    </w:p>
    <w:p>
      <w:pPr>
        <w:spacing w:before="40" w:after="80" w:line="276" w:lineRule="auto"/>
      </w:pPr>
      <w:r>
        <w:rPr>
          <w:color w:val="334155"/>
          <w:sz w:val="19"/>
        </w:rPr>
        <w:t>Hazards) 2021 and relevant NSW EPA legislation and guidelines.</w:t>
      </w:r>
    </w:p>
    <w:p>
      <w:pPr>
        <w:spacing w:before="40" w:after="80" w:line="276" w:lineRule="auto"/>
      </w:pPr>
      <w:r>
        <w:rPr>
          <w:color w:val="334155"/>
          <w:sz w:val="19"/>
        </w:rPr>
        <w:t>`</w:t>
      </w:r>
    </w:p>
    <w:p>
      <w:pPr>
        <w:pStyle w:val="Heading3"/>
        <w:keepNext/>
        <w:spacing w:before="160" w:after="40"/>
      </w:pPr>
      <w:r>
        <w:rPr>
          <w:b/>
          <w:color w:val="334155"/>
        </w:rPr>
        <w:t>Contamination Report Page 8</w:t>
      </w:r>
    </w:p>
    <w:p>
      <w:pPr>
        <w:spacing w:before="40" w:after="80" w:line="276" w:lineRule="auto"/>
      </w:pPr>
      <w:r>
        <w:rPr>
          <w:color w:val="334155"/>
          <w:sz w:val="19"/>
        </w:rPr>
        <w:t>`</w:t>
      </w:r>
    </w:p>
    <w:p>
      <w:pPr>
        <w:spacing w:before="40" w:after="80" w:line="276" w:lineRule="auto"/>
      </w:pPr>
      <w:r>
        <w:rPr>
          <w:color w:val="334155"/>
          <w:sz w:val="19"/>
        </w:rPr>
        <w:t>Contents</w:t>
      </w:r>
    </w:p>
    <w:p>
      <w:pPr>
        <w:spacing w:before="40" w:after="80" w:line="276" w:lineRule="auto"/>
      </w:pPr>
      <w:r>
        <w:rPr>
          <w:color w:val="334155"/>
          <w:sz w:val="19"/>
        </w:rPr>
        <w:t>Executive summary ........................................................................................................................................... i</w:t>
      </w:r>
    </w:p>
    <w:p>
      <w:pPr>
        <w:spacing w:before="40" w:after="80" w:line="276" w:lineRule="auto"/>
      </w:pPr>
      <w:r>
        <w:rPr>
          <w:color w:val="334155"/>
          <w:sz w:val="19"/>
        </w:rPr>
        <w:t>1 Introduction .................................................................................................................................................. 1</w:t>
      </w:r>
    </w:p>
    <w:p>
      <w:pPr>
        <w:spacing w:before="40" w:after="80" w:line="276" w:lineRule="auto"/>
      </w:pPr>
      <w:r>
        <w:rPr>
          <w:color w:val="334155"/>
          <w:sz w:val="19"/>
        </w:rPr>
        <w:t>1.1</w:t>
      </w:r>
    </w:p>
    <w:p>
      <w:pPr>
        <w:spacing w:before="40" w:after="80" w:line="276" w:lineRule="auto"/>
      </w:pPr>
      <w:r>
        <w:rPr>
          <w:color w:val="334155"/>
          <w:sz w:val="19"/>
        </w:rPr>
        <w:t>Introduction ............................................................................................................................... 1</w:t>
      </w:r>
    </w:p>
    <w:p>
      <w:pPr>
        <w:spacing w:before="40" w:after="80" w:line="276" w:lineRule="auto"/>
      </w:pPr>
      <w:r>
        <w:rPr>
          <w:color w:val="334155"/>
          <w:sz w:val="19"/>
        </w:rPr>
        <w:t>1.2</w:t>
      </w:r>
    </w:p>
    <w:p>
      <w:pPr>
        <w:spacing w:before="40" w:after="80" w:line="276" w:lineRule="auto"/>
      </w:pPr>
      <w:r>
        <w:rPr>
          <w:color w:val="334155"/>
          <w:sz w:val="19"/>
        </w:rPr>
        <w:t>Objectives ................................................................................................................................. 1</w:t>
      </w:r>
    </w:p>
    <w:p>
      <w:pPr>
        <w:spacing w:before="40" w:after="80" w:line="276" w:lineRule="auto"/>
      </w:pPr>
      <w:r>
        <w:rPr>
          <w:color w:val="334155"/>
          <w:sz w:val="19"/>
        </w:rPr>
        <w:t>1.3</w:t>
      </w:r>
    </w:p>
    <w:p>
      <w:pPr>
        <w:spacing w:before="40" w:after="80" w:line="276" w:lineRule="auto"/>
      </w:pPr>
      <w:r>
        <w:rPr>
          <w:color w:val="334155"/>
          <w:sz w:val="19"/>
        </w:rPr>
        <w:t>Methodology ............................................................................................................................. 2</w:t>
      </w:r>
    </w:p>
    <w:p>
      <w:pPr>
        <w:spacing w:before="40" w:after="80" w:line="276" w:lineRule="auto"/>
      </w:pPr>
      <w:r>
        <w:rPr>
          <w:color w:val="334155"/>
          <w:sz w:val="19"/>
        </w:rPr>
        <w:t>2 Planning context and limitations ............................................................................................................... 3</w:t>
      </w:r>
    </w:p>
    <w:p>
      <w:pPr>
        <w:spacing w:before="40" w:after="80" w:line="276" w:lineRule="auto"/>
      </w:pPr>
      <w:r>
        <w:rPr>
          <w:color w:val="334155"/>
          <w:sz w:val="19"/>
        </w:rPr>
        <w:t>2.1</w:t>
      </w:r>
    </w:p>
    <w:p>
      <w:pPr>
        <w:spacing w:before="40" w:after="80" w:line="276" w:lineRule="auto"/>
      </w:pPr>
      <w:r>
        <w:rPr>
          <w:color w:val="334155"/>
          <w:sz w:val="19"/>
        </w:rPr>
        <w:t>Level of detail and exclusions .................................................................................................. 3</w:t>
      </w:r>
    </w:p>
    <w:p>
      <w:pPr>
        <w:spacing w:before="40" w:after="80" w:line="276" w:lineRule="auto"/>
      </w:pPr>
      <w:r>
        <w:rPr>
          <w:color w:val="334155"/>
          <w:sz w:val="19"/>
        </w:rPr>
        <w:t>2.2</w:t>
      </w:r>
    </w:p>
    <w:p>
      <w:pPr>
        <w:spacing w:before="40" w:after="80" w:line="276" w:lineRule="auto"/>
      </w:pPr>
      <w:r>
        <w:rPr>
          <w:color w:val="334155"/>
          <w:sz w:val="19"/>
        </w:rPr>
        <w:t>Reliance on data and information ............................................................................................. 3</w:t>
      </w:r>
    </w:p>
    <w:p>
      <w:pPr>
        <w:spacing w:before="40" w:after="80" w:line="276" w:lineRule="auto"/>
      </w:pPr>
      <w:r>
        <w:rPr>
          <w:color w:val="334155"/>
          <w:sz w:val="19"/>
        </w:rPr>
        <w:t>3 Baseline analysis ........................................................................................................................................ 5</w:t>
      </w:r>
    </w:p>
    <w:p>
      <w:pPr>
        <w:spacing w:before="40" w:after="80" w:line="276" w:lineRule="auto"/>
      </w:pPr>
      <w:r>
        <w:rPr>
          <w:color w:val="334155"/>
          <w:sz w:val="19"/>
        </w:rPr>
        <w:t>3.1</w:t>
      </w:r>
    </w:p>
    <w:p>
      <w:pPr>
        <w:spacing w:before="40" w:after="80" w:line="276" w:lineRule="auto"/>
      </w:pPr>
      <w:r>
        <w:rPr>
          <w:color w:val="334155"/>
          <w:sz w:val="19"/>
        </w:rPr>
        <w:t>Environmental setting ............................................................................................................... 5</w:t>
      </w:r>
    </w:p>
    <w:p>
      <w:pPr>
        <w:spacing w:before="40" w:after="80" w:line="276" w:lineRule="auto"/>
      </w:pPr>
      <w:r>
        <w:rPr>
          <w:color w:val="334155"/>
          <w:sz w:val="19"/>
        </w:rPr>
        <w:t>3.2</w:t>
      </w:r>
    </w:p>
    <w:p>
      <w:pPr>
        <w:spacing w:before="40" w:after="80" w:line="276" w:lineRule="auto"/>
      </w:pPr>
      <w:r>
        <w:rPr>
          <w:color w:val="334155"/>
          <w:sz w:val="19"/>
        </w:rPr>
        <w:t>Areas of Environmental Concern ............................................................................................. 6</w:t>
      </w:r>
    </w:p>
    <w:p>
      <w:pPr>
        <w:spacing w:before="40" w:after="80" w:line="276" w:lineRule="auto"/>
      </w:pPr>
      <w:r>
        <w:rPr>
          <w:color w:val="334155"/>
          <w:sz w:val="19"/>
        </w:rPr>
        <w:t>3.3</w:t>
      </w:r>
    </w:p>
    <w:p>
      <w:pPr>
        <w:spacing w:before="40" w:after="80" w:line="276" w:lineRule="auto"/>
      </w:pPr>
      <w:r>
        <w:rPr>
          <w:color w:val="334155"/>
          <w:sz w:val="19"/>
        </w:rPr>
        <w:t>Summary of Previous Investigations ........................................................................................ 7</w:t>
      </w:r>
    </w:p>
    <w:p>
      <w:pPr>
        <w:spacing w:before="40" w:after="80" w:line="276" w:lineRule="auto"/>
      </w:pPr>
      <w:r>
        <w:rPr>
          <w:color w:val="334155"/>
          <w:sz w:val="19"/>
        </w:rPr>
        <w:t>3.4</w:t>
      </w:r>
    </w:p>
    <w:p>
      <w:pPr>
        <w:spacing w:before="40" w:after="80" w:line="276" w:lineRule="auto"/>
      </w:pPr>
      <w:r>
        <w:rPr>
          <w:color w:val="334155"/>
          <w:sz w:val="19"/>
        </w:rPr>
        <w:t>Previous Remediation Activities ............................................................................................... 8</w:t>
      </w:r>
    </w:p>
    <w:p>
      <w:pPr>
        <w:spacing w:before="40" w:after="80" w:line="276" w:lineRule="auto"/>
      </w:pPr>
      <w:r>
        <w:rPr>
          <w:color w:val="334155"/>
          <w:sz w:val="19"/>
        </w:rPr>
        <w:t>3.5</w:t>
      </w:r>
    </w:p>
    <w:p>
      <w:pPr>
        <w:spacing w:before="40" w:after="80" w:line="276" w:lineRule="auto"/>
      </w:pPr>
      <w:r>
        <w:rPr>
          <w:color w:val="334155"/>
          <w:sz w:val="19"/>
        </w:rPr>
        <w:t>Data gaps ................................................................................................................................. 8</w:t>
      </w:r>
    </w:p>
    <w:p>
      <w:pPr>
        <w:spacing w:before="40" w:after="80" w:line="276" w:lineRule="auto"/>
      </w:pPr>
      <w:r>
        <w:rPr>
          <w:color w:val="334155"/>
          <w:sz w:val="19"/>
        </w:rPr>
        <w:t>4 Conceptual Site Model ................................................................................................................................ 9</w:t>
      </w:r>
    </w:p>
    <w:p>
      <w:pPr>
        <w:spacing w:before="40" w:after="80" w:line="276" w:lineRule="auto"/>
      </w:pPr>
      <w:r>
        <w:rPr>
          <w:color w:val="334155"/>
          <w:sz w:val="19"/>
        </w:rPr>
        <w:t>4.1</w:t>
      </w:r>
    </w:p>
    <w:p>
      <w:pPr>
        <w:spacing w:before="40" w:after="80" w:line="276" w:lineRule="auto"/>
      </w:pPr>
      <w:r>
        <w:rPr>
          <w:color w:val="334155"/>
          <w:sz w:val="19"/>
        </w:rPr>
        <w:t>Sources, pathways, and receptors ........................................................................................... 9</w:t>
      </w:r>
    </w:p>
    <w:p>
      <w:pPr>
        <w:spacing w:before="40" w:after="80" w:line="276" w:lineRule="auto"/>
      </w:pPr>
      <w:r>
        <w:rPr>
          <w:color w:val="334155"/>
          <w:sz w:val="19"/>
        </w:rPr>
        <w:t>4.2</w:t>
      </w:r>
    </w:p>
    <w:p>
      <w:pPr>
        <w:spacing w:before="40" w:after="80" w:line="276" w:lineRule="auto"/>
      </w:pPr>
      <w:r>
        <w:rPr>
          <w:color w:val="334155"/>
          <w:sz w:val="19"/>
        </w:rPr>
        <w:t>Domain Constraints Analysis ................................................................................................... 9</w:t>
      </w:r>
    </w:p>
    <w:p>
      <w:pPr>
        <w:spacing w:before="40" w:after="80" w:line="276" w:lineRule="auto"/>
      </w:pPr>
      <w:r>
        <w:rPr>
          <w:color w:val="334155"/>
          <w:sz w:val="19"/>
        </w:rPr>
        <w:t>4.2.1</w:t>
      </w:r>
    </w:p>
    <w:p>
      <w:pPr>
        <w:spacing w:before="40" w:after="80" w:line="276" w:lineRule="auto"/>
      </w:pPr>
      <w:r>
        <w:rPr>
          <w:color w:val="334155"/>
          <w:sz w:val="19"/>
        </w:rPr>
        <w:t>Consequence qualification ........................................................................................ 9</w:t>
      </w:r>
    </w:p>
    <w:p>
      <w:pPr>
        <w:spacing w:before="40" w:after="80" w:line="276" w:lineRule="auto"/>
      </w:pPr>
      <w:r>
        <w:rPr>
          <w:color w:val="334155"/>
          <w:sz w:val="19"/>
        </w:rPr>
        <w:t>4.2.2</w:t>
      </w:r>
    </w:p>
    <w:p>
      <w:pPr>
        <w:spacing w:before="40" w:after="80" w:line="276" w:lineRule="auto"/>
      </w:pPr>
      <w:r>
        <w:rPr>
          <w:color w:val="334155"/>
          <w:sz w:val="19"/>
        </w:rPr>
        <w:t>Likelihood qualification ............................................................................................ 10</w:t>
      </w:r>
    </w:p>
    <w:p>
      <w:pPr>
        <w:spacing w:before="40" w:after="80" w:line="276" w:lineRule="auto"/>
      </w:pPr>
      <w:r>
        <w:rPr>
          <w:color w:val="334155"/>
          <w:sz w:val="19"/>
        </w:rPr>
        <w:t>4.3</w:t>
      </w:r>
    </w:p>
    <w:p>
      <w:pPr>
        <w:spacing w:before="40" w:after="80" w:line="276" w:lineRule="auto"/>
      </w:pPr>
      <w:r>
        <w:rPr>
          <w:color w:val="334155"/>
          <w:sz w:val="19"/>
        </w:rPr>
        <w:t>Constraint determination ........................................................................................................ 11</w:t>
      </w:r>
    </w:p>
    <w:p>
      <w:pPr>
        <w:spacing w:before="40" w:after="80" w:line="276" w:lineRule="auto"/>
      </w:pPr>
      <w:r>
        <w:rPr>
          <w:color w:val="334155"/>
          <w:sz w:val="19"/>
        </w:rPr>
        <w:t>4.4</w:t>
      </w:r>
    </w:p>
    <w:p>
      <w:pPr>
        <w:spacing w:before="40" w:after="80" w:line="276" w:lineRule="auto"/>
      </w:pPr>
      <w:r>
        <w:rPr>
          <w:color w:val="334155"/>
          <w:sz w:val="19"/>
        </w:rPr>
        <w:t>Preliminary conceptual site model .......................................................................................... 11</w:t>
      </w:r>
    </w:p>
    <w:p>
      <w:pPr>
        <w:spacing w:before="40" w:after="80" w:line="276" w:lineRule="auto"/>
      </w:pPr>
      <w:r>
        <w:rPr>
          <w:color w:val="334155"/>
          <w:sz w:val="19"/>
        </w:rPr>
        <w:t>5 Land Use Capability .................................................................................................................................. 16</w:t>
      </w:r>
    </w:p>
    <w:p>
      <w:pPr>
        <w:spacing w:before="40" w:after="80" w:line="276" w:lineRule="auto"/>
      </w:pPr>
      <w:r>
        <w:rPr>
          <w:color w:val="334155"/>
          <w:sz w:val="19"/>
        </w:rPr>
        <w:t>5.1</w:t>
      </w:r>
    </w:p>
    <w:p>
      <w:pPr>
        <w:spacing w:before="40" w:after="80" w:line="276" w:lineRule="auto"/>
      </w:pPr>
      <w:r>
        <w:rPr>
          <w:color w:val="334155"/>
          <w:sz w:val="19"/>
        </w:rPr>
        <w:t>Sub precinct 1 – Cockle Creek ............................................................................................... 16</w:t>
      </w:r>
    </w:p>
    <w:p>
      <w:pPr>
        <w:spacing w:before="40" w:after="80" w:line="276" w:lineRule="auto"/>
      </w:pPr>
      <w:r>
        <w:rPr>
          <w:color w:val="334155"/>
          <w:sz w:val="19"/>
        </w:rPr>
        <w:t>5.2</w:t>
      </w:r>
    </w:p>
    <w:p>
      <w:pPr>
        <w:spacing w:before="40" w:after="80" w:line="276" w:lineRule="auto"/>
      </w:pPr>
      <w:r>
        <w:rPr>
          <w:color w:val="334155"/>
          <w:sz w:val="19"/>
        </w:rPr>
        <w:t>Sub precinct 2 – Killingworth .................................................................................................. 17</w:t>
      </w:r>
    </w:p>
    <w:p>
      <w:pPr>
        <w:spacing w:before="40" w:after="80" w:line="276" w:lineRule="auto"/>
      </w:pPr>
      <w:r>
        <w:rPr>
          <w:color w:val="334155"/>
          <w:sz w:val="19"/>
        </w:rPr>
        <w:t>5.3</w:t>
      </w:r>
    </w:p>
    <w:p>
      <w:pPr>
        <w:spacing w:before="40" w:after="80" w:line="276" w:lineRule="auto"/>
      </w:pPr>
      <w:r>
        <w:rPr>
          <w:color w:val="334155"/>
          <w:sz w:val="19"/>
        </w:rPr>
        <w:t>Sub precinct 3 – West Lake ................................................................................................... 17</w:t>
      </w:r>
    </w:p>
    <w:p>
      <w:pPr>
        <w:spacing w:before="40" w:after="80" w:line="276" w:lineRule="auto"/>
      </w:pPr>
      <w:r>
        <w:rPr>
          <w:color w:val="334155"/>
          <w:sz w:val="19"/>
        </w:rPr>
        <w:t>5.4</w:t>
      </w:r>
    </w:p>
    <w:p>
      <w:pPr>
        <w:spacing w:before="40" w:after="80" w:line="276" w:lineRule="auto"/>
      </w:pPr>
      <w:r>
        <w:rPr>
          <w:color w:val="334155"/>
          <w:sz w:val="19"/>
        </w:rPr>
        <w:t>Teralba Southgate .................................................................................................................. 18</w:t>
      </w:r>
    </w:p>
    <w:p>
      <w:pPr>
        <w:spacing w:before="40" w:after="80" w:line="276" w:lineRule="auto"/>
      </w:pPr>
      <w:r>
        <w:rPr>
          <w:color w:val="334155"/>
          <w:sz w:val="19"/>
        </w:rPr>
        <w:t>5.5</w:t>
      </w:r>
    </w:p>
    <w:p>
      <w:pPr>
        <w:spacing w:before="40" w:after="80" w:line="276" w:lineRule="auto"/>
      </w:pPr>
      <w:r>
        <w:rPr>
          <w:color w:val="334155"/>
          <w:sz w:val="19"/>
        </w:rPr>
        <w:t>Sub precinct 5 – Barnsley West ............................................................................................. 19</w:t>
      </w:r>
    </w:p>
    <w:p>
      <w:pPr>
        <w:spacing w:before="40" w:after="80" w:line="276" w:lineRule="auto"/>
      </w:pPr>
      <w:r>
        <w:rPr>
          <w:color w:val="334155"/>
          <w:sz w:val="19"/>
        </w:rPr>
        <w:t>5.6</w:t>
      </w:r>
    </w:p>
    <w:p>
      <w:pPr>
        <w:spacing w:before="40" w:after="80" w:line="276" w:lineRule="auto"/>
      </w:pPr>
      <w:r>
        <w:rPr>
          <w:color w:val="334155"/>
          <w:sz w:val="19"/>
        </w:rPr>
        <w:t>Sub precinct 6 –Environmentally Sensitive Areas .................................................................. 19</w:t>
      </w:r>
    </w:p>
    <w:p>
      <w:pPr>
        <w:spacing w:before="40" w:after="80" w:line="276" w:lineRule="auto"/>
      </w:pPr>
      <w:r>
        <w:rPr>
          <w:color w:val="334155"/>
          <w:sz w:val="19"/>
        </w:rPr>
        <w:t>5.6.1</w:t>
      </w:r>
    </w:p>
    <w:p>
      <w:pPr>
        <w:spacing w:before="40" w:after="80" w:line="276" w:lineRule="auto"/>
      </w:pPr>
      <w:r>
        <w:rPr>
          <w:color w:val="334155"/>
          <w:sz w:val="19"/>
        </w:rPr>
        <w:t>Sub precinct 6a ........................................................................................................ 19</w:t>
      </w:r>
    </w:p>
    <w:p>
      <w:pPr>
        <w:spacing w:before="40" w:after="80" w:line="276" w:lineRule="auto"/>
      </w:pPr>
      <w:r>
        <w:rPr>
          <w:color w:val="334155"/>
          <w:sz w:val="19"/>
        </w:rPr>
        <w:t>5.6.2</w:t>
      </w:r>
    </w:p>
    <w:p>
      <w:pPr>
        <w:spacing w:before="40" w:after="80" w:line="276" w:lineRule="auto"/>
      </w:pPr>
      <w:r>
        <w:rPr>
          <w:color w:val="334155"/>
          <w:sz w:val="19"/>
        </w:rPr>
        <w:t>Sub precinct 6b ........................................................................................................ 19</w:t>
      </w:r>
    </w:p>
    <w:p>
      <w:pPr>
        <w:spacing w:before="40" w:after="80" w:line="276" w:lineRule="auto"/>
      </w:pPr>
      <w:r>
        <w:rPr>
          <w:color w:val="334155"/>
          <w:sz w:val="19"/>
        </w:rPr>
        <w:t>5.6.3</w:t>
      </w:r>
    </w:p>
    <w:p>
      <w:pPr>
        <w:spacing w:before="40" w:after="80" w:line="276" w:lineRule="auto"/>
      </w:pPr>
      <w:r>
        <w:rPr>
          <w:color w:val="334155"/>
          <w:sz w:val="19"/>
        </w:rPr>
        <w:t>Sub precinct 6c ........................................................................................................ 20</w:t>
      </w:r>
    </w:p>
    <w:p>
      <w:pPr>
        <w:spacing w:before="40" w:after="80" w:line="276" w:lineRule="auto"/>
      </w:pPr>
      <w:r>
        <w:rPr>
          <w:color w:val="334155"/>
          <w:sz w:val="19"/>
        </w:rPr>
        <w:t>5.6.4</w:t>
      </w:r>
    </w:p>
    <w:p>
      <w:pPr>
        <w:spacing w:before="40" w:after="80" w:line="276" w:lineRule="auto"/>
      </w:pPr>
      <w:r>
        <w:rPr>
          <w:color w:val="334155"/>
          <w:sz w:val="19"/>
        </w:rPr>
        <w:t>Sub precinct 6d ........................................................................................................ 20</w:t>
      </w:r>
    </w:p>
    <w:p>
      <w:pPr>
        <w:spacing w:before="40" w:after="80" w:line="276" w:lineRule="auto"/>
      </w:pPr>
      <w:r>
        <w:rPr>
          <w:color w:val="334155"/>
          <w:sz w:val="19"/>
        </w:rPr>
        <w:t>5.6.5</w:t>
      </w:r>
    </w:p>
    <w:p>
      <w:pPr>
        <w:spacing w:before="40" w:after="80" w:line="276" w:lineRule="auto"/>
      </w:pPr>
      <w:r>
        <w:rPr>
          <w:color w:val="334155"/>
          <w:sz w:val="19"/>
        </w:rPr>
        <w:t>Sub precinct 6e ........................................................................................................ 20</w:t>
      </w:r>
    </w:p>
    <w:p>
      <w:pPr>
        <w:spacing w:before="40" w:after="80" w:line="276" w:lineRule="auto"/>
      </w:pPr>
      <w:r>
        <w:rPr>
          <w:color w:val="334155"/>
          <w:sz w:val="19"/>
        </w:rPr>
        <w:t>5.6.6</w:t>
      </w:r>
    </w:p>
    <w:p>
      <w:pPr>
        <w:spacing w:before="40" w:after="80" w:line="276" w:lineRule="auto"/>
      </w:pPr>
      <w:r>
        <w:rPr>
          <w:color w:val="334155"/>
          <w:sz w:val="19"/>
        </w:rPr>
        <w:t>Sub precinct 6f ......................................................................................................... 21</w:t>
      </w:r>
    </w:p>
    <w:p>
      <w:pPr>
        <w:spacing w:before="40" w:after="80" w:line="276" w:lineRule="auto"/>
      </w:pPr>
      <w:r>
        <w:rPr>
          <w:color w:val="334155"/>
          <w:sz w:val="19"/>
        </w:rPr>
        <w:t>5.7</w:t>
      </w:r>
    </w:p>
    <w:p>
      <w:pPr>
        <w:spacing w:before="40" w:after="80" w:line="276" w:lineRule="auto"/>
      </w:pPr>
      <w:r>
        <w:rPr>
          <w:color w:val="334155"/>
          <w:sz w:val="19"/>
        </w:rPr>
        <w:t>Interfaces with other constraints ............................................................................................. 21</w:t>
      </w:r>
    </w:p>
    <w:p>
      <w:pPr>
        <w:spacing w:before="40" w:after="80" w:line="276" w:lineRule="auto"/>
      </w:pPr>
      <w:r>
        <w:rPr>
          <w:color w:val="334155"/>
          <w:sz w:val="19"/>
        </w:rPr>
        <w:t>5.7.1</w:t>
      </w:r>
    </w:p>
    <w:p>
      <w:pPr>
        <w:spacing w:before="40" w:after="80" w:line="276" w:lineRule="auto"/>
      </w:pPr>
      <w:r>
        <w:rPr>
          <w:color w:val="334155"/>
          <w:sz w:val="19"/>
        </w:rPr>
        <w:t>Waterways and Wetlands ........................................................................................ 21</w:t>
      </w:r>
    </w:p>
    <w:p>
      <w:pPr>
        <w:spacing w:before="40" w:after="80" w:line="276" w:lineRule="auto"/>
      </w:pPr>
      <w:r>
        <w:rPr>
          <w:color w:val="334155"/>
          <w:sz w:val="19"/>
        </w:rPr>
        <w:t>5.7.2</w:t>
      </w:r>
    </w:p>
    <w:p>
      <w:pPr>
        <w:spacing w:before="40" w:after="80" w:line="276" w:lineRule="auto"/>
      </w:pPr>
      <w:r>
        <w:rPr>
          <w:color w:val="334155"/>
          <w:sz w:val="19"/>
        </w:rPr>
        <w:t>Acid Sulfate Soils..................................................................................................... 21</w:t>
      </w:r>
    </w:p>
    <w:p>
      <w:pPr>
        <w:spacing w:before="40" w:after="80" w:line="276" w:lineRule="auto"/>
      </w:pPr>
      <w:r>
        <w:rPr>
          <w:color w:val="334155"/>
          <w:sz w:val="19"/>
        </w:rPr>
        <w:t>5.7.3</w:t>
      </w:r>
    </w:p>
    <w:p>
      <w:pPr>
        <w:spacing w:before="40" w:after="80" w:line="276" w:lineRule="auto"/>
      </w:pPr>
      <w:r>
        <w:rPr>
          <w:color w:val="334155"/>
          <w:sz w:val="19"/>
        </w:rPr>
        <w:t>Salinity ..................................................................................................................... 22</w:t>
      </w:r>
    </w:p>
    <w:p>
      <w:pPr>
        <w:spacing w:before="40" w:after="80" w:line="276" w:lineRule="auto"/>
      </w:pPr>
      <w:r>
        <w:rPr>
          <w:color w:val="334155"/>
          <w:sz w:val="19"/>
        </w:rPr>
        <w:t>5.7.4</w:t>
      </w:r>
    </w:p>
    <w:p>
      <w:pPr>
        <w:spacing w:before="40" w:after="80" w:line="276" w:lineRule="auto"/>
      </w:pPr>
      <w:r>
        <w:rPr>
          <w:color w:val="334155"/>
          <w:sz w:val="19"/>
        </w:rPr>
        <w:t>Tailings Storage Facility .......................................................................................... 22</w:t>
      </w:r>
    </w:p>
    <w:p>
      <w:pPr>
        <w:spacing w:before="40" w:after="80" w:line="276" w:lineRule="auto"/>
      </w:pPr>
      <w:r>
        <w:rPr>
          <w:color w:val="334155"/>
          <w:sz w:val="19"/>
        </w:rPr>
        <w:t>5.7.5</w:t>
      </w:r>
    </w:p>
    <w:p>
      <w:pPr>
        <w:spacing w:before="40" w:after="80" w:line="276" w:lineRule="auto"/>
      </w:pPr>
      <w:r>
        <w:rPr>
          <w:color w:val="334155"/>
          <w:sz w:val="19"/>
        </w:rPr>
        <w:t>Earthworks and Spoil Management ........................................................................ 22</w:t>
      </w:r>
    </w:p>
    <w:p>
      <w:pPr>
        <w:spacing w:before="40" w:after="80" w:line="276" w:lineRule="auto"/>
      </w:pPr>
      <w:r>
        <w:rPr>
          <w:color w:val="334155"/>
          <w:sz w:val="19"/>
        </w:rPr>
        <w:t>5.7.6</w:t>
      </w:r>
    </w:p>
    <w:p>
      <w:pPr>
        <w:spacing w:before="40" w:after="80" w:line="276" w:lineRule="auto"/>
      </w:pPr>
      <w:r>
        <w:rPr>
          <w:color w:val="334155"/>
          <w:sz w:val="19"/>
        </w:rPr>
        <w:t>Water Reuse Concepts ........................................................................................... 23</w:t>
      </w:r>
    </w:p>
    <w:p>
      <w:pPr>
        <w:spacing w:before="40" w:after="80" w:line="276" w:lineRule="auto"/>
      </w:pPr>
      <w:r>
        <w:rPr>
          <w:color w:val="334155"/>
          <w:sz w:val="19"/>
        </w:rPr>
        <w:t>5.7.7</w:t>
      </w:r>
    </w:p>
    <w:p>
      <w:pPr>
        <w:spacing w:before="40" w:after="80" w:line="276" w:lineRule="auto"/>
      </w:pPr>
      <w:r>
        <w:rPr>
          <w:color w:val="334155"/>
          <w:sz w:val="19"/>
        </w:rPr>
        <w:t>Ground Gas ............................................................................................................. 23</w:t>
      </w:r>
    </w:p>
    <w:p>
      <w:pPr>
        <w:spacing w:before="40" w:after="80" w:line="276" w:lineRule="auto"/>
      </w:pPr>
      <w:r>
        <w:rPr>
          <w:color w:val="334155"/>
          <w:sz w:val="19"/>
        </w:rPr>
        <w:t>6 Master Plan objectives and performance criteria .................................................................................. 24</w:t>
      </w:r>
    </w:p>
    <w:p>
      <w:pPr>
        <w:spacing w:before="40" w:after="80" w:line="276" w:lineRule="auto"/>
      </w:pPr>
      <w:r>
        <w:rPr>
          <w:color w:val="334155"/>
          <w:sz w:val="19"/>
        </w:rPr>
        <w:t>6.1</w:t>
      </w:r>
    </w:p>
    <w:p>
      <w:pPr>
        <w:spacing w:before="40" w:after="80" w:line="276" w:lineRule="auto"/>
      </w:pPr>
      <w:r>
        <w:rPr>
          <w:color w:val="334155"/>
          <w:sz w:val="19"/>
        </w:rPr>
        <w:t>Contamination Master Plan Objectives .................................................................................. 24</w:t>
      </w:r>
    </w:p>
    <w:p>
      <w:pPr>
        <w:spacing w:before="40" w:after="80" w:line="276" w:lineRule="auto"/>
      </w:pPr>
      <w:r>
        <w:rPr>
          <w:color w:val="334155"/>
          <w:sz w:val="19"/>
        </w:rPr>
        <w:t>6.2</w:t>
      </w:r>
    </w:p>
    <w:p>
      <w:pPr>
        <w:spacing w:before="40" w:after="80" w:line="276" w:lineRule="auto"/>
      </w:pPr>
      <w:r>
        <w:rPr>
          <w:color w:val="334155"/>
          <w:sz w:val="19"/>
        </w:rPr>
        <w:t>Contamination Performance Criteria ...................................................................................... 25</w:t>
      </w:r>
    </w:p>
    <w:p>
      <w:pPr>
        <w:spacing w:before="40" w:after="80" w:line="276" w:lineRule="auto"/>
      </w:pPr>
      <w:r>
        <w:rPr>
          <w:color w:val="334155"/>
          <w:sz w:val="19"/>
        </w:rPr>
        <w:t>`</w:t>
      </w:r>
    </w:p>
    <w:p>
      <w:pPr>
        <w:pStyle w:val="Heading3"/>
        <w:keepNext/>
        <w:spacing w:before="160" w:after="40"/>
      </w:pPr>
      <w:r>
        <w:rPr>
          <w:b/>
          <w:color w:val="334155"/>
        </w:rPr>
        <w:t>Contamination Report Page 9</w:t>
      </w:r>
    </w:p>
    <w:p>
      <w:pPr>
        <w:spacing w:before="40" w:after="80" w:line="276" w:lineRule="auto"/>
      </w:pPr>
      <w:r>
        <w:rPr>
          <w:color w:val="334155"/>
          <w:sz w:val="19"/>
        </w:rPr>
        <w:t>`</w:t>
      </w:r>
    </w:p>
    <w:p>
      <w:pPr>
        <w:spacing w:before="40" w:after="80" w:line="276" w:lineRule="auto"/>
      </w:pPr>
      <w:r>
        <w:rPr>
          <w:color w:val="334155"/>
          <w:sz w:val="19"/>
        </w:rPr>
        <w:t>7 Investigation and remediation triggers ................................................................................................... 27</w:t>
      </w:r>
    </w:p>
    <w:p>
      <w:pPr>
        <w:spacing w:before="40" w:after="80" w:line="276" w:lineRule="auto"/>
      </w:pPr>
      <w:r>
        <w:rPr>
          <w:color w:val="334155"/>
          <w:sz w:val="19"/>
        </w:rPr>
        <w:t>8 Post exhibition management framework and approvals pathway ....................................................... 29</w:t>
      </w:r>
    </w:p>
    <w:p>
      <w:pPr>
        <w:spacing w:before="40" w:after="80" w:line="276" w:lineRule="auto"/>
      </w:pPr>
      <w:r>
        <w:rPr>
          <w:color w:val="334155"/>
          <w:sz w:val="19"/>
        </w:rPr>
        <w:t>8.1</w:t>
      </w:r>
    </w:p>
    <w:p>
      <w:pPr>
        <w:spacing w:before="40" w:after="80" w:line="276" w:lineRule="auto"/>
      </w:pPr>
      <w:r>
        <w:rPr>
          <w:color w:val="334155"/>
          <w:sz w:val="19"/>
        </w:rPr>
        <w:t>Development application ........................................................................................................ 29</w:t>
      </w:r>
    </w:p>
    <w:p>
      <w:pPr>
        <w:spacing w:before="40" w:after="80" w:line="276" w:lineRule="auto"/>
      </w:pPr>
      <w:r>
        <w:rPr>
          <w:color w:val="334155"/>
          <w:sz w:val="19"/>
        </w:rPr>
        <w:t>8.2</w:t>
      </w:r>
    </w:p>
    <w:p>
      <w:pPr>
        <w:spacing w:before="40" w:after="80" w:line="276" w:lineRule="auto"/>
      </w:pPr>
      <w:r>
        <w:rPr>
          <w:color w:val="334155"/>
          <w:sz w:val="19"/>
        </w:rPr>
        <w:t>Regulatory notifications and duty to report ............................................................................. 29</w:t>
      </w:r>
    </w:p>
    <w:p>
      <w:pPr>
        <w:spacing w:before="40" w:after="80" w:line="276" w:lineRule="auto"/>
      </w:pPr>
      <w:r>
        <w:rPr>
          <w:color w:val="334155"/>
          <w:sz w:val="19"/>
        </w:rPr>
        <w:t>8.3</w:t>
      </w:r>
    </w:p>
    <w:p>
      <w:pPr>
        <w:spacing w:before="40" w:after="80" w:line="276" w:lineRule="auto"/>
      </w:pPr>
      <w:r>
        <w:rPr>
          <w:color w:val="334155"/>
          <w:sz w:val="19"/>
        </w:rPr>
        <w:t>Opportunities .......................................................................................................................... 30</w:t>
      </w:r>
    </w:p>
    <w:p>
      <w:pPr>
        <w:spacing w:before="40" w:after="80" w:line="276" w:lineRule="auto"/>
      </w:pPr>
      <w:r>
        <w:rPr>
          <w:color w:val="334155"/>
          <w:sz w:val="19"/>
        </w:rPr>
        <w:t>9 Conclusions and recommendations ....................................................................................................... 31</w:t>
      </w:r>
    </w:p>
    <w:p>
      <w:pPr>
        <w:spacing w:before="40" w:after="80" w:line="276" w:lineRule="auto"/>
      </w:pPr>
      <w:r>
        <w:rPr>
          <w:color w:val="334155"/>
          <w:sz w:val="19"/>
        </w:rPr>
        <w:t>9.1</w:t>
      </w:r>
    </w:p>
    <w:p>
      <w:pPr>
        <w:spacing w:before="40" w:after="80" w:line="276" w:lineRule="auto"/>
      </w:pPr>
      <w:r>
        <w:rPr>
          <w:color w:val="334155"/>
          <w:sz w:val="19"/>
        </w:rPr>
        <w:t>Conclusions ............................................................................................................................ 31</w:t>
      </w:r>
    </w:p>
    <w:p>
      <w:pPr>
        <w:spacing w:before="40" w:after="80" w:line="276" w:lineRule="auto"/>
      </w:pPr>
      <w:r>
        <w:rPr>
          <w:color w:val="334155"/>
          <w:sz w:val="19"/>
        </w:rPr>
        <w:t>9.2</w:t>
      </w:r>
    </w:p>
    <w:p>
      <w:pPr>
        <w:spacing w:before="40" w:after="80" w:line="276" w:lineRule="auto"/>
      </w:pPr>
      <w:r>
        <w:rPr>
          <w:color w:val="334155"/>
          <w:sz w:val="19"/>
        </w:rPr>
        <w:t>Recommendations.................................................................................................................. 32</w:t>
      </w:r>
    </w:p>
    <w:p>
      <w:pPr>
        <w:spacing w:before="40" w:after="80" w:line="276" w:lineRule="auto"/>
      </w:pPr>
      <w:r>
        <w:rPr>
          <w:color w:val="334155"/>
          <w:sz w:val="19"/>
        </w:rPr>
        <w:t>10 References ................................................................................................................................................. 33</w:t>
      </w:r>
    </w:p>
    <w:p>
      <w:pPr>
        <w:spacing w:before="40" w:after="80" w:line="276" w:lineRule="auto"/>
      </w:pPr>
      <w:r>
        <w:rPr>
          <w:color w:val="334155"/>
          <w:sz w:val="19"/>
        </w:rPr>
        <w:t>11 Limitations ................................................................................................................................................. 35</w:t>
      </w:r>
    </w:p>
    <w:p>
      <w:pPr>
        <w:spacing w:before="40" w:after="80" w:line="276" w:lineRule="auto"/>
      </w:pPr>
      <w:r>
        <w:rPr>
          <w:color w:val="334155"/>
          <w:sz w:val="19"/>
        </w:rPr>
        <w:t>B-1. Detailed summary of investigations undertaken at each Domain ............................................... 39</w:t>
      </w:r>
    </w:p>
    <w:p>
      <w:pPr>
        <w:spacing w:before="40" w:after="80" w:line="276" w:lineRule="auto"/>
      </w:pPr>
      <w:r>
        <w:rPr>
          <w:color w:val="334155"/>
          <w:sz w:val="19"/>
        </w:rPr>
        <w:t>B-2. Summary of Acid Sulfate Soil and Salinity Assessment Data ..................................................... 44</w:t>
      </w:r>
    </w:p>
    <w:p>
      <w:pPr>
        <w:spacing w:before="40" w:after="80" w:line="276" w:lineRule="auto"/>
      </w:pPr>
      <w:r>
        <w:rPr>
          <w:color w:val="334155"/>
          <w:sz w:val="19"/>
        </w:rPr>
        <w:t>Appendices</w:t>
      </w:r>
    </w:p>
    <w:p>
      <w:pPr>
        <w:spacing w:before="40" w:after="80" w:line="276" w:lineRule="auto"/>
      </w:pPr>
      <w:r>
        <w:rPr>
          <w:color w:val="334155"/>
          <w:sz w:val="19"/>
        </w:rPr>
        <w:t>Appendices</w:t>
      </w:r>
    </w:p>
    <w:p>
      <w:pPr>
        <w:spacing w:before="40" w:after="80" w:line="276" w:lineRule="auto"/>
      </w:pPr>
      <w:r>
        <w:rPr>
          <w:color w:val="334155"/>
          <w:sz w:val="19"/>
        </w:rPr>
        <w:t>Appendix A – Figures</w:t>
      </w:r>
    </w:p>
    <w:p>
      <w:pPr>
        <w:spacing w:before="40" w:after="80" w:line="276" w:lineRule="auto"/>
      </w:pPr>
      <w:r>
        <w:rPr>
          <w:color w:val="334155"/>
          <w:sz w:val="19"/>
        </w:rPr>
        <w:t>Appendix B – Previous investigations summary</w:t>
      </w:r>
    </w:p>
    <w:p>
      <w:pPr>
        <w:spacing w:before="40" w:after="80" w:line="276" w:lineRule="auto"/>
      </w:pPr>
      <w:r>
        <w:rPr>
          <w:color w:val="334155"/>
          <w:sz w:val="19"/>
        </w:rPr>
        <w:t>Appendix C – Summary of Data Gaps</w:t>
      </w:r>
    </w:p>
    <w:p>
      <w:pPr>
        <w:spacing w:before="40" w:after="80" w:line="276" w:lineRule="auto"/>
      </w:pPr>
      <w:r>
        <w:rPr>
          <w:color w:val="334155"/>
          <w:sz w:val="19"/>
        </w:rPr>
        <w:t>Appendix D – Domain risk qualifications</w:t>
      </w:r>
    </w:p>
    <w:p>
      <w:pPr>
        <w:spacing w:before="40" w:after="80" w:line="276" w:lineRule="auto"/>
      </w:pPr>
      <w:r>
        <w:rPr>
          <w:color w:val="334155"/>
          <w:sz w:val="19"/>
        </w:rPr>
        <w:t>Tables</w:t>
      </w:r>
    </w:p>
    <w:p>
      <w:pPr>
        <w:spacing w:before="40" w:after="80" w:line="276" w:lineRule="auto"/>
      </w:pPr>
      <w:r>
        <w:rPr>
          <w:color w:val="334155"/>
          <w:sz w:val="19"/>
        </w:rPr>
        <w:t>Table 3-1 Summary of Environmental Setting</w:t>
      </w:r>
    </w:p>
    <w:p>
      <w:pPr>
        <w:spacing w:before="40" w:after="80" w:line="276" w:lineRule="auto"/>
      </w:pPr>
      <w:r>
        <w:rPr>
          <w:color w:val="334155"/>
          <w:sz w:val="19"/>
        </w:rPr>
        <w:t>Table 3-2 Summary of AECs (Closure Domains) across the Precinct and Teralba Southgate.</w:t>
      </w:r>
    </w:p>
    <w:p>
      <w:pPr>
        <w:spacing w:before="40" w:after="80" w:line="276" w:lineRule="auto"/>
      </w:pPr>
      <w:r>
        <w:rPr>
          <w:color w:val="334155"/>
          <w:sz w:val="19"/>
        </w:rPr>
        <w:t>Table 3-3 Summary of previous remediation activities</w:t>
      </w:r>
    </w:p>
    <w:p>
      <w:pPr>
        <w:spacing w:before="40" w:after="80" w:line="276" w:lineRule="auto"/>
      </w:pPr>
      <w:r>
        <w:rPr>
          <w:color w:val="334155"/>
          <w:sz w:val="19"/>
        </w:rPr>
        <w:t>Table 4-1 Summary of key CSM components</w:t>
      </w:r>
    </w:p>
    <w:p>
      <w:pPr>
        <w:spacing w:before="40" w:after="80" w:line="276" w:lineRule="auto"/>
      </w:pPr>
      <w:r>
        <w:rPr>
          <w:color w:val="334155"/>
          <w:sz w:val="19"/>
        </w:rPr>
        <w:t>Table 4-2 Consequence qualifications and ratings</w:t>
      </w:r>
    </w:p>
    <w:p>
      <w:pPr>
        <w:spacing w:before="40" w:after="80" w:line="276" w:lineRule="auto"/>
      </w:pPr>
      <w:r>
        <w:rPr>
          <w:color w:val="334155"/>
          <w:sz w:val="19"/>
        </w:rPr>
        <w:t>Table 4-3 Domain constraint determination matrix</w:t>
      </w:r>
    </w:p>
    <w:p>
      <w:pPr>
        <w:spacing w:before="40" w:after="80" w:line="276" w:lineRule="auto"/>
      </w:pPr>
      <w:r>
        <w:rPr>
          <w:color w:val="334155"/>
          <w:sz w:val="19"/>
        </w:rPr>
        <w:t>Table 4-4 Preliminary CSM for the Precinct and Teralba Southgate</w:t>
      </w:r>
    </w:p>
    <w:p>
      <w:pPr>
        <w:spacing w:before="40" w:after="80" w:line="276" w:lineRule="auto"/>
      </w:pPr>
      <w:r>
        <w:rPr>
          <w:color w:val="334155"/>
          <w:sz w:val="19"/>
        </w:rPr>
        <w:t>Table 6-1 Master Plan Objectives</w:t>
      </w:r>
    </w:p>
    <w:p>
      <w:pPr>
        <w:spacing w:before="40" w:after="80" w:line="276" w:lineRule="auto"/>
      </w:pPr>
      <w:r>
        <w:rPr>
          <w:color w:val="334155"/>
          <w:sz w:val="19"/>
        </w:rPr>
        <w:t>Table 6-2 Summary of Performance Criteria</w:t>
      </w:r>
    </w:p>
    <w:p>
      <w:pPr>
        <w:spacing w:before="40" w:after="80" w:line="276" w:lineRule="auto"/>
      </w:pPr>
      <w:r>
        <w:rPr>
          <w:color w:val="334155"/>
          <w:sz w:val="19"/>
        </w:rPr>
        <w:t>Table 7-1 Investigation and Remediation Triggers</w:t>
      </w:r>
    </w:p>
    <w:p>
      <w:pPr>
        <w:spacing w:before="40" w:after="80" w:line="276" w:lineRule="auto"/>
      </w:pPr>
      <w:r>
        <w:rPr>
          <w:color w:val="334155"/>
          <w:sz w:val="19"/>
        </w:rPr>
        <w:t>Table 11-1 Summary of Data Gaps</w:t>
      </w:r>
    </w:p>
    <w:p>
      <w:pPr>
        <w:spacing w:before="40" w:after="80" w:line="276" w:lineRule="auto"/>
      </w:pPr>
      <w:r>
        <w:rPr>
          <w:color w:val="334155"/>
          <w:sz w:val="19"/>
        </w:rPr>
        <w:t>Table 11-2 Domain constraint rating qualifications</w:t>
      </w:r>
    </w:p>
    <w:p>
      <w:pPr>
        <w:spacing w:before="40" w:after="80" w:line="276" w:lineRule="auto"/>
      </w:pPr>
      <w:r>
        <w:rPr>
          <w:color w:val="334155"/>
          <w:sz w:val="19"/>
        </w:rPr>
        <w:t>`</w:t>
      </w:r>
    </w:p>
    <w:p>
      <w:pPr>
        <w:pStyle w:val="Heading3"/>
        <w:keepNext/>
        <w:spacing w:before="160" w:after="40"/>
      </w:pPr>
      <w:r>
        <w:rPr>
          <w:b/>
          <w:color w:val="334155"/>
        </w:rPr>
        <w:t>Contamination Report Page 10</w:t>
      </w:r>
    </w:p>
    <w:p>
      <w:pPr>
        <w:spacing w:before="40" w:after="80" w:line="276" w:lineRule="auto"/>
      </w:pPr>
      <w:r>
        <w:rPr>
          <w:color w:val="334155"/>
          <w:sz w:val="19"/>
        </w:rPr>
        <w:t>`</w:t>
      </w:r>
    </w:p>
    <w:p>
      <w:pPr>
        <w:spacing w:before="40" w:after="80" w:line="276" w:lineRule="auto"/>
      </w:pPr>
      <w:r>
        <w:rPr>
          <w:color w:val="334155"/>
          <w:sz w:val="19"/>
        </w:rPr>
        <w:t>Project number 531168-000  File MCC PMLU Rezoning_Package B_Contamination Report_Final.docx  2026-07-01  Revision B</w:t>
      </w:r>
    </w:p>
    <w:p>
      <w:pPr>
        <w:spacing w:before="40" w:after="80" w:line="276" w:lineRule="auto"/>
      </w:pPr>
      <w:r>
        <w:rPr>
          <w:color w:val="334155"/>
          <w:sz w:val="19"/>
        </w:rPr>
        <w:t>1</w:t>
      </w:r>
    </w:p>
    <w:p>
      <w:pPr>
        <w:spacing w:before="40" w:after="80" w:line="276" w:lineRule="auto"/>
      </w:pPr>
      <w:r>
        <w:rPr>
          <w:color w:val="334155"/>
          <w:sz w:val="19"/>
        </w:rPr>
        <w:t>1</w:t>
      </w:r>
    </w:p>
    <w:p>
      <w:pPr>
        <w:spacing w:before="40" w:after="80" w:line="276" w:lineRule="auto"/>
      </w:pPr>
      <w:r>
        <w:rPr>
          <w:color w:val="334155"/>
          <w:sz w:val="19"/>
        </w:rPr>
        <w:t>Introduction</w:t>
      </w:r>
    </w:p>
    <w:p>
      <w:pPr>
        <w:spacing w:before="40" w:after="80" w:line="276" w:lineRule="auto"/>
      </w:pPr>
      <w:r>
        <w:rPr>
          <w:color w:val="334155"/>
          <w:sz w:val="19"/>
        </w:rPr>
        <w:t>1.1</w:t>
      </w:r>
    </w:p>
    <w:p>
      <w:pPr>
        <w:spacing w:before="40" w:after="80" w:line="276" w:lineRule="auto"/>
      </w:pPr>
      <w:r>
        <w:rPr>
          <w:color w:val="334155"/>
          <w:sz w:val="19"/>
        </w:rPr>
        <w:t>Introduction</w:t>
      </w:r>
    </w:p>
    <w:p>
      <w:pPr>
        <w:spacing w:before="40" w:after="80" w:line="276" w:lineRule="auto"/>
      </w:pPr>
      <w:r>
        <w:rPr>
          <w:color w:val="334155"/>
          <w:sz w:val="19"/>
        </w:rPr>
        <w:t>Aurecon Australasia (Aurecon) was engaged by the Department of Planning, Housing and Infrastructure</w:t>
      </w:r>
    </w:p>
    <w:p>
      <w:pPr>
        <w:spacing w:before="40" w:after="80" w:line="276" w:lineRule="auto"/>
      </w:pPr>
      <w:r>
        <w:rPr>
          <w:color w:val="334155"/>
          <w:sz w:val="19"/>
        </w:rPr>
        <w:t>(DPHI) for a variety of engineering services to support the State-led rezoning of the Macquarie Coal</w:t>
      </w:r>
    </w:p>
    <w:p>
      <w:pPr>
        <w:spacing w:before="40" w:after="80" w:line="276" w:lineRule="auto"/>
      </w:pPr>
      <w:r>
        <w:rPr>
          <w:color w:val="334155"/>
          <w:sz w:val="19"/>
        </w:rPr>
        <w:t>Complex, herein referred to as “the Precinct” and “Teralba Southgate”. The Precinct and Teralba Southgate</w:t>
      </w:r>
    </w:p>
    <w:p>
      <w:pPr>
        <w:spacing w:before="40" w:after="80" w:line="276" w:lineRule="auto"/>
      </w:pPr>
      <w:r>
        <w:rPr>
          <w:color w:val="334155"/>
          <w:sz w:val="19"/>
        </w:rPr>
        <w:t>are located approximately 20 kilometres (km) southwest of Newcastle, in the Lake Macquarie region of New</w:t>
      </w:r>
    </w:p>
    <w:p>
      <w:pPr>
        <w:spacing w:before="40" w:after="80" w:line="276" w:lineRule="auto"/>
      </w:pPr>
      <w:r>
        <w:rPr>
          <w:color w:val="334155"/>
          <w:sz w:val="19"/>
        </w:rPr>
        <w:t>South Wales (NSW). It is noted that Teralba Southgate has been removed from the scope of the Master Plan</w:t>
      </w:r>
    </w:p>
    <w:p>
      <w:pPr>
        <w:spacing w:before="40" w:after="80" w:line="276" w:lineRule="auto"/>
      </w:pPr>
      <w:r>
        <w:rPr>
          <w:color w:val="334155"/>
          <w:sz w:val="19"/>
        </w:rPr>
        <w:t>and will not be pursued under a State Environmental Planning Policy (SEPP) rezoning process. Instead,</w:t>
      </w:r>
    </w:p>
    <w:p>
      <w:pPr>
        <w:spacing w:before="40" w:after="80" w:line="276" w:lineRule="auto"/>
      </w:pPr>
      <w:r>
        <w:rPr>
          <w:color w:val="334155"/>
          <w:sz w:val="19"/>
        </w:rPr>
        <w:t>Teralba Southgate is proposed to be rezoned under a Local Environmental Plan (LEP). A figure showing the</w:t>
      </w:r>
    </w:p>
    <w:p>
      <w:pPr>
        <w:spacing w:before="40" w:after="80" w:line="276" w:lineRule="auto"/>
      </w:pPr>
      <w:r>
        <w:rPr>
          <w:color w:val="334155"/>
          <w:sz w:val="19"/>
        </w:rPr>
        <w:t>location and extent of the Precinct and Teralba Southgate is provided in Figure 1, Appendix A.</w:t>
      </w:r>
    </w:p>
    <w:p>
      <w:pPr>
        <w:spacing w:before="40" w:after="80" w:line="276" w:lineRule="auto"/>
      </w:pPr>
      <w:r>
        <w:rPr>
          <w:color w:val="334155"/>
          <w:sz w:val="19"/>
        </w:rPr>
        <w:t>The Precinct encompasses the former West Wallsend Colliery (WWC), the Macquarie Coal Preparation</w:t>
      </w:r>
    </w:p>
    <w:p>
      <w:pPr>
        <w:spacing w:before="40" w:after="80" w:line="276" w:lineRule="auto"/>
      </w:pPr>
      <w:r>
        <w:rPr>
          <w:color w:val="334155"/>
          <w:sz w:val="19"/>
        </w:rPr>
        <w:t>Plant (MCPP), the former open-cut Westside Mine, and the former Teralba Colliery (Northgate site). Mining</w:t>
      </w:r>
    </w:p>
    <w:p>
      <w:pPr>
        <w:spacing w:before="40" w:after="80" w:line="276" w:lineRule="auto"/>
      </w:pPr>
      <w:r>
        <w:rPr>
          <w:color w:val="334155"/>
          <w:sz w:val="19"/>
        </w:rPr>
        <w:t>operations ceased progressively across the Precinct, with Teralba Colliery closing in 2001, Westside Mine</w:t>
      </w:r>
    </w:p>
    <w:p>
      <w:pPr>
        <w:spacing w:before="40" w:after="80" w:line="276" w:lineRule="auto"/>
      </w:pPr>
      <w:r>
        <w:rPr>
          <w:color w:val="334155"/>
          <w:sz w:val="19"/>
        </w:rPr>
        <w:t>ceasing operations in 2012, and West Wallsend Colliery and Macquarie Coal Preparation Plant concluding</w:t>
      </w:r>
    </w:p>
    <w:p>
      <w:pPr>
        <w:spacing w:before="40" w:after="80" w:line="276" w:lineRule="auto"/>
      </w:pPr>
      <w:r>
        <w:rPr>
          <w:color w:val="334155"/>
          <w:sz w:val="19"/>
        </w:rPr>
        <w:t>operations in 2016.Current activities are focused on long-term environmental management and rehabilitation</w:t>
      </w:r>
    </w:p>
    <w:p>
      <w:pPr>
        <w:spacing w:before="40" w:after="80" w:line="276" w:lineRule="auto"/>
      </w:pPr>
      <w:r>
        <w:rPr>
          <w:color w:val="334155"/>
          <w:sz w:val="19"/>
        </w:rPr>
        <w:t>in accordance with the Rehabilitation Management Plan (RMP 2022).</w:t>
      </w:r>
    </w:p>
    <w:p>
      <w:pPr>
        <w:spacing w:before="40" w:after="80" w:line="276" w:lineRule="auto"/>
      </w:pPr>
      <w:r>
        <w:rPr>
          <w:color w:val="334155"/>
          <w:sz w:val="19"/>
        </w:rPr>
        <w:t>This Contamination Technical Assessment (CTA) builds on the Post Mining Land Use Engineering Analysis</w:t>
      </w:r>
    </w:p>
    <w:p>
      <w:pPr>
        <w:spacing w:before="40" w:after="80" w:line="276" w:lineRule="auto"/>
      </w:pPr>
      <w:r>
        <w:rPr>
          <w:color w:val="334155"/>
          <w:sz w:val="19"/>
        </w:rPr>
        <w:t>Report (Aurecon 2026) and has been developed to support refinement of the Master Plan and to inform</w:t>
      </w:r>
    </w:p>
    <w:p>
      <w:pPr>
        <w:spacing w:before="40" w:after="80" w:line="276" w:lineRule="auto"/>
      </w:pPr>
      <w:r>
        <w:rPr>
          <w:color w:val="334155"/>
          <w:sz w:val="19"/>
        </w:rPr>
        <w:t>DPHI's decision making as part of the rezoning process. It is noted that environmental and contamination</w:t>
      </w:r>
    </w:p>
    <w:p>
      <w:pPr>
        <w:spacing w:before="40" w:after="80" w:line="276" w:lineRule="auto"/>
      </w:pPr>
      <w:r>
        <w:rPr>
          <w:color w:val="334155"/>
          <w:sz w:val="19"/>
        </w:rPr>
        <w:t>investigations completed to date have been undertaken primarily to support mine closure obligations, rather</w:t>
      </w:r>
    </w:p>
    <w:p>
      <w:pPr>
        <w:spacing w:before="40" w:after="80" w:line="276" w:lineRule="auto"/>
      </w:pPr>
      <w:r>
        <w:rPr>
          <w:color w:val="334155"/>
          <w:sz w:val="19"/>
        </w:rPr>
        <w:t>than to establish suitability for alternative land uses. Accordingly, this assessment reinterprets existing</w:t>
      </w:r>
    </w:p>
    <w:p>
      <w:pPr>
        <w:spacing w:before="40" w:after="80" w:line="276" w:lineRule="auto"/>
      </w:pPr>
      <w:r>
        <w:rPr>
          <w:color w:val="334155"/>
          <w:sz w:val="19"/>
        </w:rPr>
        <w:t>contamination data within the context of the proposed rezoning and future land use scenarios shown in</w:t>
      </w:r>
    </w:p>
    <w:p>
      <w:pPr>
        <w:spacing w:before="40" w:after="80" w:line="276" w:lineRule="auto"/>
      </w:pPr>
      <w:r>
        <w:rPr>
          <w:color w:val="334155"/>
          <w:sz w:val="19"/>
        </w:rPr>
        <w:t>Figure 2, Appendix A.</w:t>
      </w:r>
    </w:p>
    <w:p>
      <w:pPr>
        <w:spacing w:before="40" w:after="80" w:line="276" w:lineRule="auto"/>
      </w:pPr>
      <w:r>
        <w:rPr>
          <w:color w:val="334155"/>
          <w:sz w:val="19"/>
        </w:rPr>
        <w:t>1.2</w:t>
      </w:r>
    </w:p>
    <w:p>
      <w:pPr>
        <w:spacing w:before="40" w:after="80" w:line="276" w:lineRule="auto"/>
      </w:pPr>
      <w:r>
        <w:rPr>
          <w:color w:val="334155"/>
          <w:sz w:val="19"/>
        </w:rPr>
        <w:t>Objectives</w:t>
      </w:r>
    </w:p>
    <w:p>
      <w:pPr>
        <w:spacing w:before="40" w:after="80" w:line="276" w:lineRule="auto"/>
      </w:pPr>
      <w:r>
        <w:rPr>
          <w:color w:val="334155"/>
          <w:sz w:val="19"/>
        </w:rPr>
        <w:t>The objective of this CTA is to support refinement of the Master Plan and to inform DPHI's decision making</w:t>
      </w:r>
    </w:p>
    <w:p>
      <w:pPr>
        <w:spacing w:before="40" w:after="80" w:line="276" w:lineRule="auto"/>
      </w:pPr>
      <w:r>
        <w:rPr>
          <w:color w:val="334155"/>
          <w:sz w:val="19"/>
        </w:rPr>
        <w:t>as part of the rezoning process. Specifically, the objectives of this CTA are to:</w:t>
      </w:r>
    </w:p>
    <w:p>
      <w:pPr>
        <w:spacing w:before="40" w:after="80" w:line="276" w:lineRule="auto"/>
      </w:pPr>
      <w:r>
        <w:rPr>
          <w:color w:val="334155"/>
          <w:sz w:val="19"/>
        </w:rPr>
        <w:t>◼ Provide a precinct-scale contaminated land evidence base to support rezoning and Master Plan land use</w:t>
      </w:r>
    </w:p>
    <w:p>
      <w:pPr>
        <w:spacing w:before="40" w:after="80" w:line="276" w:lineRule="auto"/>
      </w:pPr>
      <w:r>
        <w:rPr>
          <w:color w:val="334155"/>
          <w:sz w:val="19"/>
        </w:rPr>
        <w:t>compatibility, building on existing contamination assessments referenced through Enquiry by Design</w:t>
      </w:r>
    </w:p>
    <w:p>
      <w:pPr>
        <w:spacing w:before="40" w:after="80" w:line="276" w:lineRule="auto"/>
      </w:pPr>
      <w:r>
        <w:rPr>
          <w:color w:val="334155"/>
          <w:sz w:val="19"/>
        </w:rPr>
        <w:t>(EbD) engineering discussions</w:t>
      </w:r>
    </w:p>
    <w:p>
      <w:pPr>
        <w:spacing w:before="40" w:after="80" w:line="276" w:lineRule="auto"/>
      </w:pPr>
      <w:r>
        <w:rPr>
          <w:color w:val="334155"/>
          <w:sz w:val="19"/>
        </w:rPr>
        <w:t>◼ Confirm whether contamination represents a material constraint to developable land verification for</w:t>
      </w:r>
    </w:p>
    <w:p>
      <w:pPr>
        <w:spacing w:before="40" w:after="80" w:line="276" w:lineRule="auto"/>
      </w:pPr>
      <w:r>
        <w:rPr>
          <w:color w:val="334155"/>
          <w:sz w:val="19"/>
        </w:rPr>
        <w:t>employment-led uses and identify where more sensitive land uses would require additional evidence and</w:t>
      </w:r>
    </w:p>
    <w:p>
      <w:pPr>
        <w:spacing w:before="40" w:after="80" w:line="276" w:lineRule="auto"/>
      </w:pPr>
      <w:r>
        <w:rPr>
          <w:color w:val="334155"/>
          <w:sz w:val="19"/>
        </w:rPr>
        <w:t>management</w:t>
      </w:r>
    </w:p>
    <w:p>
      <w:pPr>
        <w:spacing w:before="40" w:after="80" w:line="276" w:lineRule="auto"/>
      </w:pPr>
      <w:r>
        <w:rPr>
          <w:color w:val="334155"/>
          <w:sz w:val="19"/>
        </w:rPr>
        <w:t>◼ Translate contamination findings into Master Plan-ready objectives, performance criteria and a clear</w:t>
      </w:r>
    </w:p>
    <w:p>
      <w:pPr>
        <w:spacing w:before="40" w:after="80" w:line="276" w:lineRule="auto"/>
      </w:pPr>
      <w:r>
        <w:rPr>
          <w:color w:val="334155"/>
          <w:sz w:val="19"/>
        </w:rPr>
        <w:t>staged investigation/remediation pathway to be implemented post rezoning.</w:t>
      </w:r>
    </w:p>
    <w:p>
      <w:pPr>
        <w:spacing w:before="40" w:after="80" w:line="276" w:lineRule="auto"/>
      </w:pPr>
      <w:r>
        <w:rPr>
          <w:color w:val="334155"/>
          <w:sz w:val="19"/>
        </w:rPr>
        <w:t>`</w:t>
      </w:r>
    </w:p>
    <w:p>
      <w:pPr>
        <w:pStyle w:val="Heading3"/>
        <w:keepNext/>
        <w:spacing w:before="160" w:after="40"/>
      </w:pPr>
      <w:r>
        <w:rPr>
          <w:b/>
          <w:color w:val="334155"/>
        </w:rPr>
        <w:t>Contamination Report Page 11</w:t>
      </w:r>
    </w:p>
    <w:p>
      <w:pPr>
        <w:spacing w:before="40" w:after="80" w:line="276" w:lineRule="auto"/>
      </w:pPr>
      <w:r>
        <w:rPr>
          <w:color w:val="334155"/>
          <w:sz w:val="19"/>
        </w:rPr>
        <w:t>`</w:t>
      </w:r>
    </w:p>
    <w:p>
      <w:pPr>
        <w:spacing w:before="40" w:after="80" w:line="276" w:lineRule="auto"/>
      </w:pPr>
      <w:r>
        <w:rPr>
          <w:color w:val="334155"/>
          <w:sz w:val="19"/>
        </w:rPr>
        <w:t>Project number 531168-000  File MCC PMLU Rezoning_Package B_Contamination Report_Final.docx  2026-07-01  Revision B</w:t>
      </w:r>
    </w:p>
    <w:p>
      <w:pPr>
        <w:spacing w:before="40" w:after="80" w:line="276" w:lineRule="auto"/>
      </w:pPr>
      <w:r>
        <w:rPr>
          <w:color w:val="334155"/>
          <w:sz w:val="19"/>
        </w:rPr>
        <w:t>2</w:t>
      </w:r>
    </w:p>
    <w:p>
      <w:pPr>
        <w:spacing w:before="40" w:after="80" w:line="276" w:lineRule="auto"/>
      </w:pPr>
      <w:r>
        <w:rPr>
          <w:color w:val="334155"/>
          <w:sz w:val="19"/>
        </w:rPr>
        <w:t>1.3</w:t>
      </w:r>
    </w:p>
    <w:p>
      <w:pPr>
        <w:spacing w:before="40" w:after="80" w:line="276" w:lineRule="auto"/>
      </w:pPr>
      <w:r>
        <w:rPr>
          <w:color w:val="334155"/>
          <w:sz w:val="19"/>
        </w:rPr>
        <w:t>Methodology</w:t>
      </w:r>
    </w:p>
    <w:p>
      <w:pPr>
        <w:spacing w:before="40" w:after="80" w:line="276" w:lineRule="auto"/>
      </w:pPr>
      <w:r>
        <w:rPr>
          <w:color w:val="334155"/>
          <w:sz w:val="19"/>
        </w:rPr>
        <w:t>The scope of this CTA comprises five integrated components to achieve the rezoning objectives including:</w:t>
      </w:r>
    </w:p>
    <w:p>
      <w:pPr>
        <w:spacing w:before="40" w:after="80" w:line="276" w:lineRule="auto"/>
      </w:pPr>
      <w:r>
        <w:rPr>
          <w:color w:val="334155"/>
          <w:sz w:val="19"/>
        </w:rPr>
        <w:t>◼ Desktop compilation including a review and synthesis of previous investigations and assessment</w:t>
      </w:r>
    </w:p>
    <w:p>
      <w:pPr>
        <w:spacing w:before="40" w:after="80" w:line="276" w:lineRule="auto"/>
      </w:pPr>
      <w:r>
        <w:rPr>
          <w:color w:val="334155"/>
          <w:sz w:val="19"/>
        </w:rPr>
        <w:t>documents</w:t>
      </w:r>
    </w:p>
    <w:p>
      <w:pPr>
        <w:spacing w:before="40" w:after="80" w:line="276" w:lineRule="auto"/>
      </w:pPr>
      <w:r>
        <w:rPr>
          <w:color w:val="334155"/>
          <w:sz w:val="19"/>
        </w:rPr>
        <w:t>◼ Systematic constraints analysis including the identification of Areas of Environmental Concern (AECs)</w:t>
      </w:r>
    </w:p>
    <w:p>
      <w:pPr>
        <w:spacing w:before="40" w:after="80" w:line="276" w:lineRule="auto"/>
      </w:pPr>
      <w:r>
        <w:rPr>
          <w:color w:val="334155"/>
          <w:sz w:val="19"/>
        </w:rPr>
        <w:t>and assessment of remediation implications under different land use scenarios</w:t>
      </w:r>
    </w:p>
    <w:p>
      <w:pPr>
        <w:spacing w:before="40" w:after="80" w:line="276" w:lineRule="auto"/>
      </w:pPr>
      <w:r>
        <w:rPr>
          <w:color w:val="334155"/>
          <w:sz w:val="19"/>
        </w:rPr>
        <w:t>◼ Development of a Conceptual Site Model (CSM) to integrate source pathway receptor (SPR) linkages</w:t>
      </w:r>
    </w:p>
    <w:p>
      <w:pPr>
        <w:spacing w:before="40" w:after="80" w:line="276" w:lineRule="auto"/>
      </w:pPr>
      <w:r>
        <w:rPr>
          <w:color w:val="334155"/>
          <w:sz w:val="19"/>
        </w:rPr>
        <w:t>across the Precinct and Teralba Southgate</w:t>
      </w:r>
    </w:p>
    <w:p>
      <w:pPr>
        <w:spacing w:before="40" w:after="80" w:line="276" w:lineRule="auto"/>
      </w:pPr>
      <w:r>
        <w:rPr>
          <w:color w:val="334155"/>
          <w:sz w:val="19"/>
        </w:rPr>
        <w:t>◼ Identification of data gaps to inform recommendations for future investigation</w:t>
      </w:r>
    </w:p>
    <w:p>
      <w:pPr>
        <w:spacing w:before="40" w:after="80" w:line="276" w:lineRule="auto"/>
      </w:pPr>
      <w:r>
        <w:rPr>
          <w:color w:val="334155"/>
          <w:sz w:val="19"/>
        </w:rPr>
        <w:t>◼ Development of a management framework to integrate contamination management into the future</w:t>
      </w:r>
    </w:p>
    <w:p>
      <w:pPr>
        <w:spacing w:before="40" w:after="80" w:line="276" w:lineRule="auto"/>
      </w:pPr>
      <w:r>
        <w:rPr>
          <w:color w:val="334155"/>
          <w:sz w:val="19"/>
        </w:rPr>
        <w:t>planning and development approval pathway, including staged investigation triggers, regulatory</w:t>
      </w:r>
    </w:p>
    <w:p>
      <w:pPr>
        <w:spacing w:before="40" w:after="80" w:line="276" w:lineRule="auto"/>
      </w:pPr>
      <w:r>
        <w:rPr>
          <w:color w:val="334155"/>
          <w:sz w:val="19"/>
        </w:rPr>
        <w:t>notification protocols, and interfaces with other engineering and environmental disciplines.</w:t>
      </w:r>
    </w:p>
    <w:p>
      <w:pPr>
        <w:spacing w:before="40" w:after="80" w:line="276" w:lineRule="auto"/>
      </w:pPr>
      <w:r>
        <w:rPr>
          <w:color w:val="334155"/>
          <w:sz w:val="19"/>
        </w:rPr>
        <w:t>`</w:t>
      </w:r>
    </w:p>
    <w:p>
      <w:pPr>
        <w:pStyle w:val="Heading2"/>
        <w:keepNext/>
        <w:spacing w:before="240" w:after="80"/>
      </w:pPr>
      <w:r>
        <w:rPr>
          <w:b/>
          <w:color w:val="0284C7"/>
        </w:rPr>
        <w:t>5. Economic &amp; Market Assessment</w:t>
      </w:r>
    </w:p>
    <w:p>
      <w:pPr>
        <w:pStyle w:val="Heading3"/>
        <w:keepNext/>
        <w:spacing w:before="160" w:after="40"/>
      </w:pPr>
      <w:r>
        <w:rPr>
          <w:b/>
          <w:color w:val="334155"/>
        </w:rPr>
        <w:t>Economics Report Page 5</w:t>
      </w:r>
    </w:p>
    <w:p>
      <w:pPr>
        <w:spacing w:before="40" w:after="80" w:line="276" w:lineRule="auto"/>
      </w:pPr>
      <w:r>
        <w:rPr>
          <w:color w:val="334155"/>
          <w:sz w:val="19"/>
        </w:rPr>
        <w:t>`</w:t>
      </w:r>
    </w:p>
    <w:p>
      <w:pPr>
        <w:spacing w:before="40" w:after="80" w:line="276" w:lineRule="auto"/>
      </w:pPr>
      <w:r>
        <w:rPr>
          <w:color w:val="334155"/>
          <w:sz w:val="19"/>
        </w:rPr>
        <w:t>5</w:t>
      </w:r>
    </w:p>
    <w:p>
      <w:pPr>
        <w:spacing w:before="40" w:after="80" w:line="276" w:lineRule="auto"/>
      </w:pPr>
      <w:r>
        <w:rPr>
          <w:color w:val="334155"/>
          <w:sz w:val="19"/>
        </w:rPr>
        <w:t>Executive summary</w:t>
      </w:r>
    </w:p>
    <w:p>
      <w:pPr>
        <w:spacing w:before="40" w:after="80" w:line="276" w:lineRule="auto"/>
      </w:pPr>
      <w:r>
        <w:rPr>
          <w:color w:val="334155"/>
          <w:sz w:val="19"/>
        </w:rPr>
        <w:t>Lake Macquarie City Council engaged Aurecon to undertake an economic, social and market assessment of</w:t>
      </w:r>
    </w:p>
    <w:p>
      <w:pPr>
        <w:spacing w:before="40" w:after="80" w:line="276" w:lineRule="auto"/>
      </w:pPr>
      <w:r>
        <w:rPr>
          <w:color w:val="334155"/>
          <w:sz w:val="19"/>
        </w:rPr>
        <w:t>redevelopment opportunities for the Macquarie Coal Complex (Precinct) and Teralba Southgate, collectively referred</w:t>
      </w:r>
    </w:p>
    <w:p>
      <w:pPr>
        <w:spacing w:before="40" w:after="80" w:line="276" w:lineRule="auto"/>
      </w:pPr>
      <w:r>
        <w:rPr>
          <w:color w:val="334155"/>
          <w:sz w:val="19"/>
        </w:rPr>
        <w:t>to as the “Site”. The assessment has been undertaken to provide an evidence base for future land use decision-making</w:t>
      </w:r>
    </w:p>
    <w:p>
      <w:pPr>
        <w:spacing w:before="40" w:after="80" w:line="276" w:lineRule="auto"/>
      </w:pPr>
      <w:r>
        <w:rPr>
          <w:color w:val="334155"/>
          <w:sz w:val="19"/>
        </w:rPr>
        <w:t>as the Site transitions through closure and rehabilitation towards productive post-mining uses. This report ("Package</w:t>
      </w:r>
    </w:p>
    <w:p>
      <w:pPr>
        <w:spacing w:before="40" w:after="80" w:line="276" w:lineRule="auto"/>
      </w:pPr>
      <w:r>
        <w:rPr>
          <w:color w:val="334155"/>
          <w:sz w:val="19"/>
        </w:rPr>
        <w:t>E") brings together baseline demographic, labour market, economic, social and market evidence to support the Master</w:t>
      </w:r>
    </w:p>
    <w:p>
      <w:pPr>
        <w:spacing w:before="40" w:after="80" w:line="276" w:lineRule="auto"/>
      </w:pPr>
      <w:r>
        <w:rPr>
          <w:color w:val="334155"/>
          <w:sz w:val="19"/>
        </w:rPr>
        <w:t>Plan process. It tests the land use directions emerging from the Enquiry by Design process and considers their</w:t>
      </w:r>
    </w:p>
    <w:p>
      <w:pPr>
        <w:spacing w:before="40" w:after="80" w:line="276" w:lineRule="auto"/>
      </w:pPr>
      <w:r>
        <w:rPr>
          <w:color w:val="334155"/>
          <w:sz w:val="19"/>
        </w:rPr>
        <w:t>feasibility, economic contribution, social implications, market readiness, risks and dependencies.  The assessment is</w:t>
      </w:r>
    </w:p>
    <w:p>
      <w:pPr>
        <w:spacing w:before="40" w:after="80" w:line="276" w:lineRule="auto"/>
      </w:pPr>
      <w:r>
        <w:rPr>
          <w:color w:val="334155"/>
          <w:sz w:val="19"/>
        </w:rPr>
        <w:t>prepared for an early planning and pre-investment context. It provides a structured evidence base to support land use</w:t>
      </w:r>
    </w:p>
    <w:p>
      <w:pPr>
        <w:spacing w:before="40" w:after="80" w:line="276" w:lineRule="auto"/>
      </w:pPr>
      <w:r>
        <w:rPr>
          <w:color w:val="334155"/>
          <w:sz w:val="19"/>
        </w:rPr>
        <w:t>decision-making, future business case development and further technical testing.</w:t>
      </w:r>
    </w:p>
    <w:p>
      <w:pPr>
        <w:spacing w:before="40" w:after="80" w:line="276" w:lineRule="auto"/>
      </w:pPr>
      <w:r>
        <w:rPr>
          <w:color w:val="334155"/>
          <w:sz w:val="19"/>
        </w:rPr>
        <w:t>Market assessment and land use opportunities for employment</w:t>
      </w:r>
    </w:p>
    <w:p>
      <w:pPr>
        <w:spacing w:before="40" w:after="80" w:line="276" w:lineRule="auto"/>
      </w:pPr>
      <w:r>
        <w:rPr>
          <w:color w:val="334155"/>
          <w:sz w:val="19"/>
        </w:rPr>
        <w:t>The Site's scale, industrial legacy, proximity to established communities, access to regional labour markets and</w:t>
      </w:r>
    </w:p>
    <w:p>
      <w:pPr>
        <w:spacing w:before="40" w:after="80" w:line="276" w:lineRule="auto"/>
      </w:pPr>
      <w:r>
        <w:rPr>
          <w:color w:val="334155"/>
          <w:sz w:val="19"/>
        </w:rPr>
        <w:t>potential infrastructure links favour employment-generating uses. The land use opportunities are grouped into three</w:t>
      </w:r>
    </w:p>
    <w:p>
      <w:pPr>
        <w:spacing w:before="40" w:after="80" w:line="276" w:lineRule="auto"/>
      </w:pPr>
      <w:r>
        <w:rPr>
          <w:color w:val="334155"/>
          <w:sz w:val="19"/>
        </w:rPr>
        <w:t>categories. Table 0-1 summarises land use opportunities by priority, time horizon and employment.</w:t>
      </w:r>
    </w:p>
    <w:p>
      <w:pPr>
        <w:spacing w:before="40" w:after="80" w:line="276" w:lineRule="auto"/>
      </w:pPr>
      <w:r>
        <w:rPr>
          <w:color w:val="334155"/>
          <w:sz w:val="19"/>
        </w:rPr>
        <w:t>Table 0-1: Market assessment summary of potential post-mining land uses1</w:t>
      </w:r>
    </w:p>
    <w:p>
      <w:pPr>
        <w:spacing w:before="40" w:after="80" w:line="276" w:lineRule="auto"/>
      </w:pPr>
      <w:r>
        <w:rPr>
          <w:color w:val="334155"/>
          <w:sz w:val="19"/>
        </w:rPr>
        <w:t>Land use</w:t>
      </w:r>
    </w:p>
    <w:p>
      <w:pPr>
        <w:spacing w:before="40" w:after="80" w:line="276" w:lineRule="auto"/>
      </w:pPr>
      <w:r>
        <w:rPr>
          <w:color w:val="334155"/>
          <w:sz w:val="19"/>
        </w:rPr>
        <w:t>Priority</w:t>
      </w:r>
    </w:p>
    <w:p>
      <w:pPr>
        <w:spacing w:before="40" w:after="80" w:line="276" w:lineRule="auto"/>
      </w:pPr>
      <w:r>
        <w:rPr>
          <w:color w:val="334155"/>
          <w:sz w:val="19"/>
        </w:rPr>
        <w:t>Time horizon</w:t>
      </w:r>
    </w:p>
    <w:p>
      <w:pPr>
        <w:spacing w:before="40" w:after="80" w:line="276" w:lineRule="auto"/>
      </w:pPr>
      <w:r>
        <w:rPr>
          <w:color w:val="334155"/>
          <w:sz w:val="19"/>
        </w:rPr>
        <w:t>Employment</w:t>
      </w:r>
    </w:p>
    <w:p>
      <w:pPr>
        <w:spacing w:before="40" w:after="80" w:line="276" w:lineRule="auto"/>
      </w:pPr>
      <w:r>
        <w:rPr>
          <w:color w:val="334155"/>
          <w:sz w:val="19"/>
        </w:rPr>
        <w:t>generation (ongoing)</w:t>
      </w:r>
    </w:p>
    <w:p>
      <w:pPr>
        <w:spacing w:before="40" w:after="80" w:line="276" w:lineRule="auto"/>
      </w:pPr>
      <w:r>
        <w:rPr>
          <w:color w:val="334155"/>
          <w:sz w:val="19"/>
        </w:rPr>
        <w:t>Key opportunities</w:t>
      </w:r>
    </w:p>
    <w:p>
      <w:pPr>
        <w:spacing w:before="40" w:after="80" w:line="276" w:lineRule="auto"/>
      </w:pPr>
      <w:r>
        <w:rPr>
          <w:color w:val="334155"/>
          <w:sz w:val="19"/>
        </w:rPr>
        <w:t>Circular</w:t>
      </w:r>
    </w:p>
    <w:p>
      <w:pPr>
        <w:spacing w:before="40" w:after="80" w:line="276" w:lineRule="auto"/>
      </w:pPr>
      <w:r>
        <w:rPr>
          <w:color w:val="334155"/>
          <w:sz w:val="19"/>
        </w:rPr>
        <w:t>economy,</w:t>
      </w:r>
    </w:p>
    <w:p>
      <w:pPr>
        <w:spacing w:before="40" w:after="80" w:line="276" w:lineRule="auto"/>
      </w:pPr>
      <w:r>
        <w:rPr>
          <w:color w:val="334155"/>
          <w:sz w:val="19"/>
        </w:rPr>
        <w:t>industrial and</w:t>
      </w:r>
    </w:p>
    <w:p>
      <w:pPr>
        <w:spacing w:before="40" w:after="80" w:line="276" w:lineRule="auto"/>
      </w:pPr>
      <w:r>
        <w:rPr>
          <w:color w:val="334155"/>
          <w:sz w:val="19"/>
        </w:rPr>
        <w:t>advanced</w:t>
      </w:r>
    </w:p>
    <w:p>
      <w:pPr>
        <w:spacing w:before="40" w:after="80" w:line="276" w:lineRule="auto"/>
      </w:pPr>
      <w:r>
        <w:rPr>
          <w:color w:val="334155"/>
          <w:sz w:val="19"/>
        </w:rPr>
        <w:t>manufacturing</w:t>
      </w:r>
    </w:p>
    <w:p>
      <w:pPr>
        <w:spacing w:before="40" w:after="80" w:line="276" w:lineRule="auto"/>
      </w:pPr>
      <w:r>
        <w:rPr>
          <w:color w:val="334155"/>
          <w:sz w:val="19"/>
        </w:rPr>
        <w:t>High</w:t>
      </w:r>
    </w:p>
    <w:p>
      <w:pPr>
        <w:spacing w:before="40" w:after="80" w:line="276" w:lineRule="auto"/>
      </w:pPr>
      <w:r>
        <w:rPr>
          <w:color w:val="334155"/>
          <w:sz w:val="19"/>
        </w:rPr>
        <w:t>Near term</w:t>
      </w:r>
    </w:p>
    <w:p>
      <w:pPr>
        <w:spacing w:before="40" w:after="80" w:line="276" w:lineRule="auto"/>
      </w:pPr>
      <w:r>
        <w:rPr>
          <w:color w:val="334155"/>
          <w:sz w:val="19"/>
        </w:rPr>
        <w:t>(0–5 years)</w:t>
      </w:r>
    </w:p>
    <w:p>
      <w:pPr>
        <w:spacing w:before="40" w:after="80" w:line="276" w:lineRule="auto"/>
      </w:pPr>
      <w:r>
        <w:rPr>
          <w:color w:val="334155"/>
          <w:sz w:val="19"/>
        </w:rPr>
        <w:t>Up to 40 jobs per</w:t>
      </w:r>
    </w:p>
    <w:p>
      <w:pPr>
        <w:spacing w:before="40" w:after="80" w:line="276" w:lineRule="auto"/>
      </w:pPr>
      <w:r>
        <w:rPr>
          <w:color w:val="334155"/>
          <w:sz w:val="19"/>
        </w:rPr>
        <w:t>facility2</w:t>
      </w:r>
    </w:p>
    <w:p>
      <w:pPr>
        <w:spacing w:before="40" w:after="80" w:line="276" w:lineRule="auto"/>
      </w:pPr>
      <w:r>
        <w:rPr>
          <w:color w:val="334155"/>
          <w:sz w:val="19"/>
        </w:rPr>
        <w:t>Integrated circular economy; precision</w:t>
      </w:r>
    </w:p>
    <w:p>
      <w:pPr>
        <w:spacing w:before="40" w:after="80" w:line="276" w:lineRule="auto"/>
      </w:pPr>
      <w:r>
        <w:rPr>
          <w:color w:val="334155"/>
          <w:sz w:val="19"/>
        </w:rPr>
        <w:t>fabrication; advanced industrial and</w:t>
      </w:r>
    </w:p>
    <w:p>
      <w:pPr>
        <w:spacing w:before="40" w:after="80" w:line="276" w:lineRule="auto"/>
      </w:pPr>
      <w:r>
        <w:rPr>
          <w:color w:val="334155"/>
          <w:sz w:val="19"/>
        </w:rPr>
        <w:t>manufacturing uses.</w:t>
      </w:r>
    </w:p>
    <w:p>
      <w:pPr>
        <w:spacing w:before="40" w:after="80" w:line="276" w:lineRule="auto"/>
      </w:pPr>
      <w:r>
        <w:rPr>
          <w:color w:val="334155"/>
          <w:sz w:val="19"/>
        </w:rPr>
        <w:t>Waste and</w:t>
      </w:r>
    </w:p>
    <w:p>
      <w:pPr>
        <w:spacing w:before="40" w:after="80" w:line="276" w:lineRule="auto"/>
      </w:pPr>
      <w:r>
        <w:rPr>
          <w:color w:val="334155"/>
          <w:sz w:val="19"/>
        </w:rPr>
        <w:t>resource</w:t>
      </w:r>
    </w:p>
    <w:p>
      <w:pPr>
        <w:spacing w:before="40" w:after="80" w:line="276" w:lineRule="auto"/>
      </w:pPr>
      <w:r>
        <w:rPr>
          <w:color w:val="334155"/>
          <w:sz w:val="19"/>
        </w:rPr>
        <w:t>recovery</w:t>
      </w:r>
    </w:p>
    <w:p>
      <w:pPr>
        <w:spacing w:before="40" w:after="80" w:line="276" w:lineRule="auto"/>
      </w:pPr>
      <w:r>
        <w:rPr>
          <w:color w:val="334155"/>
          <w:sz w:val="19"/>
        </w:rPr>
        <w:t>High</w:t>
      </w:r>
    </w:p>
    <w:p>
      <w:pPr>
        <w:spacing w:before="40" w:after="80" w:line="276" w:lineRule="auto"/>
      </w:pPr>
      <w:r>
        <w:rPr>
          <w:color w:val="334155"/>
          <w:sz w:val="19"/>
        </w:rPr>
        <w:t>Near term</w:t>
      </w:r>
    </w:p>
    <w:p>
      <w:pPr>
        <w:spacing w:before="40" w:after="80" w:line="276" w:lineRule="auto"/>
      </w:pPr>
      <w:r>
        <w:rPr>
          <w:color w:val="334155"/>
          <w:sz w:val="19"/>
        </w:rPr>
        <w:t>(0–5 years)</w:t>
      </w:r>
    </w:p>
    <w:p>
      <w:pPr>
        <w:spacing w:before="40" w:after="80" w:line="276" w:lineRule="auto"/>
      </w:pPr>
      <w:r>
        <w:rPr>
          <w:color w:val="334155"/>
          <w:sz w:val="19"/>
        </w:rPr>
        <w:t>Up to 100 jobs per</w:t>
      </w:r>
    </w:p>
    <w:p>
      <w:pPr>
        <w:spacing w:before="40" w:after="80" w:line="276" w:lineRule="auto"/>
      </w:pPr>
      <w:r>
        <w:rPr>
          <w:color w:val="334155"/>
          <w:sz w:val="19"/>
        </w:rPr>
        <w:t>facility</w:t>
      </w:r>
    </w:p>
    <w:p>
      <w:pPr>
        <w:spacing w:before="40" w:after="80" w:line="276" w:lineRule="auto"/>
      </w:pPr>
      <w:r>
        <w:rPr>
          <w:color w:val="334155"/>
          <w:sz w:val="19"/>
        </w:rPr>
        <w:t>Accumulating feedstock for circular</w:t>
      </w:r>
    </w:p>
    <w:p>
      <w:pPr>
        <w:spacing w:before="40" w:after="80" w:line="276" w:lineRule="auto"/>
      </w:pPr>
      <w:r>
        <w:rPr>
          <w:color w:val="334155"/>
          <w:sz w:val="19"/>
        </w:rPr>
        <w:t>economy and manufacturing, e.g.</w:t>
      </w:r>
    </w:p>
    <w:p>
      <w:pPr>
        <w:spacing w:before="40" w:after="80" w:line="276" w:lineRule="auto"/>
      </w:pPr>
      <w:r>
        <w:rPr>
          <w:color w:val="334155"/>
          <w:sz w:val="19"/>
        </w:rPr>
        <w:t>Recycling and e-waste facilities.</w:t>
      </w:r>
    </w:p>
    <w:p>
      <w:pPr>
        <w:spacing w:before="40" w:after="80" w:line="276" w:lineRule="auto"/>
      </w:pPr>
      <w:r>
        <w:rPr>
          <w:color w:val="334155"/>
          <w:sz w:val="19"/>
        </w:rPr>
        <w:t>Energy transition</w:t>
      </w:r>
    </w:p>
    <w:p>
      <w:pPr>
        <w:spacing w:before="40" w:after="80" w:line="276" w:lineRule="auto"/>
      </w:pPr>
      <w:r>
        <w:rPr>
          <w:color w:val="334155"/>
          <w:sz w:val="19"/>
        </w:rPr>
        <w:t>and renewable</w:t>
      </w:r>
    </w:p>
    <w:p>
      <w:pPr>
        <w:spacing w:before="40" w:after="80" w:line="276" w:lineRule="auto"/>
      </w:pPr>
      <w:r>
        <w:rPr>
          <w:color w:val="334155"/>
          <w:sz w:val="19"/>
        </w:rPr>
        <w:t>infrastructure</w:t>
      </w:r>
    </w:p>
    <w:p>
      <w:pPr>
        <w:spacing w:before="40" w:after="80" w:line="276" w:lineRule="auto"/>
      </w:pPr>
      <w:r>
        <w:rPr>
          <w:color w:val="334155"/>
          <w:sz w:val="19"/>
        </w:rPr>
        <w:t>High</w:t>
      </w:r>
    </w:p>
    <w:p>
      <w:pPr>
        <w:spacing w:before="40" w:after="80" w:line="276" w:lineRule="auto"/>
      </w:pPr>
      <w:r>
        <w:rPr>
          <w:color w:val="334155"/>
          <w:sz w:val="19"/>
        </w:rPr>
        <w:t>Near-long</w:t>
      </w:r>
    </w:p>
    <w:p>
      <w:pPr>
        <w:spacing w:before="40" w:after="80" w:line="276" w:lineRule="auto"/>
      </w:pPr>
      <w:r>
        <w:rPr>
          <w:color w:val="334155"/>
          <w:sz w:val="19"/>
        </w:rPr>
        <w:t>term</w:t>
      </w:r>
    </w:p>
    <w:p>
      <w:pPr>
        <w:spacing w:before="40" w:after="80" w:line="276" w:lineRule="auto"/>
      </w:pPr>
      <w:r>
        <w:rPr>
          <w:color w:val="334155"/>
          <w:sz w:val="19"/>
        </w:rPr>
        <w:t>(0–5 years)</w:t>
      </w:r>
    </w:p>
    <w:p>
      <w:pPr>
        <w:spacing w:before="40" w:after="80" w:line="276" w:lineRule="auto"/>
      </w:pPr>
      <w:r>
        <w:rPr>
          <w:color w:val="334155"/>
          <w:sz w:val="19"/>
        </w:rPr>
        <w:t>Up to 20 jobs per</w:t>
      </w:r>
    </w:p>
    <w:p>
      <w:pPr>
        <w:spacing w:before="40" w:after="80" w:line="276" w:lineRule="auto"/>
      </w:pPr>
      <w:r>
        <w:rPr>
          <w:color w:val="334155"/>
          <w:sz w:val="19"/>
        </w:rPr>
        <w:t>facility</w:t>
      </w:r>
    </w:p>
    <w:p>
      <w:pPr>
        <w:spacing w:before="40" w:after="80" w:line="276" w:lineRule="auto"/>
      </w:pPr>
      <w:r>
        <w:rPr>
          <w:color w:val="334155"/>
          <w:sz w:val="19"/>
        </w:rPr>
        <w:t>Battery energy storage systems (BESS)</w:t>
      </w:r>
    </w:p>
    <w:p>
      <w:pPr>
        <w:spacing w:before="40" w:after="80" w:line="276" w:lineRule="auto"/>
      </w:pPr>
      <w:r>
        <w:rPr>
          <w:color w:val="334155"/>
          <w:sz w:val="19"/>
        </w:rPr>
        <w:t>and related energy infrastructure.</w:t>
      </w:r>
    </w:p>
    <w:p>
      <w:pPr>
        <w:spacing w:before="40" w:after="80" w:line="276" w:lineRule="auto"/>
      </w:pPr>
      <w:r>
        <w:rPr>
          <w:color w:val="334155"/>
          <w:sz w:val="19"/>
        </w:rPr>
        <w:t>Freight,</w:t>
      </w:r>
    </w:p>
    <w:p>
      <w:pPr>
        <w:spacing w:before="40" w:after="80" w:line="276" w:lineRule="auto"/>
      </w:pPr>
      <w:r>
        <w:rPr>
          <w:color w:val="334155"/>
          <w:sz w:val="19"/>
        </w:rPr>
        <w:t>logistics,</w:t>
      </w:r>
    </w:p>
    <w:p>
      <w:pPr>
        <w:spacing w:before="40" w:after="80" w:line="276" w:lineRule="auto"/>
      </w:pPr>
      <w:r>
        <w:rPr>
          <w:color w:val="334155"/>
          <w:sz w:val="19"/>
        </w:rPr>
        <w:t>distribution and</w:t>
      </w:r>
    </w:p>
    <w:p>
      <w:pPr>
        <w:spacing w:before="40" w:after="80" w:line="276" w:lineRule="auto"/>
      </w:pPr>
      <w:r>
        <w:rPr>
          <w:color w:val="334155"/>
          <w:sz w:val="19"/>
        </w:rPr>
        <w:t>supply chain</w:t>
      </w:r>
    </w:p>
    <w:p>
      <w:pPr>
        <w:spacing w:before="40" w:after="80" w:line="276" w:lineRule="auto"/>
      </w:pPr>
      <w:r>
        <w:rPr>
          <w:color w:val="334155"/>
          <w:sz w:val="19"/>
        </w:rPr>
        <w:t>hub</w:t>
      </w:r>
    </w:p>
    <w:p>
      <w:pPr>
        <w:spacing w:before="40" w:after="80" w:line="276" w:lineRule="auto"/>
      </w:pPr>
      <w:r>
        <w:rPr>
          <w:color w:val="334155"/>
          <w:sz w:val="19"/>
        </w:rPr>
        <w:t>Conditional</w:t>
      </w:r>
    </w:p>
    <w:p>
      <w:pPr>
        <w:spacing w:before="40" w:after="80" w:line="276" w:lineRule="auto"/>
      </w:pPr>
      <w:r>
        <w:rPr>
          <w:color w:val="334155"/>
          <w:sz w:val="19"/>
        </w:rPr>
        <w:t>Long term</w:t>
      </w:r>
    </w:p>
    <w:p>
      <w:pPr>
        <w:spacing w:before="40" w:after="80" w:line="276" w:lineRule="auto"/>
      </w:pPr>
      <w:r>
        <w:rPr>
          <w:color w:val="334155"/>
          <w:sz w:val="19"/>
        </w:rPr>
        <w:t>(15+ years)</w:t>
      </w:r>
    </w:p>
    <w:p>
      <w:pPr>
        <w:spacing w:before="40" w:after="80" w:line="276" w:lineRule="auto"/>
      </w:pPr>
      <w:r>
        <w:rPr>
          <w:color w:val="334155"/>
          <w:sz w:val="19"/>
        </w:rPr>
        <w:t>Up to 400 jobs per</w:t>
      </w:r>
    </w:p>
    <w:p>
      <w:pPr>
        <w:spacing w:before="40" w:after="80" w:line="276" w:lineRule="auto"/>
      </w:pPr>
      <w:r>
        <w:rPr>
          <w:color w:val="334155"/>
          <w:sz w:val="19"/>
        </w:rPr>
        <w:t>facility</w:t>
      </w:r>
    </w:p>
    <w:p>
      <w:pPr>
        <w:spacing w:before="40" w:after="80" w:line="276" w:lineRule="auto"/>
      </w:pPr>
      <w:r>
        <w:rPr>
          <w:color w:val="334155"/>
          <w:sz w:val="19"/>
        </w:rPr>
        <w:t>Expansion of logistics and transport</w:t>
      </w:r>
    </w:p>
    <w:p>
      <w:pPr>
        <w:spacing w:before="40" w:after="80" w:line="276" w:lineRule="auto"/>
      </w:pPr>
      <w:r>
        <w:rPr>
          <w:color w:val="334155"/>
          <w:sz w:val="19"/>
        </w:rPr>
        <w:t>operations; e-commerce hub; cold</w:t>
      </w:r>
    </w:p>
    <w:p>
      <w:pPr>
        <w:spacing w:before="40" w:after="80" w:line="276" w:lineRule="auto"/>
      </w:pPr>
      <w:r>
        <w:rPr>
          <w:color w:val="334155"/>
          <w:sz w:val="19"/>
        </w:rPr>
        <w:t>chain and perishable goods logistics.</w:t>
      </w:r>
    </w:p>
    <w:p>
      <w:pPr>
        <w:spacing w:before="40" w:after="80" w:line="276" w:lineRule="auto"/>
      </w:pPr>
      <w:r>
        <w:rPr>
          <w:color w:val="334155"/>
          <w:sz w:val="19"/>
        </w:rPr>
        <w:t>Data centres</w:t>
      </w:r>
    </w:p>
    <w:p>
      <w:pPr>
        <w:spacing w:before="40" w:after="80" w:line="276" w:lineRule="auto"/>
      </w:pPr>
      <w:r>
        <w:rPr>
          <w:color w:val="334155"/>
          <w:sz w:val="19"/>
        </w:rPr>
        <w:t>and digital</w:t>
      </w:r>
    </w:p>
    <w:p>
      <w:pPr>
        <w:spacing w:before="40" w:after="80" w:line="276" w:lineRule="auto"/>
      </w:pPr>
      <w:r>
        <w:rPr>
          <w:color w:val="334155"/>
          <w:sz w:val="19"/>
        </w:rPr>
        <w:t>infrastructure</w:t>
      </w:r>
    </w:p>
    <w:p>
      <w:pPr>
        <w:spacing w:before="40" w:after="80" w:line="276" w:lineRule="auto"/>
      </w:pPr>
      <w:r>
        <w:rPr>
          <w:color w:val="334155"/>
          <w:sz w:val="19"/>
        </w:rPr>
        <w:t>Conditional</w:t>
      </w:r>
    </w:p>
    <w:p>
      <w:pPr>
        <w:spacing w:before="40" w:after="80" w:line="276" w:lineRule="auto"/>
      </w:pPr>
      <w:r>
        <w:rPr>
          <w:color w:val="334155"/>
          <w:sz w:val="19"/>
        </w:rPr>
        <w:t>Medium-long</w:t>
      </w:r>
    </w:p>
    <w:p>
      <w:pPr>
        <w:spacing w:before="40" w:after="80" w:line="276" w:lineRule="auto"/>
      </w:pPr>
      <w:r>
        <w:rPr>
          <w:color w:val="334155"/>
          <w:sz w:val="19"/>
        </w:rPr>
        <w:t>term</w:t>
      </w:r>
    </w:p>
    <w:p>
      <w:pPr>
        <w:spacing w:before="40" w:after="80" w:line="276" w:lineRule="auto"/>
      </w:pPr>
      <w:r>
        <w:rPr>
          <w:color w:val="334155"/>
          <w:sz w:val="19"/>
        </w:rPr>
        <w:t>(10–15 years)</w:t>
      </w:r>
    </w:p>
    <w:p>
      <w:pPr>
        <w:spacing w:before="40" w:after="80" w:line="276" w:lineRule="auto"/>
      </w:pPr>
      <w:r>
        <w:rPr>
          <w:color w:val="334155"/>
          <w:sz w:val="19"/>
        </w:rPr>
        <w:t>Up to 50 jobs per</w:t>
      </w:r>
    </w:p>
    <w:p>
      <w:pPr>
        <w:spacing w:before="40" w:after="80" w:line="276" w:lineRule="auto"/>
      </w:pPr>
      <w:r>
        <w:rPr>
          <w:color w:val="334155"/>
          <w:sz w:val="19"/>
        </w:rPr>
        <w:t>facility</w:t>
      </w:r>
    </w:p>
    <w:p>
      <w:pPr>
        <w:spacing w:before="40" w:after="80" w:line="276" w:lineRule="auto"/>
      </w:pPr>
      <w:r>
        <w:rPr>
          <w:color w:val="334155"/>
          <w:sz w:val="19"/>
        </w:rPr>
        <w:t>Data storage centres supporting cloud</w:t>
      </w:r>
    </w:p>
    <w:p>
      <w:pPr>
        <w:spacing w:before="40" w:after="80" w:line="276" w:lineRule="auto"/>
      </w:pPr>
      <w:r>
        <w:rPr>
          <w:color w:val="334155"/>
          <w:sz w:val="19"/>
        </w:rPr>
        <w:t>and enterprise clients; small-scale</w:t>
      </w:r>
    </w:p>
    <w:p>
      <w:pPr>
        <w:spacing w:before="40" w:after="80" w:line="276" w:lineRule="auto"/>
      </w:pPr>
      <w:r>
        <w:rPr>
          <w:color w:val="334155"/>
          <w:sz w:val="19"/>
        </w:rPr>
        <w:t>facilities for regional data processing.</w:t>
      </w:r>
    </w:p>
    <w:p>
      <w:pPr>
        <w:spacing w:before="40" w:after="80" w:line="276" w:lineRule="auto"/>
      </w:pPr>
      <w:r>
        <w:rPr>
          <w:color w:val="334155"/>
          <w:sz w:val="19"/>
        </w:rPr>
        <w:t>Community,</w:t>
      </w:r>
    </w:p>
    <w:p>
      <w:pPr>
        <w:spacing w:before="40" w:after="80" w:line="276" w:lineRule="auto"/>
      </w:pPr>
      <w:r>
        <w:rPr>
          <w:color w:val="334155"/>
          <w:sz w:val="19"/>
        </w:rPr>
        <w:t>tourism and</w:t>
      </w:r>
    </w:p>
    <w:p>
      <w:pPr>
        <w:spacing w:before="40" w:after="80" w:line="276" w:lineRule="auto"/>
      </w:pPr>
      <w:r>
        <w:rPr>
          <w:color w:val="334155"/>
          <w:sz w:val="19"/>
        </w:rPr>
        <w:t>agriculture</w:t>
      </w:r>
    </w:p>
    <w:p>
      <w:pPr>
        <w:spacing w:before="40" w:after="80" w:line="276" w:lineRule="auto"/>
      </w:pPr>
      <w:r>
        <w:rPr>
          <w:color w:val="334155"/>
          <w:sz w:val="19"/>
        </w:rPr>
        <w:t>Conditional</w:t>
      </w:r>
    </w:p>
    <w:p>
      <w:pPr>
        <w:spacing w:before="40" w:after="80" w:line="276" w:lineRule="auto"/>
      </w:pPr>
      <w:r>
        <w:rPr>
          <w:color w:val="334155"/>
          <w:sz w:val="19"/>
        </w:rPr>
        <w:t>Near-medium</w:t>
      </w:r>
    </w:p>
    <w:p>
      <w:pPr>
        <w:spacing w:before="40" w:after="80" w:line="276" w:lineRule="auto"/>
      </w:pPr>
      <w:r>
        <w:rPr>
          <w:color w:val="334155"/>
          <w:sz w:val="19"/>
        </w:rPr>
        <w:t>term</w:t>
      </w:r>
    </w:p>
    <w:p>
      <w:pPr>
        <w:spacing w:before="40" w:after="80" w:line="276" w:lineRule="auto"/>
      </w:pPr>
      <w:r>
        <w:rPr>
          <w:color w:val="334155"/>
          <w:sz w:val="19"/>
        </w:rPr>
        <w:t>(5–10 years)</w:t>
      </w:r>
    </w:p>
    <w:p>
      <w:pPr>
        <w:spacing w:before="40" w:after="80" w:line="276" w:lineRule="auto"/>
      </w:pPr>
      <w:r>
        <w:rPr>
          <w:color w:val="334155"/>
          <w:sz w:val="19"/>
        </w:rPr>
        <w:t>Up to 130 jobs per</w:t>
      </w:r>
    </w:p>
    <w:p>
      <w:pPr>
        <w:spacing w:before="40" w:after="80" w:line="276" w:lineRule="auto"/>
      </w:pPr>
      <w:r>
        <w:rPr>
          <w:color w:val="334155"/>
          <w:sz w:val="19"/>
        </w:rPr>
        <w:t>facility</w:t>
      </w:r>
    </w:p>
    <w:p>
      <w:pPr>
        <w:spacing w:before="40" w:after="80" w:line="276" w:lineRule="auto"/>
      </w:pPr>
      <w:r>
        <w:rPr>
          <w:color w:val="334155"/>
          <w:sz w:val="19"/>
        </w:rPr>
        <w:t>Open spaces; visitor economy and</w:t>
      </w:r>
    </w:p>
    <w:p>
      <w:pPr>
        <w:spacing w:before="40" w:after="80" w:line="276" w:lineRule="auto"/>
      </w:pPr>
      <w:r>
        <w:rPr>
          <w:color w:val="334155"/>
          <w:sz w:val="19"/>
        </w:rPr>
        <w:t>eco-tourism; cultural experiences; and</w:t>
      </w:r>
    </w:p>
    <w:p>
      <w:pPr>
        <w:spacing w:before="40" w:after="80" w:line="276" w:lineRule="auto"/>
      </w:pPr>
      <w:r>
        <w:rPr>
          <w:color w:val="334155"/>
          <w:sz w:val="19"/>
        </w:rPr>
        <w:t>controlled environment agriculture.</w:t>
      </w:r>
    </w:p>
    <w:p>
      <w:pPr>
        <w:spacing w:before="40" w:after="80" w:line="276" w:lineRule="auto"/>
      </w:pPr>
      <w:r>
        <w:rPr>
          <w:color w:val="334155"/>
          <w:sz w:val="19"/>
        </w:rPr>
        <w:t>Residential</w:t>
      </w:r>
    </w:p>
    <w:p>
      <w:pPr>
        <w:spacing w:before="40" w:after="80" w:line="276" w:lineRule="auto"/>
      </w:pPr>
      <w:r>
        <w:rPr>
          <w:color w:val="334155"/>
          <w:sz w:val="19"/>
        </w:rPr>
        <w:t>Complemen-</w:t>
      </w:r>
    </w:p>
    <w:p>
      <w:pPr>
        <w:spacing w:before="40" w:after="80" w:line="276" w:lineRule="auto"/>
      </w:pPr>
      <w:r>
        <w:rPr>
          <w:color w:val="334155"/>
          <w:sz w:val="19"/>
        </w:rPr>
        <w:t>tary</w:t>
      </w:r>
    </w:p>
    <w:p>
      <w:pPr>
        <w:spacing w:before="40" w:after="80" w:line="276" w:lineRule="auto"/>
      </w:pPr>
      <w:r>
        <w:rPr>
          <w:color w:val="334155"/>
          <w:sz w:val="19"/>
        </w:rPr>
        <w:t>Near-medium</w:t>
      </w:r>
    </w:p>
    <w:p>
      <w:pPr>
        <w:spacing w:before="40" w:after="80" w:line="276" w:lineRule="auto"/>
      </w:pPr>
      <w:r>
        <w:rPr>
          <w:color w:val="334155"/>
          <w:sz w:val="19"/>
        </w:rPr>
        <w:t>term</w:t>
      </w:r>
    </w:p>
    <w:p>
      <w:pPr>
        <w:spacing w:before="40" w:after="80" w:line="276" w:lineRule="auto"/>
      </w:pPr>
      <w:r>
        <w:rPr>
          <w:color w:val="334155"/>
          <w:sz w:val="19"/>
        </w:rPr>
        <w:t>(5–10 years)</w:t>
      </w:r>
    </w:p>
    <w:p>
      <w:pPr>
        <w:spacing w:before="40" w:after="80" w:line="276" w:lineRule="auto"/>
      </w:pPr>
      <w:r>
        <w:rPr>
          <w:color w:val="334155"/>
          <w:sz w:val="19"/>
        </w:rPr>
        <w:t>Up to 50 jobs per</w:t>
      </w:r>
    </w:p>
    <w:p>
      <w:pPr>
        <w:spacing w:before="40" w:after="80" w:line="276" w:lineRule="auto"/>
      </w:pPr>
      <w:r>
        <w:rPr>
          <w:color w:val="334155"/>
          <w:sz w:val="19"/>
        </w:rPr>
        <w:t>facility3</w:t>
      </w:r>
    </w:p>
    <w:p>
      <w:pPr>
        <w:spacing w:before="40" w:after="80" w:line="276" w:lineRule="auto"/>
      </w:pPr>
      <w:r>
        <w:rPr>
          <w:color w:val="334155"/>
          <w:sz w:val="19"/>
        </w:rPr>
        <w:t>Residential development and senior</w:t>
      </w:r>
    </w:p>
    <w:p>
      <w:pPr>
        <w:spacing w:before="40" w:after="80" w:line="276" w:lineRule="auto"/>
      </w:pPr>
      <w:r>
        <w:rPr>
          <w:color w:val="334155"/>
          <w:sz w:val="19"/>
        </w:rPr>
        <w:t>living.</w:t>
      </w:r>
    </w:p>
    <w:p>
      <w:pPr>
        <w:spacing w:before="40" w:after="80" w:line="276" w:lineRule="auto"/>
      </w:pPr>
      <w:r>
        <w:rPr>
          <w:color w:val="334155"/>
          <w:sz w:val="19"/>
        </w:rPr>
        <w:t>Education,</w:t>
      </w:r>
    </w:p>
    <w:p>
      <w:pPr>
        <w:spacing w:before="40" w:after="80" w:line="276" w:lineRule="auto"/>
      </w:pPr>
      <w:r>
        <w:rPr>
          <w:color w:val="334155"/>
          <w:sz w:val="19"/>
        </w:rPr>
        <w:t>research and</w:t>
      </w:r>
    </w:p>
    <w:p>
      <w:pPr>
        <w:spacing w:before="40" w:after="80" w:line="276" w:lineRule="auto"/>
      </w:pPr>
      <w:r>
        <w:rPr>
          <w:color w:val="334155"/>
          <w:sz w:val="19"/>
        </w:rPr>
        <w:t>innovation</w:t>
      </w:r>
    </w:p>
    <w:p>
      <w:pPr>
        <w:spacing w:before="40" w:after="80" w:line="276" w:lineRule="auto"/>
      </w:pPr>
      <w:r>
        <w:rPr>
          <w:color w:val="334155"/>
          <w:sz w:val="19"/>
        </w:rPr>
        <w:t>Optional</w:t>
      </w:r>
    </w:p>
    <w:p>
      <w:pPr>
        <w:spacing w:before="40" w:after="80" w:line="276" w:lineRule="auto"/>
      </w:pPr>
      <w:r>
        <w:rPr>
          <w:color w:val="334155"/>
          <w:sz w:val="19"/>
        </w:rPr>
        <w:t>Long term</w:t>
      </w:r>
    </w:p>
    <w:p>
      <w:pPr>
        <w:spacing w:before="40" w:after="80" w:line="276" w:lineRule="auto"/>
      </w:pPr>
      <w:r>
        <w:rPr>
          <w:color w:val="334155"/>
          <w:sz w:val="19"/>
        </w:rPr>
        <w:t>(15+ years)</w:t>
      </w:r>
    </w:p>
    <w:p>
      <w:pPr>
        <w:spacing w:before="40" w:after="80" w:line="276" w:lineRule="auto"/>
      </w:pPr>
      <w:r>
        <w:rPr>
          <w:color w:val="334155"/>
          <w:sz w:val="19"/>
        </w:rPr>
        <w:t>Not assessed for</w:t>
      </w:r>
    </w:p>
    <w:p>
      <w:pPr>
        <w:spacing w:before="40" w:after="80" w:line="276" w:lineRule="auto"/>
      </w:pPr>
      <w:r>
        <w:rPr>
          <w:color w:val="334155"/>
          <w:sz w:val="19"/>
        </w:rPr>
        <w:t>optional land use</w:t>
      </w:r>
    </w:p>
    <w:p>
      <w:pPr>
        <w:spacing w:before="40" w:after="80" w:line="276" w:lineRule="auto"/>
      </w:pPr>
      <w:r>
        <w:rPr>
          <w:color w:val="334155"/>
          <w:sz w:val="19"/>
        </w:rPr>
        <w:t>Clean technology innovation hub;</w:t>
      </w:r>
    </w:p>
    <w:p>
      <w:pPr>
        <w:spacing w:before="40" w:after="80" w:line="276" w:lineRule="auto"/>
      </w:pPr>
      <w:r>
        <w:rPr>
          <w:color w:val="334155"/>
          <w:sz w:val="19"/>
        </w:rPr>
        <w:t>energy transition training and</w:t>
      </w:r>
    </w:p>
    <w:p>
      <w:pPr>
        <w:spacing w:before="40" w:after="80" w:line="276" w:lineRule="auto"/>
      </w:pPr>
      <w:r>
        <w:rPr>
          <w:color w:val="334155"/>
          <w:sz w:val="19"/>
        </w:rPr>
        <w:t>workforce development centres.</w:t>
      </w:r>
    </w:p>
    <w:p>
      <w:pPr>
        <w:spacing w:before="40" w:after="80" w:line="276" w:lineRule="auto"/>
      </w:pPr>
      <w:r>
        <w:rPr>
          <w:color w:val="334155"/>
          <w:sz w:val="19"/>
        </w:rPr>
        <w:t>1 Note: Excludes construction jobs.</w:t>
      </w:r>
    </w:p>
    <w:p>
      <w:pPr>
        <w:spacing w:before="40" w:after="80" w:line="276" w:lineRule="auto"/>
      </w:pPr>
      <w:r>
        <w:rPr>
          <w:color w:val="334155"/>
          <w:sz w:val="19"/>
        </w:rPr>
        <w:t>2 Up to 40 jobs per facility, noting that these will use more robotics than traditional manufacturing.</w:t>
      </w:r>
    </w:p>
    <w:p>
      <w:pPr>
        <w:spacing w:before="40" w:after="80" w:line="276" w:lineRule="auto"/>
      </w:pPr>
      <w:r>
        <w:rPr>
          <w:color w:val="334155"/>
          <w:sz w:val="19"/>
        </w:rPr>
        <w:t>3 Note: Applies to Senior Living facilities.</w:t>
      </w:r>
    </w:p>
    <w:p>
      <w:pPr>
        <w:spacing w:before="40" w:after="80" w:line="276" w:lineRule="auto"/>
      </w:pPr>
      <w:r>
        <w:rPr>
          <w:color w:val="334155"/>
          <w:sz w:val="19"/>
        </w:rPr>
        <w:t>`</w:t>
      </w:r>
    </w:p>
    <w:p>
      <w:pPr>
        <w:pStyle w:val="Heading3"/>
        <w:keepNext/>
        <w:spacing w:before="160" w:after="40"/>
      </w:pPr>
      <w:r>
        <w:rPr>
          <w:b/>
          <w:color w:val="334155"/>
        </w:rPr>
        <w:t>Economics Report Page 6</w:t>
      </w:r>
    </w:p>
    <w:p>
      <w:pPr>
        <w:spacing w:before="40" w:after="80" w:line="276" w:lineRule="auto"/>
      </w:pPr>
      <w:r>
        <w:rPr>
          <w:color w:val="334155"/>
          <w:sz w:val="19"/>
        </w:rPr>
        <w:t>`</w:t>
      </w:r>
    </w:p>
    <w:p>
      <w:pPr>
        <w:spacing w:before="40" w:after="80" w:line="276" w:lineRule="auto"/>
      </w:pPr>
      <w:r>
        <w:rPr>
          <w:color w:val="334155"/>
          <w:sz w:val="19"/>
        </w:rPr>
        <w:t>6</w:t>
      </w:r>
    </w:p>
    <w:p>
      <w:pPr>
        <w:spacing w:before="40" w:after="80" w:line="276" w:lineRule="auto"/>
      </w:pPr>
      <w:r>
        <w:rPr>
          <w:color w:val="334155"/>
          <w:sz w:val="19"/>
        </w:rPr>
        <w:t>The categories above reflect the relative readiness and strategic role of each land use within the Site, having regard to</w:t>
      </w:r>
    </w:p>
    <w:p>
      <w:pPr>
        <w:spacing w:before="40" w:after="80" w:line="276" w:lineRule="auto"/>
      </w:pPr>
      <w:r>
        <w:rPr>
          <w:color w:val="334155"/>
          <w:sz w:val="19"/>
        </w:rPr>
        <w:t>market demand, alignment with site attributes, infrastructure and servicing requirements, and the extent of further</w:t>
      </w:r>
    </w:p>
    <w:p>
      <w:pPr>
        <w:spacing w:before="40" w:after="80" w:line="276" w:lineRule="auto"/>
      </w:pPr>
      <w:r>
        <w:rPr>
          <w:color w:val="334155"/>
          <w:sz w:val="19"/>
        </w:rPr>
        <w:t>investigation and delivery planning required. These are defined below:</w:t>
      </w:r>
    </w:p>
    <w:p>
      <w:pPr>
        <w:spacing w:before="40" w:after="80" w:line="276" w:lineRule="auto"/>
      </w:pPr>
      <w:r>
        <w:rPr>
          <w:color w:val="334155"/>
          <w:sz w:val="19"/>
        </w:rPr>
        <w:t>▪ Highly feasible: circular economy, industrial and advanced manufacturing, waste and resource recovery, and</w:t>
      </w:r>
    </w:p>
    <w:p>
      <w:pPr>
        <w:spacing w:before="40" w:after="80" w:line="276" w:lineRule="auto"/>
      </w:pPr>
      <w:r>
        <w:rPr>
          <w:color w:val="334155"/>
          <w:sz w:val="19"/>
        </w:rPr>
        <w:t>energy transition infrastructure and renewables. These uses have near-term feasibility, alignment with the</w:t>
      </w:r>
    </w:p>
    <w:p>
      <w:pPr>
        <w:spacing w:before="40" w:after="80" w:line="276" w:lineRule="auto"/>
      </w:pPr>
      <w:r>
        <w:rPr>
          <w:color w:val="334155"/>
          <w:sz w:val="19"/>
        </w:rPr>
        <w:t>Site's scale, industrial legacy and workforce. They can proceed earliest and anchor investment.</w:t>
      </w:r>
    </w:p>
    <w:p>
      <w:pPr>
        <w:spacing w:before="40" w:after="80" w:line="276" w:lineRule="auto"/>
      </w:pPr>
      <w:r>
        <w:rPr>
          <w:color w:val="334155"/>
          <w:sz w:val="19"/>
        </w:rPr>
        <w:t>▪ Conditional: freight and logistics, data centres, and community, tourism and agriculture. These uses have</w:t>
      </w:r>
    </w:p>
    <w:p>
      <w:pPr>
        <w:spacing w:before="40" w:after="80" w:line="276" w:lineRule="auto"/>
      </w:pPr>
      <w:r>
        <w:rPr>
          <w:color w:val="334155"/>
          <w:sz w:val="19"/>
        </w:rPr>
        <w:t>strategic merit but depend on conditions being met first, principally infrastructure capacity, market maturity,</w:t>
      </w:r>
    </w:p>
    <w:p>
      <w:pPr>
        <w:spacing w:before="40" w:after="80" w:line="276" w:lineRule="auto"/>
      </w:pPr>
      <w:r>
        <w:rPr>
          <w:color w:val="334155"/>
          <w:sz w:val="19"/>
        </w:rPr>
        <w:t>anchor tenants and policy support. They are sequenced to later horizons as those conditions are resolved.</w:t>
      </w:r>
    </w:p>
    <w:p>
      <w:pPr>
        <w:spacing w:before="40" w:after="80" w:line="276" w:lineRule="auto"/>
      </w:pPr>
      <w:r>
        <w:rPr>
          <w:color w:val="334155"/>
          <w:sz w:val="19"/>
        </w:rPr>
        <w:t>▪ Complementary: residential uses support the Site's function, liveability and public benefit but are not the</w:t>
      </w:r>
    </w:p>
    <w:p>
      <w:pPr>
        <w:spacing w:before="40" w:after="80" w:line="276" w:lineRule="auto"/>
      </w:pPr>
      <w:r>
        <w:rPr>
          <w:color w:val="334155"/>
          <w:sz w:val="19"/>
        </w:rPr>
        <w:t>primary economic drivers.</w:t>
      </w:r>
    </w:p>
    <w:p>
      <w:pPr>
        <w:spacing w:before="40" w:after="80" w:line="276" w:lineRule="auto"/>
      </w:pPr>
      <w:r>
        <w:rPr>
          <w:color w:val="334155"/>
          <w:sz w:val="19"/>
        </w:rPr>
        <w:t>The Site’s key opportunity lies in its flexibility to accommodate a range of employment-generating, infrastructure-led</w:t>
      </w:r>
    </w:p>
    <w:p>
      <w:pPr>
        <w:spacing w:before="40" w:after="80" w:line="276" w:lineRule="auto"/>
      </w:pPr>
      <w:r>
        <w:rPr>
          <w:color w:val="334155"/>
          <w:sz w:val="19"/>
        </w:rPr>
        <w:t>and complementary uses as market, infrastructure and policy conditions evolve. In total, these uses have the</w:t>
      </w:r>
    </w:p>
    <w:p>
      <w:pPr>
        <w:spacing w:before="40" w:after="80" w:line="276" w:lineRule="auto"/>
      </w:pPr>
      <w:r>
        <w:rPr>
          <w:color w:val="334155"/>
          <w:sz w:val="19"/>
        </w:rPr>
        <w:t>potential to support around 1,130 ongoing jobs.</w:t>
      </w:r>
    </w:p>
    <w:p>
      <w:pPr>
        <w:spacing w:before="40" w:after="80" w:line="276" w:lineRule="auto"/>
      </w:pPr>
      <w:r>
        <w:rPr>
          <w:color w:val="334155"/>
          <w:sz w:val="19"/>
        </w:rPr>
        <w:t>Social implications and consideration for land use</w:t>
      </w:r>
    </w:p>
    <w:p>
      <w:pPr>
        <w:spacing w:before="40" w:after="80" w:line="276" w:lineRule="auto"/>
      </w:pPr>
      <w:r>
        <w:rPr>
          <w:color w:val="334155"/>
          <w:sz w:val="19"/>
        </w:rPr>
        <w:t>▪ Minimising social impacts and sustaining social outcomes will depend on how effectively economic benefits</w:t>
      </w:r>
    </w:p>
    <w:p>
      <w:pPr>
        <w:spacing w:before="40" w:after="80" w:line="276" w:lineRule="auto"/>
      </w:pPr>
      <w:r>
        <w:rPr>
          <w:color w:val="334155"/>
          <w:sz w:val="19"/>
        </w:rPr>
        <w:t>are accessed, shared and supported over time.</w:t>
      </w:r>
    </w:p>
    <w:p>
      <w:pPr>
        <w:spacing w:before="40" w:after="80" w:line="276" w:lineRule="auto"/>
      </w:pPr>
      <w:r>
        <w:rPr>
          <w:color w:val="334155"/>
          <w:sz w:val="19"/>
        </w:rPr>
        <w:t>▪ Transport access is the key consideration across all land uses. Limited public transport accessibility will</w:t>
      </w:r>
    </w:p>
    <w:p>
      <w:pPr>
        <w:spacing w:before="40" w:after="80" w:line="276" w:lineRule="auto"/>
      </w:pPr>
      <w:r>
        <w:rPr>
          <w:color w:val="334155"/>
          <w:sz w:val="19"/>
        </w:rPr>
        <w:t>reduce future access to jobs and services, particularly for lower-income households, older residents, people</w:t>
      </w:r>
    </w:p>
    <w:p>
      <w:pPr>
        <w:spacing w:before="40" w:after="80" w:line="276" w:lineRule="auto"/>
      </w:pPr>
      <w:r>
        <w:rPr>
          <w:color w:val="334155"/>
          <w:sz w:val="19"/>
        </w:rPr>
        <w:t>with disabilities and those without private vehicles.</w:t>
      </w:r>
    </w:p>
    <w:p>
      <w:pPr>
        <w:spacing w:before="40" w:after="80" w:line="276" w:lineRule="auto"/>
      </w:pPr>
      <w:r>
        <w:rPr>
          <w:color w:val="334155"/>
          <w:sz w:val="19"/>
        </w:rPr>
        <w:t>▪ Employment-generating uses (freight, logistics, data centres) offer strong economic potential but introduce</w:t>
      </w:r>
    </w:p>
    <w:p>
      <w:pPr>
        <w:spacing w:before="40" w:after="80" w:line="276" w:lineRule="auto"/>
      </w:pPr>
      <w:r>
        <w:rPr>
          <w:color w:val="334155"/>
          <w:sz w:val="19"/>
        </w:rPr>
        <w:t>trade-offs such as increased traffic, amenity impacts and pressure on local services. Industrial and circular</w:t>
      </w:r>
    </w:p>
    <w:p>
      <w:pPr>
        <w:spacing w:before="40" w:after="80" w:line="276" w:lineRule="auto"/>
      </w:pPr>
      <w:r>
        <w:rPr>
          <w:color w:val="334155"/>
          <w:sz w:val="19"/>
        </w:rPr>
        <w:t>economy uses align with regional transition objectives, but their social outcomes depend on how well impacts</w:t>
      </w:r>
    </w:p>
    <w:p>
      <w:pPr>
        <w:spacing w:before="40" w:after="80" w:line="276" w:lineRule="auto"/>
      </w:pPr>
      <w:r>
        <w:rPr>
          <w:color w:val="334155"/>
          <w:sz w:val="19"/>
        </w:rPr>
        <w:t>are managed and local workforce pathways are enabled.</w:t>
      </w:r>
    </w:p>
    <w:p>
      <w:pPr>
        <w:spacing w:before="40" w:after="80" w:line="276" w:lineRule="auto"/>
      </w:pPr>
      <w:r>
        <w:rPr>
          <w:color w:val="334155"/>
          <w:sz w:val="19"/>
        </w:rPr>
        <w:t>▪ Complementary uses (community infrastructure, housing, recreation, health services) are likely to deliver</w:t>
      </w:r>
    </w:p>
    <w:p>
      <w:pPr>
        <w:spacing w:before="40" w:after="80" w:line="276" w:lineRule="auto"/>
      </w:pPr>
      <w:r>
        <w:rPr>
          <w:color w:val="334155"/>
          <w:sz w:val="19"/>
        </w:rPr>
        <w:t>more direct social benefits, supporting liveability, wellbeing and place identity.</w:t>
      </w:r>
    </w:p>
    <w:p>
      <w:pPr>
        <w:spacing w:before="40" w:after="80" w:line="276" w:lineRule="auto"/>
      </w:pPr>
      <w:r>
        <w:rPr>
          <w:color w:val="334155"/>
          <w:sz w:val="19"/>
        </w:rPr>
        <w:t>▪ Cumulative impacts from workforce growth, concurrent regional activity, and construction and operational</w:t>
      </w:r>
    </w:p>
    <w:p>
      <w:pPr>
        <w:spacing w:before="40" w:after="80" w:line="276" w:lineRule="auto"/>
      </w:pPr>
      <w:r>
        <w:rPr>
          <w:color w:val="334155"/>
          <w:sz w:val="19"/>
        </w:rPr>
        <w:t>phases will increase demand for housing and services and require coordinated planning.</w:t>
      </w:r>
    </w:p>
    <w:p>
      <w:pPr>
        <w:spacing w:before="40" w:after="80" w:line="276" w:lineRule="auto"/>
      </w:pPr>
      <w:r>
        <w:rPr>
          <w:color w:val="334155"/>
          <w:sz w:val="19"/>
        </w:rPr>
        <w:t>▪ Social outcomes can be strengthened through improved transport access, local employment pathways,</w:t>
      </w:r>
    </w:p>
    <w:p>
      <w:pPr>
        <w:spacing w:before="40" w:after="80" w:line="276" w:lineRule="auto"/>
      </w:pPr>
      <w:r>
        <w:rPr>
          <w:color w:val="334155"/>
          <w:sz w:val="19"/>
        </w:rPr>
        <w:t>Aboriginal participation and community benefit sharing.</w:t>
      </w:r>
    </w:p>
    <w:p>
      <w:pPr>
        <w:spacing w:before="40" w:after="80" w:line="276" w:lineRule="auto"/>
      </w:pPr>
      <w:r>
        <w:rPr>
          <w:color w:val="334155"/>
          <w:sz w:val="19"/>
        </w:rPr>
        <w:t>Key concluding considerations and next steps</w:t>
      </w:r>
    </w:p>
    <w:p>
      <w:pPr>
        <w:spacing w:before="40" w:after="80" w:line="276" w:lineRule="auto"/>
      </w:pPr>
      <w:r>
        <w:rPr>
          <w:color w:val="334155"/>
          <w:sz w:val="19"/>
        </w:rPr>
        <w:t>▪ The Site has credible potential to contribute to Lake Macquarie's economic transition and employment land</w:t>
      </w:r>
    </w:p>
    <w:p>
      <w:pPr>
        <w:spacing w:before="40" w:after="80" w:line="276" w:lineRule="auto"/>
      </w:pPr>
      <w:r>
        <w:rPr>
          <w:color w:val="334155"/>
          <w:sz w:val="19"/>
        </w:rPr>
        <w:t>supply and is not immediately market-ready for all uses. Success will depend on staged de-risking, clear</w:t>
      </w:r>
    </w:p>
    <w:p>
      <w:pPr>
        <w:spacing w:before="40" w:after="80" w:line="276" w:lineRule="auto"/>
      </w:pPr>
      <w:r>
        <w:rPr>
          <w:color w:val="334155"/>
          <w:sz w:val="19"/>
        </w:rPr>
        <w:t>planning pathways, infrastructure sequencing, targeted market testing and land use flexibility.</w:t>
      </w:r>
    </w:p>
    <w:p>
      <w:pPr>
        <w:spacing w:before="40" w:after="80" w:line="276" w:lineRule="auto"/>
      </w:pPr>
      <w:r>
        <w:rPr>
          <w:color w:val="334155"/>
          <w:sz w:val="19"/>
        </w:rPr>
        <w:t>▪ The social findings highlight key considerations which require careful planning, further investigation and</w:t>
      </w:r>
    </w:p>
    <w:p>
      <w:pPr>
        <w:spacing w:before="40" w:after="80" w:line="276" w:lineRule="auto"/>
      </w:pPr>
      <w:r>
        <w:rPr>
          <w:color w:val="334155"/>
          <w:sz w:val="19"/>
        </w:rPr>
        <w:t>engagement with the community. Future decisions should not weigh only on the number of jobs or scale of</w:t>
      </w:r>
    </w:p>
    <w:p>
      <w:pPr>
        <w:spacing w:before="40" w:after="80" w:line="276" w:lineRule="auto"/>
      </w:pPr>
      <w:r>
        <w:rPr>
          <w:color w:val="334155"/>
          <w:sz w:val="19"/>
        </w:rPr>
        <w:t>investment, but whether benefits are accessible, locally captured and supported by housing, transport, social</w:t>
      </w:r>
    </w:p>
    <w:p>
      <w:pPr>
        <w:spacing w:before="40" w:after="80" w:line="276" w:lineRule="auto"/>
      </w:pPr>
      <w:r>
        <w:rPr>
          <w:color w:val="334155"/>
          <w:sz w:val="19"/>
        </w:rPr>
        <w:t>infrastructure and biodiversity outcomes.</w:t>
      </w:r>
    </w:p>
    <w:p>
      <w:pPr>
        <w:spacing w:before="40" w:after="80" w:line="276" w:lineRule="auto"/>
      </w:pPr>
      <w:r>
        <w:rPr>
          <w:color w:val="334155"/>
          <w:sz w:val="19"/>
        </w:rPr>
        <w:t>▪ This assessment recommends a pragmatic approach to prioritise feasible employment-generating uses</w:t>
      </w:r>
    </w:p>
    <w:p>
      <w:pPr>
        <w:spacing w:before="40" w:after="80" w:line="276" w:lineRule="auto"/>
      </w:pPr>
      <w:r>
        <w:rPr>
          <w:color w:val="334155"/>
          <w:sz w:val="19"/>
        </w:rPr>
        <w:t>and protect longer-term optionality.</w:t>
      </w:r>
    </w:p>
    <w:p>
      <w:pPr>
        <w:spacing w:before="40" w:after="80" w:line="276" w:lineRule="auto"/>
      </w:pPr>
      <w:r>
        <w:rPr>
          <w:color w:val="334155"/>
          <w:sz w:val="19"/>
        </w:rPr>
        <w:t>▪ Advance to Business Case development for high priority near term uses, building on this assessment</w:t>
      </w:r>
    </w:p>
    <w:p>
      <w:pPr>
        <w:spacing w:before="40" w:after="80" w:line="276" w:lineRule="auto"/>
      </w:pPr>
      <w:r>
        <w:rPr>
          <w:color w:val="334155"/>
          <w:sz w:val="19"/>
        </w:rPr>
        <w:t>through refined technical studies, commercial analysis, and stakeholder validation to support an informed</w:t>
      </w:r>
    </w:p>
    <w:p>
      <w:pPr>
        <w:spacing w:before="40" w:after="80" w:line="276" w:lineRule="auto"/>
      </w:pPr>
      <w:r>
        <w:rPr>
          <w:color w:val="334155"/>
          <w:sz w:val="19"/>
        </w:rPr>
        <w:t>investment decision.</w:t>
      </w:r>
    </w:p>
    <w:p>
      <w:pPr>
        <w:spacing w:before="40" w:after="80" w:line="276" w:lineRule="auto"/>
      </w:pPr>
      <w:r>
        <w:rPr>
          <w:color w:val="334155"/>
          <w:sz w:val="19"/>
        </w:rPr>
        <w:t>`</w:t>
      </w:r>
    </w:p>
    <w:p>
      <w:pPr>
        <w:pStyle w:val="Heading3"/>
        <w:keepNext/>
        <w:spacing w:before="160" w:after="40"/>
      </w:pPr>
      <w:r>
        <w:rPr>
          <w:b/>
          <w:color w:val="334155"/>
        </w:rPr>
        <w:t>Economics Report Page 7</w:t>
      </w:r>
    </w:p>
    <w:p>
      <w:pPr>
        <w:spacing w:before="40" w:after="80" w:line="276" w:lineRule="auto"/>
      </w:pPr>
      <w:r>
        <w:rPr>
          <w:color w:val="334155"/>
          <w:sz w:val="19"/>
        </w:rPr>
        <w:t>`</w:t>
      </w:r>
    </w:p>
    <w:p>
      <w:pPr>
        <w:spacing w:before="40" w:after="80" w:line="276" w:lineRule="auto"/>
      </w:pPr>
      <w:r>
        <w:rPr>
          <w:color w:val="334155"/>
          <w:sz w:val="19"/>
        </w:rPr>
        <w:t>7</w:t>
      </w:r>
    </w:p>
    <w:p>
      <w:pPr>
        <w:spacing w:before="40" w:after="80" w:line="276" w:lineRule="auto"/>
      </w:pPr>
      <w:r>
        <w:rPr>
          <w:color w:val="334155"/>
          <w:sz w:val="19"/>
        </w:rPr>
        <w:t>Contents</w:t>
      </w:r>
    </w:p>
    <w:p>
      <w:pPr>
        <w:spacing w:before="40" w:after="80" w:line="276" w:lineRule="auto"/>
      </w:pPr>
      <w:r>
        <w:rPr>
          <w:color w:val="334155"/>
          <w:sz w:val="19"/>
        </w:rPr>
        <w:t>Disclaimer ....................................................................................................................................................... 3</w:t>
      </w:r>
    </w:p>
    <w:p>
      <w:pPr>
        <w:spacing w:before="40" w:after="80" w:line="276" w:lineRule="auto"/>
      </w:pPr>
      <w:r>
        <w:rPr>
          <w:color w:val="334155"/>
          <w:sz w:val="19"/>
        </w:rPr>
        <w:t>Executive summary .......................................................................................................................................... 5</w:t>
      </w:r>
    </w:p>
    <w:p>
      <w:pPr>
        <w:spacing w:before="40" w:after="80" w:line="276" w:lineRule="auto"/>
      </w:pPr>
      <w:r>
        <w:rPr>
          <w:color w:val="334155"/>
          <w:sz w:val="19"/>
        </w:rPr>
        <w:t>Part A: Land use assessment ............................................................................................................................ 1</w:t>
      </w:r>
    </w:p>
    <w:p>
      <w:pPr>
        <w:spacing w:before="40" w:after="80" w:line="276" w:lineRule="auto"/>
      </w:pPr>
      <w:r>
        <w:rPr>
          <w:color w:val="334155"/>
          <w:sz w:val="19"/>
        </w:rPr>
        <w:t>1</w:t>
      </w:r>
    </w:p>
    <w:p>
      <w:pPr>
        <w:spacing w:before="40" w:after="80" w:line="276" w:lineRule="auto"/>
      </w:pPr>
      <w:r>
        <w:rPr>
          <w:color w:val="334155"/>
          <w:sz w:val="19"/>
        </w:rPr>
        <w:t>Introduction and background................................................................................................................ 2</w:t>
      </w:r>
    </w:p>
    <w:p>
      <w:pPr>
        <w:spacing w:before="40" w:after="80" w:line="276" w:lineRule="auto"/>
      </w:pPr>
      <w:r>
        <w:rPr>
          <w:color w:val="334155"/>
          <w:sz w:val="19"/>
        </w:rPr>
        <w:t>1.1</w:t>
      </w:r>
    </w:p>
    <w:p>
      <w:pPr>
        <w:spacing w:before="40" w:after="80" w:line="276" w:lineRule="auto"/>
      </w:pPr>
      <w:r>
        <w:rPr>
          <w:color w:val="334155"/>
          <w:sz w:val="19"/>
        </w:rPr>
        <w:t>Project overview ................................................................................................................................... 2</w:t>
      </w:r>
    </w:p>
    <w:p>
      <w:pPr>
        <w:spacing w:before="40" w:after="80" w:line="276" w:lineRule="auto"/>
      </w:pPr>
      <w:r>
        <w:rPr>
          <w:color w:val="334155"/>
          <w:sz w:val="19"/>
        </w:rPr>
        <w:t>1.2</w:t>
      </w:r>
    </w:p>
    <w:p>
      <w:pPr>
        <w:spacing w:before="40" w:after="80" w:line="276" w:lineRule="auto"/>
      </w:pPr>
      <w:r>
        <w:rPr>
          <w:color w:val="334155"/>
          <w:sz w:val="19"/>
        </w:rPr>
        <w:t>Lake Macquarie's strategic role in regional transition economy ............................................................ 3</w:t>
      </w:r>
    </w:p>
    <w:p>
      <w:pPr>
        <w:spacing w:before="40" w:after="80" w:line="276" w:lineRule="auto"/>
      </w:pPr>
      <w:r>
        <w:rPr>
          <w:color w:val="334155"/>
          <w:sz w:val="19"/>
        </w:rPr>
        <w:t>1.3</w:t>
      </w:r>
    </w:p>
    <w:p>
      <w:pPr>
        <w:spacing w:before="40" w:after="80" w:line="276" w:lineRule="auto"/>
      </w:pPr>
      <w:r>
        <w:rPr>
          <w:color w:val="334155"/>
          <w:sz w:val="19"/>
        </w:rPr>
        <w:t>Purpose and scope of this report .......................................................................................................... 5</w:t>
      </w:r>
    </w:p>
    <w:p>
      <w:pPr>
        <w:spacing w:before="40" w:after="80" w:line="276" w:lineRule="auto"/>
      </w:pPr>
      <w:r>
        <w:rPr>
          <w:color w:val="334155"/>
          <w:sz w:val="19"/>
        </w:rPr>
        <w:t>1.4</w:t>
      </w:r>
    </w:p>
    <w:p>
      <w:pPr>
        <w:spacing w:before="40" w:after="80" w:line="276" w:lineRule="auto"/>
      </w:pPr>
      <w:r>
        <w:rPr>
          <w:color w:val="334155"/>
          <w:sz w:val="19"/>
        </w:rPr>
        <w:t>Relationship to other technical packages ............................................................................................. 6</w:t>
      </w:r>
    </w:p>
    <w:p>
      <w:pPr>
        <w:spacing w:before="40" w:after="80" w:line="276" w:lineRule="auto"/>
      </w:pPr>
      <w:r>
        <w:rPr>
          <w:color w:val="334155"/>
          <w:sz w:val="19"/>
        </w:rPr>
        <w:t>2</w:t>
      </w:r>
    </w:p>
    <w:p>
      <w:pPr>
        <w:spacing w:before="40" w:after="80" w:line="276" w:lineRule="auto"/>
      </w:pPr>
      <w:r>
        <w:rPr>
          <w:color w:val="334155"/>
          <w:sz w:val="19"/>
        </w:rPr>
        <w:t>Preliminary land use feasibility assessment .......................................................................................... 7</w:t>
      </w:r>
    </w:p>
    <w:p>
      <w:pPr>
        <w:spacing w:before="40" w:after="80" w:line="276" w:lineRule="auto"/>
      </w:pPr>
      <w:r>
        <w:rPr>
          <w:color w:val="334155"/>
          <w:sz w:val="19"/>
        </w:rPr>
        <w:t>2.1</w:t>
      </w:r>
    </w:p>
    <w:p>
      <w:pPr>
        <w:spacing w:before="40" w:after="80" w:line="276" w:lineRule="auto"/>
      </w:pPr>
      <w:r>
        <w:rPr>
          <w:color w:val="334155"/>
          <w:sz w:val="19"/>
        </w:rPr>
        <w:t>Land use feasibility assessment framework ......................................................................................... 7</w:t>
      </w:r>
    </w:p>
    <w:p>
      <w:pPr>
        <w:spacing w:before="40" w:after="80" w:line="276" w:lineRule="auto"/>
      </w:pPr>
      <w:r>
        <w:rPr>
          <w:color w:val="334155"/>
          <w:sz w:val="19"/>
        </w:rPr>
        <w:t>2.2</w:t>
      </w:r>
    </w:p>
    <w:p>
      <w:pPr>
        <w:spacing w:before="40" w:after="80" w:line="276" w:lineRule="auto"/>
      </w:pPr>
      <w:r>
        <w:rPr>
          <w:color w:val="334155"/>
          <w:sz w:val="19"/>
        </w:rPr>
        <w:t>Land uses identified for the Site ............................................................................................................ 8</w:t>
      </w:r>
    </w:p>
    <w:p>
      <w:pPr>
        <w:spacing w:before="40" w:after="80" w:line="276" w:lineRule="auto"/>
      </w:pPr>
      <w:r>
        <w:rPr>
          <w:color w:val="334155"/>
          <w:sz w:val="19"/>
        </w:rPr>
        <w:t>2.3</w:t>
      </w:r>
    </w:p>
    <w:p>
      <w:pPr>
        <w:spacing w:before="40" w:after="80" w:line="276" w:lineRule="auto"/>
      </w:pPr>
      <w:r>
        <w:rPr>
          <w:color w:val="334155"/>
          <w:sz w:val="19"/>
        </w:rPr>
        <w:t>Market opportunities for the Site......................................................................................................... 10</w:t>
      </w:r>
    </w:p>
    <w:p>
      <w:pPr>
        <w:spacing w:before="40" w:after="80" w:line="276" w:lineRule="auto"/>
      </w:pPr>
      <w:r>
        <w:rPr>
          <w:color w:val="334155"/>
          <w:sz w:val="19"/>
        </w:rPr>
        <w:t>2.4</w:t>
      </w:r>
    </w:p>
    <w:p>
      <w:pPr>
        <w:spacing w:before="40" w:after="80" w:line="276" w:lineRule="auto"/>
      </w:pPr>
      <w:r>
        <w:rPr>
          <w:color w:val="334155"/>
          <w:sz w:val="19"/>
        </w:rPr>
        <w:t>Opportunities for high feasibility land uses ......................................................................................... 13</w:t>
      </w:r>
    </w:p>
    <w:p>
      <w:pPr>
        <w:spacing w:before="40" w:after="80" w:line="276" w:lineRule="auto"/>
      </w:pPr>
      <w:r>
        <w:rPr>
          <w:color w:val="334155"/>
          <w:sz w:val="19"/>
        </w:rPr>
        <w:t>2.4.1</w:t>
      </w:r>
    </w:p>
    <w:p>
      <w:pPr>
        <w:spacing w:before="40" w:after="80" w:line="276" w:lineRule="auto"/>
      </w:pPr>
      <w:r>
        <w:rPr>
          <w:color w:val="334155"/>
          <w:sz w:val="19"/>
        </w:rPr>
        <w:t>Circular Economy, Industrial and Advanced Manufacturing ................................................ 13</w:t>
      </w:r>
    </w:p>
    <w:p>
      <w:pPr>
        <w:spacing w:before="40" w:after="80" w:line="276" w:lineRule="auto"/>
      </w:pPr>
      <w:r>
        <w:rPr>
          <w:color w:val="334155"/>
          <w:sz w:val="19"/>
        </w:rPr>
        <w:t>2.4.2</w:t>
      </w:r>
    </w:p>
    <w:p>
      <w:pPr>
        <w:spacing w:before="40" w:after="80" w:line="276" w:lineRule="auto"/>
      </w:pPr>
      <w:r>
        <w:rPr>
          <w:color w:val="334155"/>
          <w:sz w:val="19"/>
        </w:rPr>
        <w:t>Waste and Resource Recovery ............................................................................................ 17</w:t>
      </w:r>
    </w:p>
    <w:p>
      <w:pPr>
        <w:spacing w:before="40" w:after="80" w:line="276" w:lineRule="auto"/>
      </w:pPr>
      <w:r>
        <w:rPr>
          <w:color w:val="334155"/>
          <w:sz w:val="19"/>
        </w:rPr>
        <w:t>2.4.3</w:t>
      </w:r>
    </w:p>
    <w:p>
      <w:pPr>
        <w:spacing w:before="40" w:after="80" w:line="276" w:lineRule="auto"/>
      </w:pPr>
      <w:r>
        <w:rPr>
          <w:color w:val="334155"/>
          <w:sz w:val="19"/>
        </w:rPr>
        <w:t>Energy Transition and Renewable Infrastructure .................................................................. 18</w:t>
      </w:r>
    </w:p>
    <w:p>
      <w:pPr>
        <w:spacing w:before="40" w:after="80" w:line="276" w:lineRule="auto"/>
      </w:pPr>
      <w:r>
        <w:rPr>
          <w:color w:val="334155"/>
          <w:sz w:val="19"/>
        </w:rPr>
        <w:t>2.5</w:t>
      </w:r>
    </w:p>
    <w:p>
      <w:pPr>
        <w:spacing w:before="40" w:after="80" w:line="276" w:lineRule="auto"/>
      </w:pPr>
      <w:r>
        <w:rPr>
          <w:color w:val="334155"/>
          <w:sz w:val="19"/>
        </w:rPr>
        <w:t>Opportunities for conditional land uses .............................................................................................. 19</w:t>
      </w:r>
    </w:p>
    <w:p>
      <w:pPr>
        <w:spacing w:before="40" w:after="80" w:line="276" w:lineRule="auto"/>
      </w:pPr>
      <w:r>
        <w:rPr>
          <w:color w:val="334155"/>
          <w:sz w:val="19"/>
        </w:rPr>
        <w:t>2.5.1</w:t>
      </w:r>
    </w:p>
    <w:p>
      <w:pPr>
        <w:spacing w:before="40" w:after="80" w:line="276" w:lineRule="auto"/>
      </w:pPr>
      <w:r>
        <w:rPr>
          <w:color w:val="334155"/>
          <w:sz w:val="19"/>
        </w:rPr>
        <w:t>Data Centres and Digital Infrastructure ............................................................................... 19</w:t>
      </w:r>
    </w:p>
    <w:p>
      <w:pPr>
        <w:spacing w:before="40" w:after="80" w:line="276" w:lineRule="auto"/>
      </w:pPr>
      <w:r>
        <w:rPr>
          <w:color w:val="334155"/>
          <w:sz w:val="19"/>
        </w:rPr>
        <w:t>2.5.2</w:t>
      </w:r>
    </w:p>
    <w:p>
      <w:pPr>
        <w:spacing w:before="40" w:after="80" w:line="276" w:lineRule="auto"/>
      </w:pPr>
      <w:r>
        <w:rPr>
          <w:color w:val="334155"/>
          <w:sz w:val="19"/>
        </w:rPr>
        <w:t>Freight Logistics, Distribution and Supply Chain Hub .......................................................... 20</w:t>
      </w:r>
    </w:p>
    <w:p>
      <w:pPr>
        <w:spacing w:before="40" w:after="80" w:line="276" w:lineRule="auto"/>
      </w:pPr>
      <w:r>
        <w:rPr>
          <w:color w:val="334155"/>
          <w:sz w:val="19"/>
        </w:rPr>
        <w:t>2.5.3</w:t>
      </w:r>
    </w:p>
    <w:p>
      <w:pPr>
        <w:spacing w:before="40" w:after="80" w:line="276" w:lineRule="auto"/>
      </w:pPr>
      <w:r>
        <w:rPr>
          <w:color w:val="334155"/>
          <w:sz w:val="19"/>
        </w:rPr>
        <w:t>Community, Tourism and Agriculture .................................................................................. 22</w:t>
      </w:r>
    </w:p>
    <w:p>
      <w:pPr>
        <w:spacing w:before="40" w:after="80" w:line="276" w:lineRule="auto"/>
      </w:pPr>
      <w:r>
        <w:rPr>
          <w:color w:val="334155"/>
          <w:sz w:val="19"/>
        </w:rPr>
        <w:t>2.6</w:t>
      </w:r>
    </w:p>
    <w:p>
      <w:pPr>
        <w:spacing w:before="40" w:after="80" w:line="276" w:lineRule="auto"/>
      </w:pPr>
      <w:r>
        <w:rPr>
          <w:color w:val="334155"/>
          <w:sz w:val="19"/>
        </w:rPr>
        <w:t>Opportunities for complementary land uses....................................................................................... 24</w:t>
      </w:r>
    </w:p>
    <w:p>
      <w:pPr>
        <w:spacing w:before="40" w:after="80" w:line="276" w:lineRule="auto"/>
      </w:pPr>
      <w:r>
        <w:rPr>
          <w:color w:val="334155"/>
          <w:sz w:val="19"/>
        </w:rPr>
        <w:t>2.6.1</w:t>
      </w:r>
    </w:p>
    <w:p>
      <w:pPr>
        <w:spacing w:before="40" w:after="80" w:line="276" w:lineRule="auto"/>
      </w:pPr>
      <w:r>
        <w:rPr>
          <w:color w:val="334155"/>
          <w:sz w:val="19"/>
        </w:rPr>
        <w:t>Residential .......................................................................................................................... 24</w:t>
      </w:r>
    </w:p>
    <w:p>
      <w:pPr>
        <w:spacing w:before="40" w:after="80" w:line="276" w:lineRule="auto"/>
      </w:pPr>
      <w:r>
        <w:rPr>
          <w:color w:val="334155"/>
          <w:sz w:val="19"/>
        </w:rPr>
        <w:t>2.7</w:t>
      </w:r>
    </w:p>
    <w:p>
      <w:pPr>
        <w:spacing w:before="40" w:after="80" w:line="276" w:lineRule="auto"/>
      </w:pPr>
      <w:r>
        <w:rPr>
          <w:color w:val="334155"/>
          <w:sz w:val="19"/>
        </w:rPr>
        <w:t>Opportunities for optional land uses .................................................................................................. 25</w:t>
      </w:r>
    </w:p>
    <w:p>
      <w:pPr>
        <w:spacing w:before="40" w:after="80" w:line="276" w:lineRule="auto"/>
      </w:pPr>
      <w:r>
        <w:rPr>
          <w:color w:val="334155"/>
          <w:sz w:val="19"/>
        </w:rPr>
        <w:t>2.7.1</w:t>
      </w:r>
    </w:p>
    <w:p>
      <w:pPr>
        <w:spacing w:before="40" w:after="80" w:line="276" w:lineRule="auto"/>
      </w:pPr>
      <w:r>
        <w:rPr>
          <w:color w:val="334155"/>
          <w:sz w:val="19"/>
        </w:rPr>
        <w:t>Education, Research and Innovation Precinct ..................................................................... 25</w:t>
      </w:r>
    </w:p>
    <w:p>
      <w:pPr>
        <w:spacing w:before="40" w:after="80" w:line="276" w:lineRule="auto"/>
      </w:pPr>
      <w:r>
        <w:rPr>
          <w:color w:val="334155"/>
          <w:sz w:val="19"/>
        </w:rPr>
        <w:t>2.8</w:t>
      </w:r>
    </w:p>
    <w:p>
      <w:pPr>
        <w:spacing w:before="40" w:after="80" w:line="276" w:lineRule="auto"/>
      </w:pPr>
      <w:r>
        <w:rPr>
          <w:color w:val="334155"/>
          <w:sz w:val="19"/>
        </w:rPr>
        <w:t>Summary of employment opportunities.............................................................................................. 27</w:t>
      </w:r>
    </w:p>
    <w:p>
      <w:pPr>
        <w:spacing w:before="40" w:after="80" w:line="276" w:lineRule="auto"/>
      </w:pPr>
      <w:r>
        <w:rPr>
          <w:color w:val="334155"/>
          <w:sz w:val="19"/>
        </w:rPr>
        <w:t>3</w:t>
      </w:r>
    </w:p>
    <w:p>
      <w:pPr>
        <w:spacing w:before="40" w:after="80" w:line="276" w:lineRule="auto"/>
      </w:pPr>
      <w:r>
        <w:rPr>
          <w:color w:val="334155"/>
          <w:sz w:val="19"/>
        </w:rPr>
        <w:t>Post-mining impediments, reform consideration and social implications ............................................. 28</w:t>
      </w:r>
    </w:p>
    <w:p>
      <w:pPr>
        <w:spacing w:before="40" w:after="80" w:line="276" w:lineRule="auto"/>
      </w:pPr>
      <w:r>
        <w:rPr>
          <w:color w:val="334155"/>
          <w:sz w:val="19"/>
        </w:rPr>
        <w:t>3.1</w:t>
      </w:r>
    </w:p>
    <w:p>
      <w:pPr>
        <w:spacing w:before="40" w:after="80" w:line="276" w:lineRule="auto"/>
      </w:pPr>
      <w:r>
        <w:rPr>
          <w:color w:val="334155"/>
          <w:sz w:val="19"/>
        </w:rPr>
        <w:t>Regulatory and delivery framework assessment ................................................................................. 28</w:t>
      </w:r>
    </w:p>
    <w:p>
      <w:pPr>
        <w:spacing w:before="40" w:after="80" w:line="276" w:lineRule="auto"/>
      </w:pPr>
      <w:r>
        <w:rPr>
          <w:color w:val="334155"/>
          <w:sz w:val="19"/>
        </w:rPr>
        <w:t>3.1.1</w:t>
      </w:r>
    </w:p>
    <w:p>
      <w:pPr>
        <w:spacing w:before="40" w:after="80" w:line="276" w:lineRule="auto"/>
      </w:pPr>
      <w:r>
        <w:rPr>
          <w:color w:val="334155"/>
          <w:sz w:val="19"/>
        </w:rPr>
        <w:t>Assessment of key frameworks ........................................................................................... 28</w:t>
      </w:r>
    </w:p>
    <w:p>
      <w:pPr>
        <w:spacing w:before="40" w:after="80" w:line="276" w:lineRule="auto"/>
      </w:pPr>
      <w:r>
        <w:rPr>
          <w:color w:val="334155"/>
          <w:sz w:val="19"/>
        </w:rPr>
        <w:t>3.1.2</w:t>
      </w:r>
    </w:p>
    <w:p>
      <w:pPr>
        <w:spacing w:before="40" w:after="80" w:line="276" w:lineRule="auto"/>
      </w:pPr>
      <w:r>
        <w:rPr>
          <w:color w:val="334155"/>
          <w:sz w:val="19"/>
        </w:rPr>
        <w:t>Structural constraint typologies .......................................................................................... 30</w:t>
      </w:r>
    </w:p>
    <w:p>
      <w:pPr>
        <w:spacing w:before="40" w:after="80" w:line="276" w:lineRule="auto"/>
      </w:pPr>
      <w:r>
        <w:rPr>
          <w:color w:val="334155"/>
          <w:sz w:val="19"/>
        </w:rPr>
        <w:t>3.2</w:t>
      </w:r>
    </w:p>
    <w:p>
      <w:pPr>
        <w:spacing w:before="40" w:after="80" w:line="276" w:lineRule="auto"/>
      </w:pPr>
      <w:r>
        <w:rPr>
          <w:color w:val="334155"/>
          <w:sz w:val="19"/>
        </w:rPr>
        <w:t>Transition risks and mitigation strategies, and social considerations .................................................. 31</w:t>
      </w:r>
    </w:p>
    <w:p>
      <w:pPr>
        <w:spacing w:before="40" w:after="80" w:line="276" w:lineRule="auto"/>
      </w:pPr>
      <w:r>
        <w:rPr>
          <w:color w:val="334155"/>
          <w:sz w:val="19"/>
        </w:rPr>
        <w:t>3.2.1</w:t>
      </w:r>
    </w:p>
    <w:p>
      <w:pPr>
        <w:spacing w:before="40" w:after="80" w:line="276" w:lineRule="auto"/>
      </w:pPr>
      <w:r>
        <w:rPr>
          <w:color w:val="334155"/>
          <w:sz w:val="19"/>
        </w:rPr>
        <w:t>Land use dependencies and transition risks ........................................................................ 31</w:t>
      </w:r>
    </w:p>
    <w:p>
      <w:pPr>
        <w:spacing w:before="40" w:after="80" w:line="276" w:lineRule="auto"/>
      </w:pPr>
      <w:r>
        <w:rPr>
          <w:color w:val="334155"/>
          <w:sz w:val="19"/>
        </w:rPr>
        <w:t>3.3</w:t>
      </w:r>
    </w:p>
    <w:p>
      <w:pPr>
        <w:spacing w:before="40" w:after="80" w:line="276" w:lineRule="auto"/>
      </w:pPr>
      <w:r>
        <w:rPr>
          <w:color w:val="334155"/>
          <w:sz w:val="19"/>
        </w:rPr>
        <w:t>Overarching risks and strategies ......................................................................................................... 41</w:t>
      </w:r>
    </w:p>
    <w:p>
      <w:pPr>
        <w:spacing w:before="40" w:after="80" w:line="276" w:lineRule="auto"/>
      </w:pPr>
      <w:r>
        <w:rPr>
          <w:color w:val="334155"/>
          <w:sz w:val="19"/>
        </w:rPr>
        <w:t>4</w:t>
      </w:r>
    </w:p>
    <w:p>
      <w:pPr>
        <w:spacing w:before="40" w:after="80" w:line="276" w:lineRule="auto"/>
      </w:pPr>
      <w:r>
        <w:rPr>
          <w:color w:val="334155"/>
          <w:sz w:val="19"/>
        </w:rPr>
        <w:t>Social and community implications for delivery .................................................................................. 45</w:t>
      </w:r>
    </w:p>
    <w:p>
      <w:pPr>
        <w:spacing w:before="40" w:after="80" w:line="276" w:lineRule="auto"/>
      </w:pPr>
      <w:r>
        <w:rPr>
          <w:color w:val="334155"/>
          <w:sz w:val="19"/>
        </w:rPr>
        <w:t>4.1</w:t>
      </w:r>
    </w:p>
    <w:p>
      <w:pPr>
        <w:spacing w:before="40" w:after="80" w:line="276" w:lineRule="auto"/>
      </w:pPr>
      <w:r>
        <w:rPr>
          <w:color w:val="334155"/>
          <w:sz w:val="19"/>
        </w:rPr>
        <w:t>Other cumulative social impacts ........................................................................................................ 45</w:t>
      </w:r>
    </w:p>
    <w:p>
      <w:pPr>
        <w:spacing w:before="40" w:after="80" w:line="276" w:lineRule="auto"/>
      </w:pPr>
      <w:r>
        <w:rPr>
          <w:color w:val="334155"/>
          <w:sz w:val="19"/>
        </w:rPr>
        <w:t>4.2</w:t>
      </w:r>
    </w:p>
    <w:p>
      <w:pPr>
        <w:spacing w:before="40" w:after="80" w:line="276" w:lineRule="auto"/>
      </w:pPr>
      <w:r>
        <w:rPr>
          <w:color w:val="334155"/>
          <w:sz w:val="19"/>
        </w:rPr>
        <w:t>Summary of social implications and considerations ........................................................................... 46</w:t>
      </w:r>
    </w:p>
    <w:p>
      <w:pPr>
        <w:spacing w:before="40" w:after="80" w:line="276" w:lineRule="auto"/>
      </w:pPr>
      <w:r>
        <w:rPr>
          <w:color w:val="334155"/>
          <w:sz w:val="19"/>
        </w:rPr>
        <w:t>4.3</w:t>
      </w:r>
    </w:p>
    <w:p>
      <w:pPr>
        <w:spacing w:before="40" w:after="80" w:line="276" w:lineRule="auto"/>
      </w:pPr>
      <w:r>
        <w:rPr>
          <w:color w:val="334155"/>
          <w:sz w:val="19"/>
        </w:rPr>
        <w:t>Enabling options to create social benefits .......................................................................................... 47</w:t>
      </w:r>
    </w:p>
    <w:p>
      <w:pPr>
        <w:spacing w:before="40" w:after="80" w:line="276" w:lineRule="auto"/>
      </w:pPr>
      <w:r>
        <w:rPr>
          <w:color w:val="334155"/>
          <w:sz w:val="19"/>
        </w:rPr>
        <w:t>4.4</w:t>
      </w:r>
    </w:p>
    <w:p>
      <w:pPr>
        <w:spacing w:before="40" w:after="80" w:line="276" w:lineRule="auto"/>
      </w:pPr>
      <w:r>
        <w:rPr>
          <w:color w:val="334155"/>
          <w:sz w:val="19"/>
        </w:rPr>
        <w:t>Social considerations in economic terms ........................................................................................... 49</w:t>
      </w:r>
    </w:p>
    <w:p>
      <w:pPr>
        <w:spacing w:before="40" w:after="80" w:line="276" w:lineRule="auto"/>
      </w:pPr>
      <w:r>
        <w:rPr>
          <w:color w:val="334155"/>
          <w:sz w:val="19"/>
        </w:rPr>
        <w:t>5</w:t>
      </w:r>
    </w:p>
    <w:p>
      <w:pPr>
        <w:spacing w:before="40" w:after="80" w:line="276" w:lineRule="auto"/>
      </w:pPr>
      <w:r>
        <w:rPr>
          <w:color w:val="334155"/>
          <w:sz w:val="19"/>
        </w:rPr>
        <w:t>Key findings and recommendations .................................................................................................... 50</w:t>
      </w:r>
    </w:p>
    <w:p>
      <w:pPr>
        <w:spacing w:before="40" w:after="80" w:line="276" w:lineRule="auto"/>
      </w:pPr>
      <w:r>
        <w:rPr>
          <w:color w:val="334155"/>
          <w:sz w:val="19"/>
        </w:rPr>
        <w:t>5.1</w:t>
      </w:r>
    </w:p>
    <w:p>
      <w:pPr>
        <w:spacing w:before="40" w:after="80" w:line="276" w:lineRule="auto"/>
      </w:pPr>
      <w:r>
        <w:rPr>
          <w:color w:val="334155"/>
          <w:sz w:val="19"/>
        </w:rPr>
        <w:t>Key findings to support a flexible employment precinct ...................................................................... 50</w:t>
      </w:r>
    </w:p>
    <w:p>
      <w:pPr>
        <w:spacing w:before="40" w:after="80" w:line="276" w:lineRule="auto"/>
      </w:pPr>
      <w:r>
        <w:rPr>
          <w:color w:val="334155"/>
          <w:sz w:val="19"/>
        </w:rPr>
        <w:t>5.1.1</w:t>
      </w:r>
    </w:p>
    <w:p>
      <w:pPr>
        <w:spacing w:before="40" w:after="80" w:line="276" w:lineRule="auto"/>
      </w:pPr>
      <w:r>
        <w:rPr>
          <w:color w:val="334155"/>
          <w:sz w:val="19"/>
        </w:rPr>
        <w:t>Integrated land use and employment opportunities ............................................................ 51</w:t>
      </w:r>
    </w:p>
    <w:p>
      <w:pPr>
        <w:spacing w:before="40" w:after="80" w:line="276" w:lineRule="auto"/>
      </w:pPr>
      <w:r>
        <w:rPr>
          <w:color w:val="334155"/>
          <w:sz w:val="19"/>
        </w:rPr>
        <w:t>5.2</w:t>
      </w:r>
    </w:p>
    <w:p>
      <w:pPr>
        <w:spacing w:before="40" w:after="80" w:line="276" w:lineRule="auto"/>
      </w:pPr>
      <w:r>
        <w:rPr>
          <w:color w:val="334155"/>
          <w:sz w:val="19"/>
        </w:rPr>
        <w:t>Key recommendations........................................................................................................................ 52</w:t>
      </w:r>
    </w:p>
    <w:p>
      <w:pPr>
        <w:spacing w:before="40" w:after="80" w:line="276" w:lineRule="auto"/>
      </w:pPr>
      <w:r>
        <w:rPr>
          <w:color w:val="334155"/>
          <w:sz w:val="19"/>
        </w:rPr>
        <w:t>5.3</w:t>
      </w:r>
    </w:p>
    <w:p>
      <w:pPr>
        <w:spacing w:before="40" w:after="80" w:line="276" w:lineRule="auto"/>
      </w:pPr>
      <w:r>
        <w:rPr>
          <w:color w:val="334155"/>
          <w:sz w:val="19"/>
        </w:rPr>
        <w:t>Future business case development considerations ............................................................................ 53</w:t>
      </w:r>
    </w:p>
    <w:p>
      <w:pPr>
        <w:spacing w:before="40" w:after="80" w:line="276" w:lineRule="auto"/>
      </w:pPr>
      <w:r>
        <w:rPr>
          <w:color w:val="334155"/>
          <w:sz w:val="19"/>
        </w:rPr>
        <w:t>`</w:t>
      </w:r>
    </w:p>
    <w:p>
      <w:pPr>
        <w:pStyle w:val="Heading3"/>
        <w:keepNext/>
        <w:spacing w:before="160" w:after="40"/>
      </w:pPr>
      <w:r>
        <w:rPr>
          <w:b/>
          <w:color w:val="334155"/>
        </w:rPr>
        <w:t>Economics Report Page 8</w:t>
      </w:r>
    </w:p>
    <w:p>
      <w:pPr>
        <w:spacing w:before="40" w:after="80" w:line="276" w:lineRule="auto"/>
      </w:pPr>
      <w:r>
        <w:rPr>
          <w:color w:val="334155"/>
          <w:sz w:val="19"/>
        </w:rPr>
        <w:t>`</w:t>
      </w:r>
    </w:p>
    <w:p>
      <w:pPr>
        <w:spacing w:before="40" w:after="80" w:line="276" w:lineRule="auto"/>
      </w:pPr>
      <w:r>
        <w:rPr>
          <w:color w:val="334155"/>
          <w:sz w:val="19"/>
        </w:rPr>
        <w:t>8</w:t>
      </w:r>
    </w:p>
    <w:p>
      <w:pPr>
        <w:spacing w:before="40" w:after="80" w:line="276" w:lineRule="auto"/>
      </w:pPr>
      <w:r>
        <w:rPr>
          <w:color w:val="334155"/>
          <w:sz w:val="19"/>
        </w:rPr>
        <w:t>Part B: Detailed methodology ......................................................................................................................... 55</w:t>
      </w:r>
    </w:p>
    <w:p>
      <w:pPr>
        <w:spacing w:before="40" w:after="80" w:line="276" w:lineRule="auto"/>
      </w:pPr>
      <w:r>
        <w:rPr>
          <w:color w:val="334155"/>
          <w:sz w:val="19"/>
        </w:rPr>
        <w:t>6</w:t>
      </w:r>
    </w:p>
    <w:p>
      <w:pPr>
        <w:spacing w:before="40" w:after="80" w:line="276" w:lineRule="auto"/>
      </w:pPr>
      <w:r>
        <w:rPr>
          <w:color w:val="334155"/>
          <w:sz w:val="19"/>
        </w:rPr>
        <w:t>Methodology and assessment framework ........................................................................................... 56</w:t>
      </w:r>
    </w:p>
    <w:p>
      <w:pPr>
        <w:spacing w:before="40" w:after="80" w:line="276" w:lineRule="auto"/>
      </w:pPr>
      <w:r>
        <w:rPr>
          <w:color w:val="334155"/>
          <w:sz w:val="19"/>
        </w:rPr>
        <w:t>6.1 Social and economic study areas............................................................................................................... 56</w:t>
      </w:r>
    </w:p>
    <w:p>
      <w:pPr>
        <w:spacing w:before="40" w:after="80" w:line="276" w:lineRule="auto"/>
      </w:pPr>
      <w:r>
        <w:rPr>
          <w:color w:val="334155"/>
          <w:sz w:val="19"/>
        </w:rPr>
        <w:t>6.2 Analytical approach ................................................................................................................................... 57</w:t>
      </w:r>
    </w:p>
    <w:p>
      <w:pPr>
        <w:spacing w:before="40" w:after="80" w:line="276" w:lineRule="auto"/>
      </w:pPr>
      <w:r>
        <w:rPr>
          <w:color w:val="334155"/>
          <w:sz w:val="19"/>
        </w:rPr>
        <w:t>6.3 Assumptions, exclusions, and dependencies ............................................................................................ 58</w:t>
      </w:r>
    </w:p>
    <w:p>
      <w:pPr>
        <w:spacing w:before="40" w:after="80" w:line="276" w:lineRule="auto"/>
      </w:pPr>
      <w:r>
        <w:rPr>
          <w:color w:val="334155"/>
          <w:sz w:val="19"/>
        </w:rPr>
        <w:t>6.3.1 General assumptions ................................................................................................................. 58</w:t>
      </w:r>
    </w:p>
    <w:p>
      <w:pPr>
        <w:spacing w:before="40" w:after="80" w:line="276" w:lineRule="auto"/>
      </w:pPr>
      <w:r>
        <w:rPr>
          <w:color w:val="334155"/>
          <w:sz w:val="19"/>
        </w:rPr>
        <w:t>6.3.2 Exclusions and dependencies .................................................................................................... 58</w:t>
      </w:r>
    </w:p>
    <w:p>
      <w:pPr>
        <w:spacing w:before="40" w:after="80" w:line="276" w:lineRule="auto"/>
      </w:pPr>
      <w:r>
        <w:rPr>
          <w:color w:val="334155"/>
          <w:sz w:val="19"/>
        </w:rPr>
        <w:t>7</w:t>
      </w:r>
    </w:p>
    <w:p>
      <w:pPr>
        <w:spacing w:before="40" w:after="80" w:line="276" w:lineRule="auto"/>
      </w:pPr>
      <w:r>
        <w:rPr>
          <w:color w:val="334155"/>
          <w:sz w:val="19"/>
        </w:rPr>
        <w:t>Strategic context and existing evidence .............................................................................................. 60</w:t>
      </w:r>
    </w:p>
    <w:p>
      <w:pPr>
        <w:spacing w:before="40" w:after="80" w:line="276" w:lineRule="auto"/>
      </w:pPr>
      <w:r>
        <w:rPr>
          <w:color w:val="334155"/>
          <w:sz w:val="19"/>
        </w:rPr>
        <w:t>7.1 Overview of key studies and inputs ............................................................................................................ 60</w:t>
      </w:r>
    </w:p>
    <w:p>
      <w:pPr>
        <w:spacing w:before="40" w:after="80" w:line="276" w:lineRule="auto"/>
      </w:pPr>
      <w:r>
        <w:rPr>
          <w:color w:val="334155"/>
          <w:sz w:val="19"/>
        </w:rPr>
        <w:t>7.2 Regional drivers influencing land use feasibility ......................................................................................... 61</w:t>
      </w:r>
    </w:p>
    <w:p>
      <w:pPr>
        <w:spacing w:before="40" w:after="80" w:line="276" w:lineRule="auto"/>
      </w:pPr>
      <w:r>
        <w:rPr>
          <w:color w:val="334155"/>
          <w:sz w:val="19"/>
        </w:rPr>
        <w:t>8</w:t>
      </w:r>
    </w:p>
    <w:p>
      <w:pPr>
        <w:spacing w:before="40" w:after="80" w:line="276" w:lineRule="auto"/>
      </w:pPr>
      <w:r>
        <w:rPr>
          <w:color w:val="334155"/>
          <w:sz w:val="19"/>
        </w:rPr>
        <w:t>Demographic, social and labour market analysis................................................................................. 63</w:t>
      </w:r>
    </w:p>
    <w:p>
      <w:pPr>
        <w:spacing w:before="40" w:after="80" w:line="276" w:lineRule="auto"/>
      </w:pPr>
      <w:r>
        <w:rPr>
          <w:color w:val="334155"/>
          <w:sz w:val="19"/>
        </w:rPr>
        <w:t>8.1</w:t>
      </w:r>
    </w:p>
    <w:p>
      <w:pPr>
        <w:spacing w:before="40" w:after="80" w:line="276" w:lineRule="auto"/>
      </w:pPr>
      <w:r>
        <w:rPr>
          <w:color w:val="334155"/>
          <w:sz w:val="19"/>
        </w:rPr>
        <w:t>Demographic profile ........................................................................................................................... 63</w:t>
      </w:r>
    </w:p>
    <w:p>
      <w:pPr>
        <w:spacing w:before="40" w:after="80" w:line="276" w:lineRule="auto"/>
      </w:pPr>
      <w:r>
        <w:rPr>
          <w:color w:val="334155"/>
          <w:sz w:val="19"/>
        </w:rPr>
        <w:t>8.1.1</w:t>
      </w:r>
    </w:p>
    <w:p>
      <w:pPr>
        <w:spacing w:before="40" w:after="80" w:line="276" w:lineRule="auto"/>
      </w:pPr>
      <w:r>
        <w:rPr>
          <w:color w:val="334155"/>
          <w:sz w:val="19"/>
        </w:rPr>
        <w:t>Population growth and change ............................................................................................ 63</w:t>
      </w:r>
    </w:p>
    <w:p>
      <w:pPr>
        <w:spacing w:before="40" w:after="80" w:line="276" w:lineRule="auto"/>
      </w:pPr>
      <w:r>
        <w:rPr>
          <w:color w:val="334155"/>
          <w:sz w:val="19"/>
        </w:rPr>
        <w:t>8.2</w:t>
      </w:r>
    </w:p>
    <w:p>
      <w:pPr>
        <w:spacing w:before="40" w:after="80" w:line="276" w:lineRule="auto"/>
      </w:pPr>
      <w:r>
        <w:rPr>
          <w:color w:val="334155"/>
          <w:sz w:val="19"/>
        </w:rPr>
        <w:t>Socio-economic vulnerability indicators ............................................................................................. 64</w:t>
      </w:r>
    </w:p>
    <w:p>
      <w:pPr>
        <w:spacing w:before="40" w:after="80" w:line="276" w:lineRule="auto"/>
      </w:pPr>
      <w:r>
        <w:rPr>
          <w:color w:val="334155"/>
          <w:sz w:val="19"/>
        </w:rPr>
        <w:t>8.3</w:t>
      </w:r>
    </w:p>
    <w:p>
      <w:pPr>
        <w:spacing w:before="40" w:after="80" w:line="276" w:lineRule="auto"/>
      </w:pPr>
      <w:r>
        <w:rPr>
          <w:color w:val="334155"/>
          <w:sz w:val="19"/>
        </w:rPr>
        <w:t>Community values and identity .......................................................................................................... 65</w:t>
      </w:r>
    </w:p>
    <w:p>
      <w:pPr>
        <w:spacing w:before="40" w:after="80" w:line="276" w:lineRule="auto"/>
      </w:pPr>
      <w:r>
        <w:rPr>
          <w:color w:val="334155"/>
          <w:sz w:val="19"/>
        </w:rPr>
        <w:t>8.4</w:t>
      </w:r>
    </w:p>
    <w:p>
      <w:pPr>
        <w:spacing w:before="40" w:after="80" w:line="276" w:lineRule="auto"/>
      </w:pPr>
      <w:r>
        <w:rPr>
          <w:color w:val="334155"/>
          <w:sz w:val="19"/>
        </w:rPr>
        <w:t>Areas of community interest ............................................................................................................... 67</w:t>
      </w:r>
    </w:p>
    <w:p>
      <w:pPr>
        <w:spacing w:before="40" w:after="80" w:line="276" w:lineRule="auto"/>
      </w:pPr>
      <w:r>
        <w:rPr>
          <w:color w:val="334155"/>
          <w:sz w:val="19"/>
        </w:rPr>
        <w:t>8.5</w:t>
      </w:r>
    </w:p>
    <w:p>
      <w:pPr>
        <w:spacing w:before="40" w:after="80" w:line="276" w:lineRule="auto"/>
      </w:pPr>
      <w:r>
        <w:rPr>
          <w:color w:val="334155"/>
          <w:sz w:val="19"/>
        </w:rPr>
        <w:t>Social infrastructure and transport context ........................................................................................ 68</w:t>
      </w:r>
    </w:p>
    <w:p>
      <w:pPr>
        <w:spacing w:before="40" w:after="80" w:line="276" w:lineRule="auto"/>
      </w:pPr>
      <w:r>
        <w:rPr>
          <w:color w:val="334155"/>
          <w:sz w:val="19"/>
        </w:rPr>
        <w:t>8.5.1</w:t>
      </w:r>
    </w:p>
    <w:p>
      <w:pPr>
        <w:spacing w:before="40" w:after="80" w:line="276" w:lineRule="auto"/>
      </w:pPr>
      <w:r>
        <w:rPr>
          <w:color w:val="334155"/>
          <w:sz w:val="19"/>
        </w:rPr>
        <w:t>Public transport provisions .................................................................................................. 71</w:t>
      </w:r>
    </w:p>
    <w:p>
      <w:pPr>
        <w:spacing w:before="40" w:after="80" w:line="276" w:lineRule="auto"/>
      </w:pPr>
      <w:r>
        <w:rPr>
          <w:color w:val="334155"/>
          <w:sz w:val="19"/>
        </w:rPr>
        <w:t>8.5.2</w:t>
      </w:r>
    </w:p>
    <w:p>
      <w:pPr>
        <w:spacing w:before="40" w:after="80" w:line="276" w:lineRule="auto"/>
      </w:pPr>
      <w:r>
        <w:rPr>
          <w:color w:val="334155"/>
          <w:sz w:val="19"/>
        </w:rPr>
        <w:t>Social infrastructure and public transport accessibility ....................................................... 72</w:t>
      </w:r>
    </w:p>
    <w:p>
      <w:pPr>
        <w:spacing w:before="40" w:after="80" w:line="276" w:lineRule="auto"/>
      </w:pPr>
      <w:r>
        <w:rPr>
          <w:color w:val="334155"/>
          <w:sz w:val="19"/>
        </w:rPr>
        <w:t>8.6</w:t>
      </w:r>
    </w:p>
    <w:p>
      <w:pPr>
        <w:spacing w:before="40" w:after="80" w:line="276" w:lineRule="auto"/>
      </w:pPr>
      <w:r>
        <w:rPr>
          <w:color w:val="334155"/>
          <w:sz w:val="19"/>
        </w:rPr>
        <w:t>Workforce characteristics .................................................................................................................. 72</w:t>
      </w:r>
    </w:p>
    <w:p>
      <w:pPr>
        <w:spacing w:before="40" w:after="80" w:line="276" w:lineRule="auto"/>
      </w:pPr>
      <w:r>
        <w:rPr>
          <w:color w:val="334155"/>
          <w:sz w:val="19"/>
        </w:rPr>
        <w:t>8.6.1</w:t>
      </w:r>
    </w:p>
    <w:p>
      <w:pPr>
        <w:spacing w:before="40" w:after="80" w:line="276" w:lineRule="auto"/>
      </w:pPr>
      <w:r>
        <w:rPr>
          <w:color w:val="334155"/>
          <w:sz w:val="19"/>
        </w:rPr>
        <w:t>Population and working age profile ...................................................................................... 73</w:t>
      </w:r>
    </w:p>
    <w:p>
      <w:pPr>
        <w:spacing w:before="40" w:after="80" w:line="276" w:lineRule="auto"/>
      </w:pPr>
      <w:r>
        <w:rPr>
          <w:color w:val="334155"/>
          <w:sz w:val="19"/>
        </w:rPr>
        <w:t>8.6.2</w:t>
      </w:r>
    </w:p>
    <w:p>
      <w:pPr>
        <w:spacing w:before="40" w:after="80" w:line="276" w:lineRule="auto"/>
      </w:pPr>
      <w:r>
        <w:rPr>
          <w:color w:val="334155"/>
          <w:sz w:val="19"/>
        </w:rPr>
        <w:t>Labour force participation ................................................................................................... 73</w:t>
      </w:r>
    </w:p>
    <w:p>
      <w:pPr>
        <w:spacing w:before="40" w:after="80" w:line="276" w:lineRule="auto"/>
      </w:pPr>
      <w:r>
        <w:rPr>
          <w:color w:val="334155"/>
          <w:sz w:val="19"/>
        </w:rPr>
        <w:t>8.6.3</w:t>
      </w:r>
    </w:p>
    <w:p>
      <w:pPr>
        <w:spacing w:before="40" w:after="80" w:line="276" w:lineRule="auto"/>
      </w:pPr>
      <w:r>
        <w:rPr>
          <w:color w:val="334155"/>
          <w:sz w:val="19"/>
        </w:rPr>
        <w:t>Skills and educational attainment ....................................................................................... 74</w:t>
      </w:r>
    </w:p>
    <w:p>
      <w:pPr>
        <w:spacing w:before="40" w:after="80" w:line="276" w:lineRule="auto"/>
      </w:pPr>
      <w:r>
        <w:rPr>
          <w:color w:val="334155"/>
          <w:sz w:val="19"/>
        </w:rPr>
        <w:t>8.6.4</w:t>
      </w:r>
    </w:p>
    <w:p>
      <w:pPr>
        <w:spacing w:before="40" w:after="80" w:line="276" w:lineRule="auto"/>
      </w:pPr>
      <w:r>
        <w:rPr>
          <w:color w:val="334155"/>
          <w:sz w:val="19"/>
        </w:rPr>
        <w:t>Workforce mobility and travel to work ................................................................................. 74</w:t>
      </w:r>
    </w:p>
    <w:p>
      <w:pPr>
        <w:spacing w:before="40" w:after="80" w:line="276" w:lineRule="auto"/>
      </w:pPr>
      <w:r>
        <w:rPr>
          <w:color w:val="334155"/>
          <w:sz w:val="19"/>
        </w:rPr>
        <w:t>8.7</w:t>
      </w:r>
    </w:p>
    <w:p>
      <w:pPr>
        <w:spacing w:before="40" w:after="80" w:line="276" w:lineRule="auto"/>
      </w:pPr>
      <w:r>
        <w:rPr>
          <w:color w:val="334155"/>
          <w:sz w:val="19"/>
        </w:rPr>
        <w:t>Economic and industry analysis ......................................................................................................... 75</w:t>
      </w:r>
    </w:p>
    <w:p>
      <w:pPr>
        <w:spacing w:before="40" w:after="80" w:line="276" w:lineRule="auto"/>
      </w:pPr>
      <w:r>
        <w:rPr>
          <w:color w:val="334155"/>
          <w:sz w:val="19"/>
        </w:rPr>
        <w:t>8.7.1</w:t>
      </w:r>
    </w:p>
    <w:p>
      <w:pPr>
        <w:spacing w:before="40" w:after="80" w:line="276" w:lineRule="auto"/>
      </w:pPr>
      <w:r>
        <w:rPr>
          <w:color w:val="334155"/>
          <w:sz w:val="19"/>
        </w:rPr>
        <w:t>Industry output and value-add ............................................................................................. 75</w:t>
      </w:r>
    </w:p>
    <w:p>
      <w:pPr>
        <w:spacing w:before="40" w:after="80" w:line="276" w:lineRule="auto"/>
      </w:pPr>
      <w:r>
        <w:rPr>
          <w:color w:val="334155"/>
          <w:sz w:val="19"/>
        </w:rPr>
        <w:t>8.7.2</w:t>
      </w:r>
    </w:p>
    <w:p>
      <w:pPr>
        <w:spacing w:before="40" w:after="80" w:line="276" w:lineRule="auto"/>
      </w:pPr>
      <w:r>
        <w:rPr>
          <w:color w:val="334155"/>
          <w:sz w:val="19"/>
        </w:rPr>
        <w:t>Labour market analysis ....................................................................................................... 76</w:t>
      </w:r>
    </w:p>
    <w:p>
      <w:pPr>
        <w:spacing w:before="40" w:after="80" w:line="276" w:lineRule="auto"/>
      </w:pPr>
      <w:r>
        <w:rPr>
          <w:color w:val="334155"/>
          <w:sz w:val="19"/>
        </w:rPr>
        <w:t>8.7.3</w:t>
      </w:r>
    </w:p>
    <w:p>
      <w:pPr>
        <w:spacing w:before="40" w:after="80" w:line="276" w:lineRule="auto"/>
      </w:pPr>
      <w:r>
        <w:rPr>
          <w:color w:val="334155"/>
          <w:sz w:val="19"/>
        </w:rPr>
        <w:t>Lake Macquarie employment projection.............................................................................. 78</w:t>
      </w:r>
    </w:p>
    <w:p>
      <w:pPr>
        <w:spacing w:before="40" w:after="80" w:line="276" w:lineRule="auto"/>
      </w:pPr>
      <w:r>
        <w:rPr>
          <w:color w:val="334155"/>
          <w:sz w:val="19"/>
        </w:rPr>
        <w:t>8.8</w:t>
      </w:r>
    </w:p>
    <w:p>
      <w:pPr>
        <w:spacing w:before="40" w:after="80" w:line="276" w:lineRule="auto"/>
      </w:pPr>
      <w:r>
        <w:rPr>
          <w:color w:val="334155"/>
          <w:sz w:val="19"/>
        </w:rPr>
        <w:t>Coal mining workforce profile ............................................................................................................. 78</w:t>
      </w:r>
    </w:p>
    <w:p>
      <w:pPr>
        <w:spacing w:before="40" w:after="80" w:line="276" w:lineRule="auto"/>
      </w:pPr>
      <w:r>
        <w:rPr>
          <w:color w:val="334155"/>
          <w:sz w:val="19"/>
        </w:rPr>
        <w:t>8.8.1</w:t>
      </w:r>
    </w:p>
    <w:p>
      <w:pPr>
        <w:spacing w:before="40" w:after="80" w:line="276" w:lineRule="auto"/>
      </w:pPr>
      <w:r>
        <w:rPr>
          <w:color w:val="334155"/>
          <w:sz w:val="19"/>
        </w:rPr>
        <w:t>Coal mining dependent employment profile ........................................................................ 79</w:t>
      </w:r>
    </w:p>
    <w:p>
      <w:pPr>
        <w:spacing w:before="40" w:after="80" w:line="276" w:lineRule="auto"/>
      </w:pPr>
      <w:r>
        <w:rPr>
          <w:color w:val="334155"/>
          <w:sz w:val="19"/>
        </w:rPr>
        <w:t>8.8.2</w:t>
      </w:r>
    </w:p>
    <w:p>
      <w:pPr>
        <w:spacing w:before="40" w:after="80" w:line="276" w:lineRule="auto"/>
      </w:pPr>
      <w:r>
        <w:rPr>
          <w:color w:val="334155"/>
          <w:sz w:val="19"/>
        </w:rPr>
        <w:t>Coal mining dependent workforce transition ....................................................................... 81</w:t>
      </w:r>
    </w:p>
    <w:p>
      <w:pPr>
        <w:spacing w:before="40" w:after="80" w:line="276" w:lineRule="auto"/>
      </w:pPr>
      <w:r>
        <w:rPr>
          <w:color w:val="334155"/>
          <w:sz w:val="19"/>
        </w:rPr>
        <w:t>9</w:t>
      </w:r>
    </w:p>
    <w:p>
      <w:pPr>
        <w:spacing w:before="40" w:after="80" w:line="276" w:lineRule="auto"/>
      </w:pPr>
      <w:r>
        <w:rPr>
          <w:color w:val="334155"/>
          <w:sz w:val="19"/>
        </w:rPr>
        <w:t>Appendices........................................................................................................................................ 84</w:t>
      </w:r>
    </w:p>
    <w:p>
      <w:pPr>
        <w:spacing w:before="40" w:after="80" w:line="276" w:lineRule="auto"/>
      </w:pPr>
      <w:r>
        <w:rPr>
          <w:color w:val="334155"/>
          <w:sz w:val="19"/>
        </w:rPr>
        <w:t>Appendices</w:t>
      </w:r>
    </w:p>
    <w:p>
      <w:pPr>
        <w:spacing w:before="40" w:after="80" w:line="276" w:lineRule="auto"/>
      </w:pPr>
      <w:r>
        <w:rPr>
          <w:color w:val="334155"/>
          <w:sz w:val="19"/>
        </w:rPr>
        <w:t>Appendix A: Analysis of economic contributions of land uses</w:t>
      </w:r>
    </w:p>
    <w:p>
      <w:pPr>
        <w:spacing w:before="40" w:after="80" w:line="276" w:lineRule="auto"/>
      </w:pPr>
      <w:r>
        <w:rPr>
          <w:color w:val="334155"/>
          <w:sz w:val="19"/>
        </w:rPr>
        <w:t>Appendix B: Consultations with NZEA</w:t>
      </w:r>
    </w:p>
    <w:p>
      <w:pPr>
        <w:spacing w:before="40" w:after="80" w:line="276" w:lineRule="auto"/>
      </w:pPr>
      <w:r>
        <w:rPr>
          <w:color w:val="334155"/>
          <w:sz w:val="19"/>
        </w:rPr>
        <w:t>Appendix C: Media scan</w:t>
      </w:r>
    </w:p>
    <w:p>
      <w:pPr>
        <w:spacing w:before="40" w:after="80" w:line="276" w:lineRule="auto"/>
      </w:pPr>
      <w:r>
        <w:rPr>
          <w:color w:val="334155"/>
          <w:sz w:val="19"/>
        </w:rPr>
        <w:t>Appendix D: Policy and legislation scan</w:t>
      </w:r>
    </w:p>
    <w:p>
      <w:pPr>
        <w:spacing w:before="40" w:after="80" w:line="276" w:lineRule="auto"/>
      </w:pPr>
      <w:r>
        <w:rPr>
          <w:color w:val="334155"/>
          <w:sz w:val="19"/>
        </w:rPr>
        <w:t>Appendix E: PTAL methodology</w:t>
      </w:r>
    </w:p>
    <w:p>
      <w:pPr>
        <w:spacing w:before="40" w:after="80" w:line="276" w:lineRule="auto"/>
      </w:pPr>
      <w:r>
        <w:rPr>
          <w:color w:val="334155"/>
          <w:sz w:val="19"/>
        </w:rPr>
        <w:t>Appendix F: Detailed PTAL of social infrastructure facilities in the SSA</w:t>
      </w:r>
    </w:p>
    <w:p>
      <w:pPr>
        <w:spacing w:before="40" w:after="80" w:line="276" w:lineRule="auto"/>
      </w:pPr>
      <w:r>
        <w:rPr>
          <w:color w:val="334155"/>
          <w:sz w:val="19"/>
        </w:rPr>
        <w:t>Appendix G: Data sources</w:t>
      </w:r>
    </w:p>
    <w:p>
      <w:pPr>
        <w:spacing w:before="40" w:after="80" w:line="276" w:lineRule="auto"/>
      </w:pPr>
      <w:r>
        <w:rPr>
          <w:color w:val="334155"/>
          <w:sz w:val="19"/>
        </w:rPr>
        <w:t>Appendix H: Socio-economic vulnerability indicators</w:t>
      </w:r>
    </w:p>
    <w:p>
      <w:pPr>
        <w:spacing w:before="40" w:after="80" w:line="276" w:lineRule="auto"/>
      </w:pPr>
      <w:r>
        <w:rPr>
          <w:color w:val="334155"/>
          <w:sz w:val="19"/>
        </w:rPr>
        <w:t>Appendix I: Key areas of community interest</w:t>
      </w:r>
    </w:p>
    <w:p>
      <w:pPr>
        <w:spacing w:before="40" w:after="80" w:line="276" w:lineRule="auto"/>
      </w:pPr>
      <w:r>
        <w:rPr>
          <w:color w:val="334155"/>
          <w:sz w:val="19"/>
        </w:rPr>
        <w:t>Appendix J: Non-Indigenous heritage items</w:t>
      </w:r>
    </w:p>
    <w:p>
      <w:pPr>
        <w:spacing w:before="40" w:after="80" w:line="276" w:lineRule="auto"/>
      </w:pPr>
      <w:r>
        <w:rPr>
          <w:color w:val="334155"/>
          <w:sz w:val="19"/>
        </w:rPr>
        <w:t>`</w:t>
      </w:r>
    </w:p>
    <w:p>
      <w:pPr>
        <w:pStyle w:val="Heading3"/>
        <w:keepNext/>
        <w:spacing w:before="160" w:after="40"/>
      </w:pPr>
      <w:r>
        <w:rPr>
          <w:b/>
          <w:color w:val="334155"/>
        </w:rPr>
        <w:t>Economics Report Page 9</w:t>
      </w:r>
    </w:p>
    <w:p>
      <w:pPr>
        <w:spacing w:before="40" w:after="80" w:line="276" w:lineRule="auto"/>
      </w:pPr>
      <w:r>
        <w:rPr>
          <w:color w:val="334155"/>
          <w:sz w:val="19"/>
        </w:rPr>
        <w:t>`</w:t>
      </w:r>
    </w:p>
    <w:p>
      <w:pPr>
        <w:spacing w:before="40" w:after="80" w:line="276" w:lineRule="auto"/>
      </w:pPr>
      <w:r>
        <w:rPr>
          <w:color w:val="334155"/>
          <w:sz w:val="19"/>
        </w:rPr>
        <w:t>9</w:t>
      </w:r>
    </w:p>
    <w:p>
      <w:pPr>
        <w:spacing w:before="40" w:after="80" w:line="276" w:lineRule="auto"/>
      </w:pPr>
      <w:r>
        <w:rPr>
          <w:color w:val="334155"/>
          <w:sz w:val="19"/>
        </w:rPr>
        <w:t>Figures</w:t>
      </w:r>
    </w:p>
    <w:p>
      <w:pPr>
        <w:spacing w:before="40" w:after="80" w:line="276" w:lineRule="auto"/>
      </w:pPr>
      <w:r>
        <w:rPr>
          <w:color w:val="334155"/>
          <w:sz w:val="19"/>
        </w:rPr>
        <w:t>Figure 1-1: Site context and Master Plan land use areas</w:t>
      </w:r>
    </w:p>
    <w:p>
      <w:pPr>
        <w:spacing w:before="40" w:after="80" w:line="276" w:lineRule="auto"/>
      </w:pPr>
      <w:r>
        <w:rPr>
          <w:color w:val="334155"/>
          <w:sz w:val="19"/>
        </w:rPr>
        <w:t>Figure 1-2: Lake Macquarie LGA economic snapshot</w:t>
      </w:r>
    </w:p>
    <w:p>
      <w:pPr>
        <w:spacing w:before="40" w:after="80" w:line="276" w:lineRule="auto"/>
      </w:pPr>
      <w:r>
        <w:rPr>
          <w:color w:val="334155"/>
          <w:sz w:val="19"/>
        </w:rPr>
        <w:t>Figure 2-1: Land use feasibility assessment framework</w:t>
      </w:r>
    </w:p>
    <w:p>
      <w:pPr>
        <w:spacing w:before="40" w:after="80" w:line="276" w:lineRule="auto"/>
      </w:pPr>
      <w:r>
        <w:rPr>
          <w:color w:val="334155"/>
          <w:sz w:val="19"/>
        </w:rPr>
        <w:t>Figure 2-2: Land use priority mapping</w:t>
      </w:r>
    </w:p>
    <w:p>
      <w:pPr>
        <w:spacing w:before="40" w:after="80" w:line="276" w:lineRule="auto"/>
      </w:pPr>
      <w:r>
        <w:rPr>
          <w:color w:val="334155"/>
          <w:sz w:val="19"/>
        </w:rPr>
        <w:t>Figure 2-3: Indicative categorisation of sub-precincts for the Site</w:t>
      </w:r>
    </w:p>
    <w:p>
      <w:pPr>
        <w:spacing w:before="40" w:after="80" w:line="276" w:lineRule="auto"/>
      </w:pPr>
      <w:r>
        <w:rPr>
          <w:color w:val="334155"/>
          <w:sz w:val="19"/>
        </w:rPr>
        <w:t>Figure 3-1: The Site structural constraint typologies</w:t>
      </w:r>
    </w:p>
    <w:p>
      <w:pPr>
        <w:spacing w:before="40" w:after="80" w:line="276" w:lineRule="auto"/>
      </w:pPr>
      <w:r>
        <w:rPr>
          <w:color w:val="334155"/>
          <w:sz w:val="19"/>
        </w:rPr>
        <w:t>Figure 6-1: Site social and economic study area</w:t>
      </w:r>
    </w:p>
    <w:p>
      <w:pPr>
        <w:spacing w:before="40" w:after="80" w:line="276" w:lineRule="auto"/>
      </w:pPr>
      <w:r>
        <w:rPr>
          <w:color w:val="334155"/>
          <w:sz w:val="19"/>
        </w:rPr>
        <w:t>Figure 6-2: Analytical approach for the economic, social and market assessment</w:t>
      </w:r>
    </w:p>
    <w:p>
      <w:pPr>
        <w:spacing w:before="40" w:after="80" w:line="276" w:lineRule="auto"/>
      </w:pPr>
      <w:r>
        <w:rPr>
          <w:color w:val="334155"/>
          <w:sz w:val="19"/>
        </w:rPr>
        <w:t>Figure 8-1: Demographic profile of the social and economic study areas,</w:t>
      </w:r>
    </w:p>
    <w:p>
      <w:pPr>
        <w:spacing w:before="40" w:after="80" w:line="276" w:lineRule="auto"/>
      </w:pPr>
      <w:r>
        <w:rPr>
          <w:color w:val="334155"/>
          <w:sz w:val="19"/>
        </w:rPr>
        <w:t>Figure 8-2: Lake Macquarie LGA forecast population and year-on-year growth</w:t>
      </w:r>
    </w:p>
    <w:p>
      <w:pPr>
        <w:spacing w:before="40" w:after="80" w:line="276" w:lineRule="auto"/>
      </w:pPr>
      <w:r>
        <w:rPr>
          <w:color w:val="334155"/>
          <w:sz w:val="19"/>
        </w:rPr>
        <w:t>Figure 8-3: Snapshot of Socio-economic vulnerability indicators,, ,</w:t>
      </w:r>
    </w:p>
    <w:p>
      <w:pPr>
        <w:spacing w:before="40" w:after="80" w:line="276" w:lineRule="auto"/>
      </w:pPr>
      <w:r>
        <w:rPr>
          <w:color w:val="334155"/>
          <w:sz w:val="19"/>
        </w:rPr>
        <w:t>Figure 8-4: Map of all non-Indigenous heritage sites</w:t>
      </w:r>
    </w:p>
    <w:p>
      <w:pPr>
        <w:spacing w:before="40" w:after="80" w:line="276" w:lineRule="auto"/>
      </w:pPr>
      <w:r>
        <w:rPr>
          <w:color w:val="334155"/>
          <w:sz w:val="19"/>
        </w:rPr>
        <w:t>Figure 8-5: Map of key areas of community interest in relation to the Site location.</w:t>
      </w:r>
    </w:p>
    <w:p>
      <w:pPr>
        <w:spacing w:before="40" w:after="80" w:line="276" w:lineRule="auto"/>
      </w:pPr>
      <w:r>
        <w:rPr>
          <w:color w:val="334155"/>
          <w:sz w:val="19"/>
        </w:rPr>
        <w:t>Figure 8-6: Social infrastructure within SSA</w:t>
      </w:r>
    </w:p>
    <w:p>
      <w:pPr>
        <w:spacing w:before="40" w:after="80" w:line="276" w:lineRule="auto"/>
      </w:pPr>
      <w:r>
        <w:rPr>
          <w:color w:val="334155"/>
          <w:sz w:val="19"/>
        </w:rPr>
        <w:t>Figure 8-7: Social infrastructure within 5km radius of the Site</w:t>
      </w:r>
    </w:p>
    <w:p>
      <w:pPr>
        <w:spacing w:before="40" w:after="80" w:line="276" w:lineRule="auto"/>
      </w:pPr>
      <w:r>
        <w:rPr>
          <w:color w:val="334155"/>
          <w:sz w:val="19"/>
        </w:rPr>
        <w:t>Figure 8-8: PTAL and social infrastructure near the Site</w:t>
      </w:r>
    </w:p>
    <w:p>
      <w:pPr>
        <w:spacing w:before="40" w:after="80" w:line="276" w:lineRule="auto"/>
      </w:pPr>
      <w:r>
        <w:rPr>
          <w:color w:val="334155"/>
          <w:sz w:val="19"/>
        </w:rPr>
        <w:t>Figure 8-9: SSA and ESA travel to work</w:t>
      </w:r>
    </w:p>
    <w:p>
      <w:pPr>
        <w:spacing w:before="40" w:after="80" w:line="276" w:lineRule="auto"/>
      </w:pPr>
      <w:r>
        <w:rPr>
          <w:color w:val="334155"/>
          <w:sz w:val="19"/>
        </w:rPr>
        <w:t>Figure 8-10: Lake Macquarie LGA output by industry ($M)</w:t>
      </w:r>
    </w:p>
    <w:p>
      <w:pPr>
        <w:spacing w:before="40" w:after="80" w:line="276" w:lineRule="auto"/>
      </w:pPr>
      <w:r>
        <w:rPr>
          <w:color w:val="334155"/>
          <w:sz w:val="19"/>
        </w:rPr>
        <w:t>Figure 8-11: Location Quotients of Lake Macquarie LGA and Change in Employment for the ten highest industries</w:t>
      </w:r>
    </w:p>
    <w:p>
      <w:pPr>
        <w:spacing w:before="40" w:after="80" w:line="276" w:lineRule="auto"/>
      </w:pPr>
      <w:r>
        <w:rPr>
          <w:color w:val="334155"/>
          <w:sz w:val="19"/>
        </w:rPr>
        <w:t>Figure 8-12: Total Employment within the ESA and SSA</w:t>
      </w:r>
    </w:p>
    <w:p>
      <w:pPr>
        <w:spacing w:before="40" w:after="80" w:line="276" w:lineRule="auto"/>
      </w:pPr>
      <w:r>
        <w:rPr>
          <w:color w:val="334155"/>
          <w:sz w:val="19"/>
        </w:rPr>
        <w:t>Figure 8-13: Projected change in Industry Employment in 2041 relative to 2026 across Lake Macquarie LGA</w:t>
      </w:r>
    </w:p>
    <w:p>
      <w:pPr>
        <w:spacing w:before="40" w:after="80" w:line="276" w:lineRule="auto"/>
      </w:pPr>
      <w:r>
        <w:rPr>
          <w:color w:val="334155"/>
          <w:sz w:val="19"/>
        </w:rPr>
        <w:t>Figure 8-14: Work and residence characteristics of mining workforce in Lake Macquarie LGA</w:t>
      </w:r>
    </w:p>
    <w:p>
      <w:pPr>
        <w:spacing w:before="40" w:after="80" w:line="276" w:lineRule="auto"/>
      </w:pPr>
      <w:r>
        <w:rPr>
          <w:color w:val="334155"/>
          <w:sz w:val="19"/>
        </w:rPr>
        <w:t>Figure 8-15: Number of coal mining dependent sector workers,, distributed by age for ESA and SSA</w:t>
      </w:r>
    </w:p>
    <w:p>
      <w:pPr>
        <w:spacing w:before="40" w:after="80" w:line="276" w:lineRule="auto"/>
      </w:pPr>
      <w:r>
        <w:rPr>
          <w:color w:val="334155"/>
          <w:sz w:val="19"/>
        </w:rPr>
        <w:t>Figure 8-16: Spatial distribution of mining workers in the ESA</w:t>
      </w:r>
    </w:p>
    <w:p>
      <w:pPr>
        <w:spacing w:before="40" w:after="80" w:line="276" w:lineRule="auto"/>
      </w:pPr>
      <w:r>
        <w:rPr>
          <w:color w:val="334155"/>
          <w:sz w:val="19"/>
        </w:rPr>
        <w:t>Figure 9-1: Framework principles for the government priorities land use tier system</w:t>
      </w:r>
    </w:p>
    <w:p>
      <w:pPr>
        <w:spacing w:before="40" w:after="80" w:line="276" w:lineRule="auto"/>
      </w:pPr>
      <w:r>
        <w:rPr>
          <w:color w:val="334155"/>
          <w:sz w:val="19"/>
        </w:rPr>
        <w:t>Figure 9-2: Population age-distribution for SSA, ESA and NSW</w:t>
      </w:r>
    </w:p>
    <w:p>
      <w:pPr>
        <w:spacing w:before="40" w:after="80" w:line="276" w:lineRule="auto"/>
      </w:pPr>
      <w:r>
        <w:rPr>
          <w:color w:val="334155"/>
          <w:sz w:val="19"/>
        </w:rPr>
        <w:t>Figure 9-3: Total income weekly across the SSA, ESA and NSW</w:t>
      </w:r>
    </w:p>
    <w:p>
      <w:pPr>
        <w:spacing w:before="40" w:after="80" w:line="276" w:lineRule="auto"/>
      </w:pPr>
      <w:r>
        <w:rPr>
          <w:color w:val="334155"/>
          <w:sz w:val="19"/>
        </w:rPr>
        <w:t>Figure 9-4: SEIFA IRSD index within SSA</w:t>
      </w:r>
    </w:p>
    <w:p>
      <w:pPr>
        <w:spacing w:before="40" w:after="80" w:line="276" w:lineRule="auto"/>
      </w:pPr>
      <w:r>
        <w:rPr>
          <w:color w:val="334155"/>
          <w:sz w:val="19"/>
        </w:rPr>
        <w:t>Tables</w:t>
      </w:r>
    </w:p>
    <w:p>
      <w:pPr>
        <w:spacing w:before="40" w:after="80" w:line="276" w:lineRule="auto"/>
      </w:pPr>
      <w:r>
        <w:rPr>
          <w:color w:val="334155"/>
          <w:sz w:val="19"/>
        </w:rPr>
        <w:t>Table 0-1: Market assessment summary of potential post-mining land uses</w:t>
      </w:r>
    </w:p>
    <w:p>
      <w:pPr>
        <w:spacing w:before="40" w:after="80" w:line="276" w:lineRule="auto"/>
      </w:pPr>
      <w:r>
        <w:rPr>
          <w:color w:val="334155"/>
          <w:sz w:val="19"/>
        </w:rPr>
        <w:t>Table 1-1: Macquarie Coal Complex Land Transformation Precinct technical packages</w:t>
      </w:r>
    </w:p>
    <w:p>
      <w:pPr>
        <w:spacing w:before="40" w:after="80" w:line="276" w:lineRule="auto"/>
      </w:pPr>
      <w:r>
        <w:rPr>
          <w:color w:val="334155"/>
          <w:sz w:val="19"/>
        </w:rPr>
        <w:t>Table 2-1: Market opportunities for the Site</w:t>
      </w:r>
    </w:p>
    <w:p>
      <w:pPr>
        <w:spacing w:before="40" w:after="80" w:line="276" w:lineRule="auto"/>
      </w:pPr>
      <w:r>
        <w:rPr>
          <w:color w:val="334155"/>
          <w:sz w:val="19"/>
        </w:rPr>
        <w:t>Table 2-2: Circular Economy, Industrial and Advanced Manufacturing market opportunities for the Site</w:t>
      </w:r>
    </w:p>
    <w:p>
      <w:pPr>
        <w:spacing w:before="40" w:after="80" w:line="276" w:lineRule="auto"/>
      </w:pPr>
      <w:r>
        <w:rPr>
          <w:color w:val="334155"/>
          <w:sz w:val="19"/>
        </w:rPr>
        <w:t>Table 2-3: Waste and Resource Recovery market opportunities for the Site</w:t>
      </w:r>
    </w:p>
    <w:p>
      <w:pPr>
        <w:spacing w:before="40" w:after="80" w:line="276" w:lineRule="auto"/>
      </w:pPr>
      <w:r>
        <w:rPr>
          <w:color w:val="334155"/>
          <w:sz w:val="19"/>
        </w:rPr>
        <w:t>Table 2-4: Energy Transition &amp; Renewable Infrastructure market opportunities</w:t>
      </w:r>
    </w:p>
    <w:p>
      <w:pPr>
        <w:spacing w:before="40" w:after="80" w:line="276" w:lineRule="auto"/>
      </w:pPr>
      <w:r>
        <w:rPr>
          <w:color w:val="334155"/>
          <w:sz w:val="19"/>
        </w:rPr>
        <w:t>Table 2-5: Data centres and digital infrastructure market opportunities</w:t>
      </w:r>
    </w:p>
    <w:p>
      <w:pPr>
        <w:spacing w:before="40" w:after="80" w:line="276" w:lineRule="auto"/>
      </w:pPr>
      <w:r>
        <w:rPr>
          <w:color w:val="334155"/>
          <w:sz w:val="19"/>
        </w:rPr>
        <w:t>Table 2-6: Freight Logistics, Distribution &amp; Supply Chain market opportunities for the Site</w:t>
      </w:r>
    </w:p>
    <w:p>
      <w:pPr>
        <w:spacing w:before="40" w:after="80" w:line="276" w:lineRule="auto"/>
      </w:pPr>
      <w:r>
        <w:rPr>
          <w:color w:val="334155"/>
          <w:sz w:val="19"/>
        </w:rPr>
        <w:t>Table 2-7: Community, Tourism and Agriculture opportunities for the Site</w:t>
      </w:r>
    </w:p>
    <w:p>
      <w:pPr>
        <w:spacing w:before="40" w:after="80" w:line="276" w:lineRule="auto"/>
      </w:pPr>
      <w:r>
        <w:rPr>
          <w:color w:val="334155"/>
          <w:sz w:val="19"/>
        </w:rPr>
        <w:t>Table 2-8: Residential opportunities for the Site</w:t>
      </w:r>
    </w:p>
    <w:p>
      <w:pPr>
        <w:spacing w:before="40" w:after="80" w:line="276" w:lineRule="auto"/>
      </w:pPr>
      <w:r>
        <w:rPr>
          <w:color w:val="334155"/>
          <w:sz w:val="19"/>
        </w:rPr>
        <w:t>Table 2-9: Education, Research &amp; Innovation market opportunities</w:t>
      </w:r>
    </w:p>
    <w:p>
      <w:pPr>
        <w:spacing w:before="40" w:after="80" w:line="276" w:lineRule="auto"/>
      </w:pPr>
      <w:r>
        <w:rPr>
          <w:color w:val="334155"/>
          <w:sz w:val="19"/>
        </w:rPr>
        <w:t>Table 3-1: Post-mining site redevelopment enablement and reform considerations</w:t>
      </w:r>
    </w:p>
    <w:p>
      <w:pPr>
        <w:spacing w:before="40" w:after="80" w:line="276" w:lineRule="auto"/>
      </w:pPr>
      <w:r>
        <w:rPr>
          <w:color w:val="334155"/>
          <w:sz w:val="19"/>
        </w:rPr>
        <w:t>Table 3-2: Key transition risks and mitigation strategies for the Site</w:t>
      </w:r>
    </w:p>
    <w:p>
      <w:pPr>
        <w:spacing w:before="40" w:after="80" w:line="276" w:lineRule="auto"/>
      </w:pPr>
      <w:r>
        <w:rPr>
          <w:color w:val="334155"/>
          <w:sz w:val="19"/>
        </w:rPr>
        <w:t>Table 4-1: Cumulative social impacts</w:t>
      </w:r>
    </w:p>
    <w:p>
      <w:pPr>
        <w:spacing w:before="40" w:after="80" w:line="276" w:lineRule="auto"/>
      </w:pPr>
      <w:r>
        <w:rPr>
          <w:color w:val="334155"/>
          <w:sz w:val="19"/>
        </w:rPr>
        <w:t>Table 4-2: Social considerations and implications</w:t>
      </w:r>
    </w:p>
    <w:p>
      <w:pPr>
        <w:spacing w:before="40" w:after="80" w:line="276" w:lineRule="auto"/>
      </w:pPr>
      <w:r>
        <w:rPr>
          <w:color w:val="334155"/>
          <w:sz w:val="19"/>
        </w:rPr>
        <w:t>Table 4-3: Social benefits and opportunities</w:t>
      </w:r>
    </w:p>
    <w:p>
      <w:pPr>
        <w:spacing w:before="40" w:after="80" w:line="276" w:lineRule="auto"/>
      </w:pPr>
      <w:r>
        <w:rPr>
          <w:color w:val="334155"/>
          <w:sz w:val="19"/>
        </w:rPr>
        <w:t>Table 4-4: Social findings in economic terms</w:t>
      </w:r>
    </w:p>
    <w:p>
      <w:pPr>
        <w:spacing w:before="40" w:after="80" w:line="276" w:lineRule="auto"/>
      </w:pPr>
      <w:r>
        <w:rPr>
          <w:color w:val="334155"/>
          <w:sz w:val="19"/>
        </w:rPr>
        <w:t>Table 5-1: Integrated land use key findings</w:t>
      </w:r>
    </w:p>
    <w:p>
      <w:pPr>
        <w:spacing w:before="40" w:after="80" w:line="276" w:lineRule="auto"/>
      </w:pPr>
      <w:r>
        <w:rPr>
          <w:color w:val="334155"/>
          <w:sz w:val="19"/>
        </w:rPr>
        <w:t>`</w:t>
      </w:r>
    </w:p>
    <w:p>
      <w:pPr>
        <w:pStyle w:val="Heading3"/>
        <w:keepNext/>
        <w:spacing w:before="160" w:after="40"/>
      </w:pPr>
      <w:r>
        <w:rPr>
          <w:b/>
          <w:color w:val="334155"/>
        </w:rPr>
        <w:t>Economics Report Page 10</w:t>
      </w:r>
    </w:p>
    <w:p>
      <w:pPr>
        <w:spacing w:before="40" w:after="80" w:line="276" w:lineRule="auto"/>
      </w:pPr>
      <w:r>
        <w:rPr>
          <w:color w:val="334155"/>
          <w:sz w:val="19"/>
        </w:rPr>
        <w:t>`</w:t>
      </w:r>
    </w:p>
    <w:p>
      <w:pPr>
        <w:spacing w:before="40" w:after="80" w:line="276" w:lineRule="auto"/>
      </w:pPr>
      <w:r>
        <w:rPr>
          <w:color w:val="334155"/>
          <w:sz w:val="19"/>
        </w:rPr>
        <w:t>10</w:t>
      </w:r>
    </w:p>
    <w:p>
      <w:pPr>
        <w:spacing w:before="40" w:after="80" w:line="276" w:lineRule="auto"/>
      </w:pPr>
      <w:r>
        <w:rPr>
          <w:color w:val="334155"/>
          <w:sz w:val="19"/>
        </w:rPr>
        <w:t>Table 5-2: Indicative timeframe development scenario and recommended strategy</w:t>
      </w:r>
    </w:p>
    <w:p>
      <w:pPr>
        <w:spacing w:before="40" w:after="80" w:line="276" w:lineRule="auto"/>
      </w:pPr>
      <w:r>
        <w:rPr>
          <w:color w:val="334155"/>
          <w:sz w:val="19"/>
        </w:rPr>
        <w:t>Table 5-3: Potential land use opportunities for future business case consideration</w:t>
      </w:r>
    </w:p>
    <w:p>
      <w:pPr>
        <w:spacing w:before="40" w:after="80" w:line="276" w:lineRule="auto"/>
      </w:pPr>
      <w:r>
        <w:rPr>
          <w:color w:val="334155"/>
          <w:sz w:val="19"/>
        </w:rPr>
        <w:t>Table 6-1: Social versus economic study area</w:t>
      </w:r>
    </w:p>
    <w:p>
      <w:pPr>
        <w:spacing w:before="40" w:after="80" w:line="276" w:lineRule="auto"/>
      </w:pPr>
      <w:r>
        <w:rPr>
          <w:color w:val="334155"/>
          <w:sz w:val="19"/>
        </w:rPr>
        <w:t>Table 6-2: Exclusions and dependencies of assessment</w:t>
      </w:r>
    </w:p>
    <w:p>
      <w:pPr>
        <w:spacing w:before="40" w:after="80" w:line="276" w:lineRule="auto"/>
      </w:pPr>
      <w:r>
        <w:rPr>
          <w:color w:val="334155"/>
          <w:sz w:val="19"/>
        </w:rPr>
        <w:t>Table 7-1: Relevant studies and key findings</w:t>
      </w:r>
    </w:p>
    <w:p>
      <w:pPr>
        <w:spacing w:before="40" w:after="80" w:line="276" w:lineRule="auto"/>
      </w:pPr>
      <w:r>
        <w:rPr>
          <w:color w:val="334155"/>
          <w:sz w:val="19"/>
        </w:rPr>
        <w:t>Table 7-2: Demand drivers of LGA</w:t>
      </w:r>
    </w:p>
    <w:p>
      <w:pPr>
        <w:spacing w:before="40" w:after="80" w:line="276" w:lineRule="auto"/>
      </w:pPr>
      <w:r>
        <w:rPr>
          <w:color w:val="334155"/>
          <w:sz w:val="19"/>
        </w:rPr>
        <w:t>Table 8-1: Vulnerability indicators and planning implications</w:t>
      </w:r>
    </w:p>
    <w:p>
      <w:pPr>
        <w:spacing w:before="40" w:after="80" w:line="276" w:lineRule="auto"/>
      </w:pPr>
      <w:r>
        <w:rPr>
          <w:color w:val="334155"/>
          <w:sz w:val="19"/>
        </w:rPr>
        <w:t>Table 8-2: Community values and identity overview</w:t>
      </w:r>
    </w:p>
    <w:p>
      <w:pPr>
        <w:spacing w:before="40" w:after="80" w:line="276" w:lineRule="auto"/>
      </w:pPr>
      <w:r>
        <w:rPr>
          <w:color w:val="334155"/>
          <w:sz w:val="19"/>
        </w:rPr>
        <w:t>Table 8-3: Key community values and priorities</w:t>
      </w:r>
    </w:p>
    <w:p>
      <w:pPr>
        <w:spacing w:before="40" w:after="80" w:line="276" w:lineRule="auto"/>
      </w:pPr>
      <w:r>
        <w:rPr>
          <w:color w:val="334155"/>
          <w:sz w:val="19"/>
        </w:rPr>
        <w:t>Table 8-4: Key areas of community interest within 5km of the Site</w:t>
      </w:r>
    </w:p>
    <w:p>
      <w:pPr>
        <w:spacing w:before="40" w:after="80" w:line="276" w:lineRule="auto"/>
      </w:pPr>
      <w:r>
        <w:rPr>
          <w:color w:val="334155"/>
          <w:sz w:val="19"/>
        </w:rPr>
        <w:t>Table 8-5: key findings of social infrastructure and public transport access</w:t>
      </w:r>
    </w:p>
    <w:p>
      <w:pPr>
        <w:spacing w:before="40" w:after="80" w:line="276" w:lineRule="auto"/>
      </w:pPr>
      <w:r>
        <w:rPr>
          <w:color w:val="334155"/>
          <w:sz w:val="19"/>
        </w:rPr>
        <w:t>Table 8-6: Social infrastructure facilities within the SSA and 5 km of the Site</w:t>
      </w:r>
    </w:p>
    <w:p>
      <w:pPr>
        <w:spacing w:before="40" w:after="80" w:line="276" w:lineRule="auto"/>
      </w:pPr>
      <w:r>
        <w:rPr>
          <w:color w:val="334155"/>
          <w:sz w:val="19"/>
        </w:rPr>
        <w:t>Table 8-7: Public transport accessibility by area</w:t>
      </w:r>
    </w:p>
    <w:p>
      <w:pPr>
        <w:spacing w:before="40" w:after="80" w:line="276" w:lineRule="auto"/>
      </w:pPr>
      <w:r>
        <w:rPr>
          <w:color w:val="334155"/>
          <w:sz w:val="19"/>
        </w:rPr>
        <w:t>Table 8-8: Public transport accessibility of social infrastructure facilities in the SSA</w:t>
      </w:r>
    </w:p>
    <w:p>
      <w:pPr>
        <w:spacing w:before="40" w:after="80" w:line="276" w:lineRule="auto"/>
      </w:pPr>
      <w:r>
        <w:rPr>
          <w:color w:val="334155"/>
          <w:sz w:val="19"/>
        </w:rPr>
        <w:t>Table 8-9: Population by broad age group, SSA and ESA</w:t>
      </w:r>
    </w:p>
    <w:p>
      <w:pPr>
        <w:spacing w:before="40" w:after="80" w:line="276" w:lineRule="auto"/>
      </w:pPr>
      <w:r>
        <w:rPr>
          <w:color w:val="334155"/>
          <w:sz w:val="19"/>
        </w:rPr>
        <w:t>Table 8-10: Total SSA and ESA labour force participation and employment (2021)</w:t>
      </w:r>
    </w:p>
    <w:p>
      <w:pPr>
        <w:spacing w:before="40" w:after="80" w:line="276" w:lineRule="auto"/>
      </w:pPr>
      <w:r>
        <w:rPr>
          <w:color w:val="334155"/>
          <w:sz w:val="19"/>
        </w:rPr>
        <w:t>Table 8-11: Total SSA and ESA skills and educational attainment (2021)</w:t>
      </w:r>
    </w:p>
    <w:p>
      <w:pPr>
        <w:spacing w:before="40" w:after="80" w:line="276" w:lineRule="auto"/>
      </w:pPr>
      <w:r>
        <w:rPr>
          <w:color w:val="334155"/>
          <w:sz w:val="19"/>
        </w:rPr>
        <w:t>Table 8-12: Number of jobs in the specified industry and change over time for SSA and ESA</w:t>
      </w:r>
    </w:p>
    <w:p>
      <w:pPr>
        <w:spacing w:before="40" w:after="80" w:line="276" w:lineRule="auto"/>
      </w:pPr>
      <w:r>
        <w:rPr>
          <w:color w:val="334155"/>
          <w:sz w:val="19"/>
        </w:rPr>
        <w:t>Table 8-13: Occupational concentration within coal mining dependent workforce in the ESA (2021)</w:t>
      </w:r>
    </w:p>
    <w:p>
      <w:pPr>
        <w:spacing w:before="40" w:after="80" w:line="276" w:lineRule="auto"/>
      </w:pPr>
      <w:r>
        <w:rPr>
          <w:color w:val="334155"/>
          <w:sz w:val="19"/>
        </w:rPr>
        <w:t>Table 9-1: 2023 CPAG workspace ratios and guidance</w:t>
      </w:r>
    </w:p>
    <w:p>
      <w:pPr>
        <w:spacing w:before="40" w:after="80" w:line="276" w:lineRule="auto"/>
      </w:pPr>
      <w:r>
        <w:rPr>
          <w:color w:val="334155"/>
          <w:sz w:val="19"/>
        </w:rPr>
        <w:t>Table 9-2: Annual economic contribution from circular economy and advanced manufacturing uses</w:t>
      </w:r>
    </w:p>
    <w:p>
      <w:pPr>
        <w:spacing w:before="40" w:after="80" w:line="276" w:lineRule="auto"/>
      </w:pPr>
      <w:r>
        <w:rPr>
          <w:color w:val="334155"/>
          <w:sz w:val="19"/>
        </w:rPr>
        <w:t>Table 9-3: Estimated direct economic contribution per annum from waste and resource recovery land use</w:t>
      </w:r>
    </w:p>
    <w:p>
      <w:pPr>
        <w:spacing w:before="40" w:after="80" w:line="276" w:lineRule="auto"/>
      </w:pPr>
      <w:r>
        <w:rPr>
          <w:color w:val="334155"/>
          <w:sz w:val="19"/>
        </w:rPr>
        <w:t>Table 9-4: Annual economic contribution from energy transition infrastructure</w:t>
      </w:r>
    </w:p>
    <w:p>
      <w:pPr>
        <w:spacing w:before="40" w:after="80" w:line="276" w:lineRule="auto"/>
      </w:pPr>
      <w:r>
        <w:rPr>
          <w:color w:val="334155"/>
          <w:sz w:val="19"/>
        </w:rPr>
        <w:t>Table 9-5: Direct operational impacts of data centres and digital infrastructure</w:t>
      </w:r>
    </w:p>
    <w:p>
      <w:pPr>
        <w:spacing w:before="40" w:after="80" w:line="276" w:lineRule="auto"/>
      </w:pPr>
      <w:r>
        <w:rPr>
          <w:color w:val="334155"/>
          <w:sz w:val="19"/>
        </w:rPr>
        <w:t>Table 9-6: Annual economic contribution from freight, logistics and supply chain uses</w:t>
      </w:r>
    </w:p>
    <w:p>
      <w:pPr>
        <w:spacing w:before="40" w:after="80" w:line="276" w:lineRule="auto"/>
      </w:pPr>
      <w:r>
        <w:rPr>
          <w:color w:val="334155"/>
          <w:sz w:val="19"/>
        </w:rPr>
        <w:t>Table 9-7: Estimated direct economic contribution per annum from community, tourism and agriculture land use</w:t>
      </w:r>
    </w:p>
    <w:p>
      <w:pPr>
        <w:spacing w:before="40" w:after="80" w:line="276" w:lineRule="auto"/>
      </w:pPr>
      <w:r>
        <w:rPr>
          <w:color w:val="334155"/>
          <w:sz w:val="19"/>
        </w:rPr>
        <w:t>Table 9-8: Estimated direct economic contribution per annum from residential land use</w:t>
      </w:r>
    </w:p>
    <w:p>
      <w:pPr>
        <w:spacing w:before="40" w:after="80" w:line="276" w:lineRule="auto"/>
      </w:pPr>
      <w:r>
        <w:rPr>
          <w:color w:val="334155"/>
          <w:sz w:val="19"/>
        </w:rPr>
        <w:t>Table 9-9: Land uses tier system based on government priorities</w:t>
      </w:r>
    </w:p>
    <w:p>
      <w:pPr>
        <w:spacing w:before="40" w:after="80" w:line="276" w:lineRule="auto"/>
      </w:pPr>
      <w:r>
        <w:rPr>
          <w:color w:val="334155"/>
          <w:sz w:val="19"/>
        </w:rPr>
        <w:t>Table 9-10: Media scan and key points relevant to PLMU Sites throughout the SSA and ESA.</w:t>
      </w:r>
    </w:p>
    <w:p>
      <w:pPr>
        <w:spacing w:before="40" w:after="80" w:line="276" w:lineRule="auto"/>
      </w:pPr>
      <w:r>
        <w:rPr>
          <w:color w:val="334155"/>
          <w:sz w:val="19"/>
        </w:rPr>
        <w:t>Table 9-11: State and local policy and legislation scan</w:t>
      </w:r>
    </w:p>
    <w:p>
      <w:pPr>
        <w:spacing w:before="40" w:after="80" w:line="276" w:lineRule="auto"/>
      </w:pPr>
      <w:r>
        <w:rPr>
          <w:color w:val="334155"/>
          <w:sz w:val="19"/>
        </w:rPr>
        <w:t>Table 9-12: Data sources for the economic, social and market assessment</w:t>
      </w:r>
    </w:p>
    <w:p>
      <w:pPr>
        <w:spacing w:before="40" w:after="80" w:line="276" w:lineRule="auto"/>
      </w:pPr>
      <w:r>
        <w:rPr>
          <w:color w:val="334155"/>
          <w:sz w:val="19"/>
        </w:rPr>
        <w:t>Table 9-13: Most advantaged and disadvantaged suburbs within the SSA and ESA</w:t>
      </w:r>
    </w:p>
    <w:p>
      <w:pPr>
        <w:spacing w:before="40" w:after="80" w:line="276" w:lineRule="auto"/>
      </w:pPr>
      <w:r>
        <w:rPr>
          <w:color w:val="334155"/>
          <w:sz w:val="19"/>
        </w:rPr>
        <w:t>Table 9-14 Key areas of community interest</w:t>
      </w:r>
    </w:p>
    <w:p>
      <w:pPr>
        <w:spacing w:before="40" w:after="80" w:line="276" w:lineRule="auto"/>
      </w:pPr>
      <w:r>
        <w:rPr>
          <w:color w:val="334155"/>
          <w:sz w:val="19"/>
        </w:rPr>
        <w:t>`</w:t>
      </w:r>
    </w:p>
    <w:p>
      <w:pPr>
        <w:pStyle w:val="Heading3"/>
        <w:keepNext/>
        <w:spacing w:before="160" w:after="40"/>
      </w:pPr>
      <w:r>
        <w:rPr>
          <w:b/>
          <w:color w:val="334155"/>
        </w:rPr>
        <w:t>Economics Report Page 12</w:t>
      </w:r>
    </w:p>
    <w:p>
      <w:pPr>
        <w:spacing w:before="40" w:after="80" w:line="276" w:lineRule="auto"/>
      </w:pPr>
      <w:r>
        <w:rPr>
          <w:color w:val="334155"/>
          <w:sz w:val="19"/>
        </w:rPr>
        <w:t>`</w:t>
      </w:r>
    </w:p>
    <w:p>
      <w:pPr>
        <w:spacing w:before="40" w:after="80" w:line="276" w:lineRule="auto"/>
      </w:pPr>
      <w:r>
        <w:rPr>
          <w:color w:val="334155"/>
          <w:sz w:val="19"/>
        </w:rPr>
        <w:t>2</w:t>
      </w:r>
    </w:p>
    <w:p>
      <w:pPr>
        <w:spacing w:before="40" w:after="80" w:line="276" w:lineRule="auto"/>
      </w:pPr>
      <w:r>
        <w:rPr>
          <w:color w:val="334155"/>
          <w:sz w:val="19"/>
        </w:rPr>
        <w:t>1</w:t>
      </w:r>
    </w:p>
    <w:p>
      <w:pPr>
        <w:spacing w:before="40" w:after="80" w:line="276" w:lineRule="auto"/>
      </w:pPr>
      <w:r>
        <w:rPr>
          <w:color w:val="334155"/>
          <w:sz w:val="19"/>
        </w:rPr>
        <w:t>Introduction and background</w:t>
      </w:r>
    </w:p>
    <w:p>
      <w:pPr>
        <w:spacing w:before="40" w:after="80" w:line="276" w:lineRule="auto"/>
      </w:pPr>
      <w:r>
        <w:rPr>
          <w:color w:val="334155"/>
          <w:sz w:val="19"/>
        </w:rPr>
        <w:t>This Section focuses on project overview, Site, the purpose of the report, strategic alignment and relationship to other</w:t>
      </w:r>
    </w:p>
    <w:p>
      <w:pPr>
        <w:spacing w:before="40" w:after="80" w:line="276" w:lineRule="auto"/>
      </w:pPr>
      <w:r>
        <w:rPr>
          <w:color w:val="334155"/>
          <w:sz w:val="19"/>
        </w:rPr>
        <w:t>packages.</w:t>
      </w:r>
    </w:p>
    <w:p>
      <w:pPr>
        <w:spacing w:before="40" w:after="80" w:line="276" w:lineRule="auto"/>
      </w:pPr>
      <w:r>
        <w:rPr>
          <w:color w:val="334155"/>
          <w:sz w:val="19"/>
        </w:rPr>
        <w:t>1.1 Project overview</w:t>
      </w:r>
    </w:p>
    <w:p>
      <w:pPr>
        <w:spacing w:before="40" w:after="80" w:line="276" w:lineRule="auto"/>
      </w:pPr>
      <w:r>
        <w:rPr>
          <w:color w:val="334155"/>
          <w:sz w:val="19"/>
        </w:rPr>
        <w:t>The Macquarie Coal Complex Pilot Project was initiated as part of the NSW Government’s wider response to the</w:t>
      </w:r>
    </w:p>
    <w:p>
      <w:pPr>
        <w:spacing w:before="40" w:after="80" w:line="276" w:lineRule="auto"/>
      </w:pPr>
      <w:r>
        <w:rPr>
          <w:color w:val="334155"/>
          <w:sz w:val="19"/>
        </w:rPr>
        <w:t>Beneficial and productive post-mining land use Parliamentary Inquiry. 4  In July 2025 the NSW Government committed</w:t>
      </w:r>
    </w:p>
    <w:p>
      <w:pPr>
        <w:spacing w:before="40" w:after="80" w:line="276" w:lineRule="auto"/>
      </w:pPr>
      <w:r>
        <w:rPr>
          <w:color w:val="334155"/>
          <w:sz w:val="19"/>
        </w:rPr>
        <w:t>to undertake two pilot projects to demonstrate how alternative post-mining land uses can be delivered under the</w:t>
      </w:r>
    </w:p>
    <w:p>
      <w:pPr>
        <w:spacing w:before="40" w:after="80" w:line="276" w:lineRule="auto"/>
      </w:pPr>
      <w:r>
        <w:rPr>
          <w:color w:val="334155"/>
          <w:sz w:val="19"/>
        </w:rPr>
        <w:t>existing planning and regulatory framework.</w:t>
      </w:r>
    </w:p>
    <w:p>
      <w:pPr>
        <w:spacing w:before="40" w:after="80" w:line="276" w:lineRule="auto"/>
      </w:pPr>
      <w:r>
        <w:rPr>
          <w:color w:val="334155"/>
          <w:sz w:val="19"/>
        </w:rPr>
        <w:t>The Macquarie Coal Complex Master Plan was prepared by the Department of Planning, Housing and Infrastructure</w:t>
      </w:r>
    </w:p>
    <w:p>
      <w:pPr>
        <w:spacing w:before="40" w:after="80" w:line="276" w:lineRule="auto"/>
      </w:pPr>
      <w:r>
        <w:rPr>
          <w:color w:val="334155"/>
          <w:sz w:val="19"/>
        </w:rPr>
        <w:t>(DPHI) in partnership with Lake Macquarie City Council (Council), Net Zero Economy Authority (NZEA) and relevant</w:t>
      </w:r>
    </w:p>
    <w:p>
      <w:pPr>
        <w:spacing w:before="40" w:after="80" w:line="276" w:lineRule="auto"/>
      </w:pPr>
      <w:r>
        <w:rPr>
          <w:color w:val="334155"/>
          <w:sz w:val="19"/>
        </w:rPr>
        <w:t>NSW Government agencies involved in post-mining land use, regional development and investment delivery. The</w:t>
      </w:r>
    </w:p>
    <w:p>
      <w:pPr>
        <w:spacing w:before="40" w:after="80" w:line="276" w:lineRule="auto"/>
      </w:pPr>
      <w:r>
        <w:rPr>
          <w:color w:val="334155"/>
          <w:sz w:val="19"/>
        </w:rPr>
        <w:t>Department and Council have undertaken master planning informed by technical studies, to support the coordinated</w:t>
      </w:r>
    </w:p>
    <w:p>
      <w:pPr>
        <w:spacing w:before="40" w:after="80" w:line="276" w:lineRule="auto"/>
      </w:pPr>
      <w:r>
        <w:rPr>
          <w:color w:val="334155"/>
          <w:sz w:val="19"/>
        </w:rPr>
        <w:t>transition of a former mine site to alternative employment generating land uses in the Precinct</w:t>
      </w:r>
    </w:p>
    <w:p>
      <w:pPr>
        <w:spacing w:before="40" w:after="80" w:line="276" w:lineRule="auto"/>
      </w:pPr>
      <w:r>
        <w:rPr>
          <w:color w:val="334155"/>
          <w:sz w:val="19"/>
        </w:rPr>
        <w:t>The Rezoning Proposal applies to approximately 1,160 hectares of land which includes the Macquarie Coal Complex</w:t>
      </w:r>
    </w:p>
    <w:p>
      <w:pPr>
        <w:spacing w:before="40" w:after="80" w:line="276" w:lineRule="auto"/>
      </w:pPr>
      <w:r>
        <w:rPr>
          <w:color w:val="334155"/>
          <w:sz w:val="19"/>
        </w:rPr>
        <w:t>Precinct and Teralba Southgate, collectively referred to as the “Site”.</w:t>
      </w:r>
    </w:p>
    <w:p>
      <w:pPr>
        <w:spacing w:before="40" w:after="80" w:line="276" w:lineRule="auto"/>
      </w:pPr>
      <w:r>
        <w:rPr>
          <w:color w:val="334155"/>
          <w:sz w:val="19"/>
        </w:rPr>
        <w:t>The Precinct sits adjacent to the Lake Macquarie Northwest Catalyst Area.  It is bounded by the suburb of Barnsley to</w:t>
      </w:r>
    </w:p>
    <w:p>
      <w:pPr>
        <w:spacing w:before="40" w:after="80" w:line="276" w:lineRule="auto"/>
      </w:pPr>
      <w:r>
        <w:rPr>
          <w:color w:val="334155"/>
          <w:sz w:val="19"/>
        </w:rPr>
        <w:t>the north, Cockle Creek and the Central-Coast Newcastle main passenger and freight train line to the east, Teralba and</w:t>
      </w:r>
    </w:p>
    <w:p>
      <w:pPr>
        <w:spacing w:before="40" w:after="80" w:line="276" w:lineRule="auto"/>
      </w:pPr>
      <w:r>
        <w:rPr>
          <w:color w:val="334155"/>
          <w:sz w:val="19"/>
        </w:rPr>
        <w:t>Wakefield to the south and Killingworth to the west. The M1 Pacific Motorway and Sugarloaf State Conservation Area</w:t>
      </w:r>
    </w:p>
    <w:p>
      <w:pPr>
        <w:spacing w:before="40" w:after="80" w:line="276" w:lineRule="auto"/>
      </w:pPr>
      <w:r>
        <w:rPr>
          <w:color w:val="334155"/>
          <w:sz w:val="19"/>
        </w:rPr>
        <w:t>adjoin the western boundary of the Site.</w:t>
      </w:r>
    </w:p>
    <w:p>
      <w:pPr>
        <w:spacing w:before="40" w:after="80" w:line="276" w:lineRule="auto"/>
      </w:pPr>
      <w:r>
        <w:rPr>
          <w:color w:val="334155"/>
          <w:sz w:val="19"/>
        </w:rPr>
        <w:t>Teralba Southgate is located at 91 York Street, Teralba, approximately 1.5 km southeast of the Precinct, 400 m from</w:t>
      </w:r>
    </w:p>
    <w:p>
      <w:pPr>
        <w:spacing w:before="40" w:after="80" w:line="276" w:lineRule="auto"/>
      </w:pPr>
      <w:r>
        <w:rPr>
          <w:color w:val="334155"/>
          <w:sz w:val="19"/>
        </w:rPr>
        <w:t>Teralba Train Station and 250 m from Booragul Train Station.</w:t>
      </w:r>
    </w:p>
    <w:p>
      <w:pPr>
        <w:spacing w:before="40" w:after="80" w:line="276" w:lineRule="auto"/>
      </w:pPr>
      <w:r>
        <w:rPr>
          <w:color w:val="334155"/>
          <w:sz w:val="19"/>
        </w:rPr>
        <w:t>Strategic road and rail connections position the Site to support established and emerging industries and contribute to</w:t>
      </w:r>
    </w:p>
    <w:p>
      <w:pPr>
        <w:spacing w:before="40" w:after="80" w:line="276" w:lineRule="auto"/>
      </w:pPr>
      <w:r>
        <w:rPr>
          <w:color w:val="334155"/>
          <w:sz w:val="19"/>
        </w:rPr>
        <w:t>a diverse post-mining economy. The Site also provides opportunities to protect and enhance natural systems, cultural</w:t>
      </w:r>
    </w:p>
    <w:p>
      <w:pPr>
        <w:spacing w:before="40" w:after="80" w:line="276" w:lineRule="auto"/>
      </w:pPr>
      <w:r>
        <w:rPr>
          <w:color w:val="334155"/>
          <w:sz w:val="19"/>
        </w:rPr>
        <w:t>and historic assets, and support long-term community and environmental benefit.</w:t>
      </w:r>
    </w:p>
    <w:p>
      <w:pPr>
        <w:spacing w:before="40" w:after="80" w:line="276" w:lineRule="auto"/>
      </w:pPr>
      <w:r>
        <w:rPr>
          <w:color w:val="334155"/>
          <w:sz w:val="19"/>
        </w:rPr>
        <w:t>The Site is located in a region with a strong and transferable skills base in mining, heavy industry, logistics,</w:t>
      </w:r>
    </w:p>
    <w:p>
      <w:pPr>
        <w:spacing w:before="40" w:after="80" w:line="276" w:lineRule="auto"/>
      </w:pPr>
      <w:r>
        <w:rPr>
          <w:color w:val="334155"/>
          <w:sz w:val="19"/>
        </w:rPr>
        <w:t>construction and land management. As regional mining operations transition toward closure, these skills represent a</w:t>
      </w:r>
    </w:p>
    <w:p>
      <w:pPr>
        <w:spacing w:before="40" w:after="80" w:line="276" w:lineRule="auto"/>
      </w:pPr>
      <w:r>
        <w:rPr>
          <w:color w:val="334155"/>
          <w:sz w:val="19"/>
        </w:rPr>
        <w:t>significant asset that can be redirected to support new and emerging industries.</w:t>
      </w:r>
    </w:p>
    <w:p>
      <w:pPr>
        <w:spacing w:before="40" w:after="80" w:line="276" w:lineRule="auto"/>
      </w:pPr>
      <w:r>
        <w:rPr>
          <w:color w:val="334155"/>
          <w:sz w:val="19"/>
        </w:rPr>
        <w:t>The Master Plan identifies the arrangement of developable areas, environmentally constrained areas, recreational</w:t>
      </w:r>
    </w:p>
    <w:p>
      <w:pPr>
        <w:spacing w:before="40" w:after="80" w:line="276" w:lineRule="auto"/>
      </w:pPr>
      <w:r>
        <w:rPr>
          <w:color w:val="334155"/>
          <w:sz w:val="19"/>
        </w:rPr>
        <w:t>areas, movement networks and key constraints across the Site and outlines the spatial logic for future development at</w:t>
      </w:r>
    </w:p>
    <w:p>
      <w:pPr>
        <w:spacing w:before="40" w:after="80" w:line="276" w:lineRule="auto"/>
      </w:pPr>
      <w:r>
        <w:rPr>
          <w:color w:val="334155"/>
          <w:sz w:val="19"/>
        </w:rPr>
        <w:t>a precinct scale, providing a framework within which detailed design, subdivision and development assessment will</w:t>
      </w:r>
    </w:p>
    <w:p>
      <w:pPr>
        <w:spacing w:before="40" w:after="80" w:line="276" w:lineRule="auto"/>
      </w:pPr>
      <w:r>
        <w:rPr>
          <w:color w:val="334155"/>
          <w:sz w:val="19"/>
        </w:rPr>
        <w:t>occur.</w:t>
      </w:r>
    </w:p>
    <w:p>
      <w:pPr>
        <w:spacing w:before="40" w:after="80" w:line="276" w:lineRule="auto"/>
      </w:pPr>
      <w:r>
        <w:rPr>
          <w:color w:val="334155"/>
          <w:sz w:val="19"/>
        </w:rPr>
        <w:t>The Site is a non-operational mining site located within the Lake Macquarie Local Government Area (LGA) undergoing</w:t>
      </w:r>
    </w:p>
    <w:p>
      <w:pPr>
        <w:spacing w:before="40" w:after="80" w:line="276" w:lineRule="auto"/>
      </w:pPr>
      <w:r>
        <w:rPr>
          <w:color w:val="334155"/>
          <w:sz w:val="19"/>
        </w:rPr>
        <w:t>rehabilitation. The Site forms part of a broader regional landscape that is undergoing economic, environmental and</w:t>
      </w:r>
    </w:p>
    <w:p>
      <w:pPr>
        <w:spacing w:before="40" w:after="80" w:line="276" w:lineRule="auto"/>
      </w:pPr>
      <w:r>
        <w:rPr>
          <w:color w:val="334155"/>
          <w:sz w:val="19"/>
        </w:rPr>
        <w:t>land use transition as coal related activity declines and mining and energy assets are considered for alternative</w:t>
      </w:r>
    </w:p>
    <w:p>
      <w:pPr>
        <w:spacing w:before="40" w:after="80" w:line="276" w:lineRule="auto"/>
      </w:pPr>
      <w:r>
        <w:rPr>
          <w:color w:val="334155"/>
          <w:sz w:val="19"/>
        </w:rPr>
        <w:t>productive land uses.</w:t>
      </w:r>
    </w:p>
    <w:p>
      <w:pPr>
        <w:spacing w:before="40" w:after="80" w:line="276" w:lineRule="auto"/>
      </w:pPr>
      <w:r>
        <w:rPr>
          <w:color w:val="334155"/>
          <w:sz w:val="19"/>
        </w:rPr>
        <w:t>The Site has historically supported mining related activity and associated infrastructure. The Site now presents an</w:t>
      </w:r>
    </w:p>
    <w:p>
      <w:pPr>
        <w:spacing w:before="40" w:after="80" w:line="276" w:lineRule="auto"/>
      </w:pPr>
      <w:r>
        <w:rPr>
          <w:color w:val="334155"/>
          <w:sz w:val="19"/>
        </w:rPr>
        <w:t>opportunity to consider future post-mining land uses that can deliver economic, social and community benefit while</w:t>
      </w:r>
    </w:p>
    <w:p>
      <w:pPr>
        <w:spacing w:before="40" w:after="80" w:line="276" w:lineRule="auto"/>
      </w:pPr>
      <w:r>
        <w:rPr>
          <w:color w:val="334155"/>
          <w:sz w:val="19"/>
        </w:rPr>
        <w:t>responding to rehabilitation, environmental, infrastructure and planning requirements.</w:t>
      </w:r>
    </w:p>
    <w:p>
      <w:pPr>
        <w:spacing w:before="40" w:after="80" w:line="276" w:lineRule="auto"/>
      </w:pPr>
      <w:r>
        <w:rPr>
          <w:color w:val="334155"/>
          <w:sz w:val="19"/>
        </w:rPr>
        <w:t>4 Cooperative Research Centre for Transformations in Mining Economies (CRC TiME) (2024) Inquiry into Beneficial and Productive Post-Mining Land</w:t>
      </w:r>
    </w:p>
    <w:p>
      <w:pPr>
        <w:spacing w:before="40" w:after="80" w:line="276" w:lineRule="auto"/>
      </w:pPr>
      <w:r>
        <w:rPr>
          <w:color w:val="334155"/>
          <w:sz w:val="19"/>
        </w:rPr>
        <w:t>Use, Submission No. 67.</w:t>
      </w:r>
    </w:p>
    <w:p>
      <w:pPr>
        <w:spacing w:before="40" w:after="80" w:line="276" w:lineRule="auto"/>
      </w:pPr>
      <w:r>
        <w:rPr>
          <w:color w:val="334155"/>
          <w:sz w:val="19"/>
        </w:rPr>
        <w:t>`</w:t>
      </w:r>
    </w:p>
    <w:p>
      <w:pPr>
        <w:pStyle w:val="Heading3"/>
        <w:keepNext/>
        <w:spacing w:before="160" w:after="40"/>
      </w:pPr>
      <w:r>
        <w:rPr>
          <w:b/>
          <w:color w:val="334155"/>
        </w:rPr>
        <w:t>Economics Report Page 13</w:t>
      </w:r>
    </w:p>
    <w:p>
      <w:pPr>
        <w:spacing w:before="40" w:after="80" w:line="276" w:lineRule="auto"/>
      </w:pPr>
      <w:r>
        <w:rPr>
          <w:color w:val="334155"/>
          <w:sz w:val="19"/>
        </w:rPr>
        <w:t>`</w:t>
      </w:r>
    </w:p>
    <w:p>
      <w:pPr>
        <w:spacing w:before="40" w:after="80" w:line="276" w:lineRule="auto"/>
      </w:pPr>
      <w:r>
        <w:rPr>
          <w:color w:val="334155"/>
          <w:sz w:val="19"/>
        </w:rPr>
        <w:t>3</w:t>
      </w:r>
    </w:p>
    <w:p>
      <w:pPr>
        <w:spacing w:before="40" w:after="80" w:line="276" w:lineRule="auto"/>
      </w:pPr>
      <w:r>
        <w:rPr>
          <w:color w:val="334155"/>
          <w:sz w:val="19"/>
        </w:rPr>
        <w:t>This assessment tests how former mining land can be planned, enabled and transitioned to support employment-</w:t>
      </w:r>
    </w:p>
    <w:p>
      <w:pPr>
        <w:spacing w:before="40" w:after="80" w:line="276" w:lineRule="auto"/>
      </w:pPr>
      <w:r>
        <w:rPr>
          <w:color w:val="334155"/>
          <w:sz w:val="19"/>
        </w:rPr>
        <w:t>generating land uses, regional economic resilience and broader community benefit.</w:t>
      </w:r>
    </w:p>
    <w:p>
      <w:pPr>
        <w:spacing w:before="40" w:after="80" w:line="276" w:lineRule="auto"/>
      </w:pPr>
      <w:r>
        <w:rPr>
          <w:color w:val="334155"/>
          <w:sz w:val="19"/>
        </w:rPr>
        <w:t>Figure 1-1: Site context and Master Plan land use areas</w:t>
      </w:r>
    </w:p>
    <w:p>
      <w:pPr>
        <w:spacing w:before="40" w:after="80" w:line="276" w:lineRule="auto"/>
      </w:pPr>
      <w:r>
        <w:rPr>
          <w:color w:val="334155"/>
          <w:sz w:val="19"/>
        </w:rPr>
        <w:t>Figure 1-1 shows the Site context and Master Plan land use areas, including developable areas, environmentally</w:t>
      </w:r>
    </w:p>
    <w:p>
      <w:pPr>
        <w:spacing w:before="40" w:after="80" w:line="276" w:lineRule="auto"/>
      </w:pPr>
      <w:r>
        <w:rPr>
          <w:color w:val="334155"/>
          <w:sz w:val="19"/>
        </w:rPr>
        <w:t>constrained areas and further investigation areas.</w:t>
      </w:r>
    </w:p>
    <w:p>
      <w:pPr>
        <w:spacing w:before="40" w:after="80" w:line="276" w:lineRule="auto"/>
      </w:pPr>
      <w:r>
        <w:rPr>
          <w:color w:val="334155"/>
          <w:sz w:val="19"/>
        </w:rPr>
        <w:t>1.2 Lake Macquarie's strategic role in regional transition economy</w:t>
      </w:r>
    </w:p>
    <w:p>
      <w:pPr>
        <w:spacing w:before="40" w:after="80" w:line="276" w:lineRule="auto"/>
      </w:pPr>
      <w:r>
        <w:rPr>
          <w:color w:val="334155"/>
          <w:sz w:val="19"/>
        </w:rPr>
        <w:t>Lake Macquarie is strategically positioned within the Greater Newcastle and Hunter regional economy, with a large</w:t>
      </w:r>
    </w:p>
    <w:p>
      <w:pPr>
        <w:spacing w:before="40" w:after="80" w:line="276" w:lineRule="auto"/>
      </w:pPr>
      <w:r>
        <w:rPr>
          <w:color w:val="334155"/>
          <w:sz w:val="19"/>
        </w:rPr>
        <w:t>employment base and strong connectivity to the Port of Newcastle, established freight networks, major transport</w:t>
      </w:r>
    </w:p>
    <w:p>
      <w:pPr>
        <w:spacing w:before="40" w:after="80" w:line="276" w:lineRule="auto"/>
      </w:pPr>
      <w:r>
        <w:rPr>
          <w:color w:val="334155"/>
          <w:sz w:val="19"/>
        </w:rPr>
        <w:t>corridors, the Central Coast and Sydney. 5  These locational advantages support the area’s role in the Lower Hunter</w:t>
      </w:r>
    </w:p>
    <w:p>
      <w:pPr>
        <w:spacing w:before="40" w:after="80" w:line="276" w:lineRule="auto"/>
      </w:pPr>
      <w:r>
        <w:rPr>
          <w:color w:val="334155"/>
          <w:sz w:val="19"/>
        </w:rPr>
        <w:t>economic system and provide a basis for future employment-generating land uses linked to regional transition.</w:t>
      </w:r>
    </w:p>
    <w:p>
      <w:pPr>
        <w:spacing w:before="40" w:after="80" w:line="276" w:lineRule="auto"/>
      </w:pPr>
      <w:r>
        <w:rPr>
          <w:color w:val="334155"/>
          <w:sz w:val="19"/>
        </w:rPr>
        <w:t>The Lake Macquarie community strongly supports the economic transition away from coal alongside a clear</w:t>
      </w:r>
    </w:p>
    <w:p>
      <w:pPr>
        <w:spacing w:before="40" w:after="80" w:line="276" w:lineRule="auto"/>
      </w:pPr>
      <w:r>
        <w:rPr>
          <w:color w:val="334155"/>
          <w:sz w:val="19"/>
        </w:rPr>
        <w:t>expectation that redevelopment delivers new jobs, affordable housing, and improved infrastructure.6 Residents place</w:t>
      </w:r>
    </w:p>
    <w:p>
      <w:pPr>
        <w:spacing w:before="40" w:after="80" w:line="276" w:lineRule="auto"/>
      </w:pPr>
      <w:r>
        <w:rPr>
          <w:color w:val="334155"/>
          <w:sz w:val="19"/>
        </w:rPr>
        <w:t>high value on environmental quality, public spaces, and overall liveability, while expressing concerns about housing</w:t>
      </w:r>
    </w:p>
    <w:p>
      <w:pPr>
        <w:spacing w:before="40" w:after="80" w:line="276" w:lineRule="auto"/>
      </w:pPr>
      <w:r>
        <w:rPr>
          <w:color w:val="334155"/>
          <w:sz w:val="19"/>
        </w:rPr>
        <w:t>affordability, transport connectivity, and involvement in decision-making.7</w:t>
      </w:r>
    </w:p>
    <w:p>
      <w:pPr>
        <w:spacing w:before="40" w:after="80" w:line="276" w:lineRule="auto"/>
      </w:pPr>
      <w:r>
        <w:rPr>
          <w:color w:val="334155"/>
          <w:sz w:val="19"/>
        </w:rPr>
        <w:t>5 Lake Macquarie City Council (2024) North West Catalyst Area Place Strategy.</w:t>
      </w:r>
    </w:p>
    <w:p>
      <w:pPr>
        <w:spacing w:before="40" w:after="80" w:line="276" w:lineRule="auto"/>
      </w:pPr>
      <w:r>
        <w:rPr>
          <w:color w:val="334155"/>
          <w:sz w:val="19"/>
        </w:rPr>
        <w:t>6 Lake Macquarie City Council (2025) Community Strategic Plan 2025–2035.</w:t>
      </w:r>
    </w:p>
    <w:p>
      <w:pPr>
        <w:spacing w:before="40" w:after="80" w:line="276" w:lineRule="auto"/>
      </w:pPr>
      <w:r>
        <w:rPr>
          <w:color w:val="334155"/>
          <w:sz w:val="19"/>
        </w:rPr>
        <w:t>7Place Score (2023) 2023 Australian Liveability Census Lake Macquarie City Council - Priorities, Values and Performance Report</w:t>
      </w:r>
    </w:p>
    <w:p>
      <w:pPr>
        <w:spacing w:before="40" w:after="80" w:line="276" w:lineRule="auto"/>
      </w:pPr>
      <w:r>
        <w:rPr>
          <w:color w:val="334155"/>
          <w:sz w:val="19"/>
        </w:rPr>
        <w:t>`</w:t>
      </w:r>
    </w:p>
    <w:p>
      <w:pPr>
        <w:pStyle w:val="Heading2"/>
        <w:keepNext/>
        <w:spacing w:before="240" w:after="80"/>
      </w:pPr>
      <w:r>
        <w:rPr>
          <w:b/>
          <w:color w:val="0284C7"/>
        </w:rPr>
        <w:t>6. Traffic, Transport &amp; Rail Infrastructure</w:t>
      </w:r>
    </w:p>
    <w:p>
      <w:pPr>
        <w:pStyle w:val="Heading3"/>
        <w:keepNext/>
        <w:spacing w:before="160" w:after="40"/>
      </w:pPr>
      <w:r>
        <w:rPr>
          <w:b/>
          <w:color w:val="334155"/>
        </w:rPr>
        <w:t>Traffic Report Page 3</w:t>
      </w:r>
    </w:p>
    <w:p>
      <w:pPr>
        <w:spacing w:before="40" w:after="80" w:line="276" w:lineRule="auto"/>
      </w:pPr>
      <w:r>
        <w:rPr>
          <w:color w:val="334155"/>
          <w:sz w:val="19"/>
        </w:rPr>
        <w:t>`</w:t>
      </w:r>
    </w:p>
    <w:p>
      <w:pPr>
        <w:spacing w:before="40" w:after="80" w:line="276" w:lineRule="auto"/>
      </w:pPr>
      <w:r>
        <w:rPr>
          <w:color w:val="334155"/>
          <w:sz w:val="19"/>
        </w:rPr>
        <w:t>Project number 531168-000  File Final_Traffic &amp; Transport_Engineering Report Structure.docx  2026-07-13  Revision C</w:t>
      </w:r>
    </w:p>
    <w:p>
      <w:pPr>
        <w:spacing w:before="40" w:after="80" w:line="276" w:lineRule="auto"/>
      </w:pPr>
      <w:r>
        <w:rPr>
          <w:color w:val="334155"/>
          <w:sz w:val="19"/>
        </w:rPr>
        <w:t>Executive summary</w:t>
      </w:r>
    </w:p>
    <w:p>
      <w:pPr>
        <w:spacing w:before="40" w:after="80" w:line="276" w:lineRule="auto"/>
      </w:pPr>
      <w:r>
        <w:rPr>
          <w:color w:val="334155"/>
          <w:sz w:val="19"/>
        </w:rPr>
        <w:t>This Traffic and Transport Report has been prepared to support the State led rezoning and associated</w:t>
      </w:r>
    </w:p>
    <w:p>
      <w:pPr>
        <w:spacing w:before="40" w:after="80" w:line="276" w:lineRule="auto"/>
      </w:pPr>
      <w:r>
        <w:rPr>
          <w:color w:val="334155"/>
          <w:sz w:val="19"/>
        </w:rPr>
        <w:t>master planning of the Macquarie Coal Complex (the Precinct) and Teralba South Gate sub-precinct</w:t>
      </w:r>
    </w:p>
    <w:p>
      <w:pPr>
        <w:spacing w:before="40" w:after="80" w:line="276" w:lineRule="auto"/>
      </w:pPr>
      <w:r>
        <w:rPr>
          <w:color w:val="334155"/>
          <w:sz w:val="19"/>
        </w:rPr>
        <w:t>(collectively referred to as the Site), a large post mining landholding west of Cockle Creek in the Lake</w:t>
      </w:r>
    </w:p>
    <w:p>
      <w:pPr>
        <w:spacing w:before="40" w:after="80" w:line="276" w:lineRule="auto"/>
      </w:pPr>
      <w:r>
        <w:rPr>
          <w:color w:val="334155"/>
          <w:sz w:val="19"/>
        </w:rPr>
        <w:t>Macquarie Local Government Area. The Site would be located between Teralba and Barnsley, framed by the</w:t>
      </w:r>
    </w:p>
    <w:p>
      <w:pPr>
        <w:spacing w:before="40" w:after="80" w:line="276" w:lineRule="auto"/>
      </w:pPr>
      <w:r>
        <w:rPr>
          <w:color w:val="334155"/>
          <w:sz w:val="19"/>
        </w:rPr>
        <w:t>M1 Pacific Motorway to the west, the B89 George Booth Drive and Main Road corridor to the north and the</w:t>
      </w:r>
    </w:p>
    <w:p>
      <w:pPr>
        <w:spacing w:before="40" w:after="80" w:line="276" w:lineRule="auto"/>
      </w:pPr>
      <w:r>
        <w:rPr>
          <w:color w:val="334155"/>
          <w:sz w:val="19"/>
        </w:rPr>
        <w:t>B53 arterial to the east. Wakefield Road is the key north-south spine through the area.</w:t>
      </w:r>
    </w:p>
    <w:p>
      <w:pPr>
        <w:spacing w:before="40" w:after="80" w:line="276" w:lineRule="auto"/>
      </w:pPr>
      <w:r>
        <w:rPr>
          <w:color w:val="334155"/>
          <w:sz w:val="19"/>
        </w:rPr>
        <w:t>The Site would comprise approximately 211,100 m2 of large format warehousing across the Cockle Creek</w:t>
      </w:r>
    </w:p>
    <w:p>
      <w:pPr>
        <w:spacing w:before="40" w:after="80" w:line="276" w:lineRule="auto"/>
      </w:pPr>
      <w:r>
        <w:rPr>
          <w:color w:val="334155"/>
          <w:sz w:val="19"/>
        </w:rPr>
        <w:t>and Killingworth employment cores, and a mixed-use core of around 18,100 m2 at West Lake. At full</w:t>
      </w:r>
    </w:p>
    <w:p>
      <w:pPr>
        <w:spacing w:before="40" w:after="80" w:line="276" w:lineRule="auto"/>
      </w:pPr>
      <w:r>
        <w:rPr>
          <w:color w:val="334155"/>
          <w:sz w:val="19"/>
        </w:rPr>
        <w:t>development, the Site is anticipated to generate in the order of 12,470 daily trips of which 1,030 trips are</w:t>
      </w:r>
    </w:p>
    <w:p>
      <w:pPr>
        <w:spacing w:before="40" w:after="80" w:line="276" w:lineRule="auto"/>
      </w:pPr>
      <w:r>
        <w:rPr>
          <w:color w:val="334155"/>
          <w:sz w:val="19"/>
        </w:rPr>
        <w:t>expected to be heavy vehicles and 300 RAV 19 metre B-doubles. Peak hour volumes are expected to be in</w:t>
      </w:r>
    </w:p>
    <w:p>
      <w:pPr>
        <w:spacing w:before="40" w:after="80" w:line="276" w:lineRule="auto"/>
      </w:pPr>
      <w:r>
        <w:rPr>
          <w:color w:val="334155"/>
          <w:sz w:val="19"/>
        </w:rPr>
        <w:t>the order of 1,400 vehicles in the AM peak and 1,300 in the PM peak.</w:t>
      </w:r>
    </w:p>
    <w:p>
      <w:pPr>
        <w:spacing w:before="40" w:after="80" w:line="276" w:lineRule="auto"/>
      </w:pPr>
      <w:r>
        <w:rPr>
          <w:color w:val="334155"/>
          <w:sz w:val="19"/>
        </w:rPr>
        <w:t>Midblock and intersection performance was reviewed across the base year and the short, medium and long</w:t>
      </w:r>
    </w:p>
    <w:p>
      <w:pPr>
        <w:spacing w:before="40" w:after="80" w:line="276" w:lineRule="auto"/>
      </w:pPr>
      <w:r>
        <w:rPr>
          <w:color w:val="334155"/>
          <w:sz w:val="19"/>
        </w:rPr>
        <w:t>term, with and without the Precinct and a new Cockle Creek crossing. In the base year the network is</w:t>
      </w:r>
    </w:p>
    <w:p>
      <w:pPr>
        <w:spacing w:before="40" w:after="80" w:line="276" w:lineRule="auto"/>
      </w:pPr>
      <w:r>
        <w:rPr>
          <w:color w:val="334155"/>
          <w:sz w:val="19"/>
        </w:rPr>
        <w:t>expected to operate at Level of Service (LoS) A to B, with only the Northville Drive corridor toward the B89</w:t>
      </w:r>
    </w:p>
    <w:p>
      <w:pPr>
        <w:spacing w:before="40" w:after="80" w:line="276" w:lineRule="auto"/>
      </w:pPr>
      <w:r>
        <w:rPr>
          <w:color w:val="334155"/>
          <w:sz w:val="19"/>
        </w:rPr>
        <w:t>approaching LoS C to D.</w:t>
      </w:r>
    </w:p>
    <w:p>
      <w:pPr>
        <w:spacing w:before="40" w:after="80" w:line="276" w:lineRule="auto"/>
      </w:pPr>
      <w:r>
        <w:rPr>
          <w:color w:val="334155"/>
          <w:sz w:val="19"/>
        </w:rPr>
        <w:t>Background growth is expected to drive the Northville Drive corridor to LoS E by the long term. The southern</w:t>
      </w:r>
    </w:p>
    <w:p>
      <w:pPr>
        <w:spacing w:before="40" w:after="80" w:line="276" w:lineRule="auto"/>
      </w:pPr>
      <w:r>
        <w:rPr>
          <w:color w:val="334155"/>
          <w:sz w:val="19"/>
        </w:rPr>
        <w:t>and western network would remain at LoS A to C with the Precinct throughout. The Northville Drive and The</w:t>
      </w:r>
    </w:p>
    <w:p>
      <w:pPr>
        <w:spacing w:before="40" w:after="80" w:line="276" w:lineRule="auto"/>
      </w:pPr>
      <w:r>
        <w:rPr>
          <w:color w:val="334155"/>
          <w:sz w:val="19"/>
        </w:rPr>
        <w:t>Weir Road intersections on the northern approach to the B89, would have adjoining links reaching LoS D in</w:t>
      </w:r>
    </w:p>
    <w:p>
      <w:pPr>
        <w:spacing w:before="40" w:after="80" w:line="276" w:lineRule="auto"/>
      </w:pPr>
      <w:r>
        <w:rPr>
          <w:color w:val="334155"/>
          <w:sz w:val="19"/>
        </w:rPr>
        <w:t>the short term and level of service F by the long term and consequently have been identified for potential</w:t>
      </w:r>
    </w:p>
    <w:p>
      <w:pPr>
        <w:spacing w:before="40" w:after="80" w:line="276" w:lineRule="auto"/>
      </w:pPr>
      <w:r>
        <w:rPr>
          <w:color w:val="334155"/>
          <w:sz w:val="19"/>
        </w:rPr>
        <w:t>upgrade, with proportionate contributions where they reach capacity under background growth.</w:t>
      </w:r>
    </w:p>
    <w:p>
      <w:pPr>
        <w:spacing w:before="40" w:after="80" w:line="276" w:lineRule="auto"/>
      </w:pPr>
      <w:r>
        <w:rPr>
          <w:color w:val="334155"/>
          <w:sz w:val="19"/>
        </w:rPr>
        <w:t>Cockle Creek is a major line of severance for access in the wider area resulting in an already congested</w:t>
      </w:r>
    </w:p>
    <w:p>
      <w:pPr>
        <w:spacing w:before="40" w:after="80" w:line="276" w:lineRule="auto"/>
      </w:pPr>
      <w:r>
        <w:rPr>
          <w:color w:val="334155"/>
          <w:sz w:val="19"/>
        </w:rPr>
        <w:t>network to the southeast of the precinct. Reducing future vehicle demands on existing creek crossings</w:t>
      </w:r>
    </w:p>
    <w:p>
      <w:pPr>
        <w:spacing w:before="40" w:after="80" w:line="276" w:lineRule="auto"/>
      </w:pPr>
      <w:r>
        <w:rPr>
          <w:color w:val="334155"/>
          <w:sz w:val="19"/>
        </w:rPr>
        <w:t>through traffic management, mode shift, infrastructure upgrades and potential new infrastructure will be</w:t>
      </w:r>
    </w:p>
    <w:p>
      <w:pPr>
        <w:spacing w:before="40" w:after="80" w:line="276" w:lineRule="auto"/>
      </w:pPr>
      <w:r>
        <w:rPr>
          <w:color w:val="334155"/>
          <w:sz w:val="19"/>
        </w:rPr>
        <w:t>appropriately incorporated within the onward planning for the precinct.</w:t>
      </w:r>
    </w:p>
    <w:p>
      <w:pPr>
        <w:spacing w:before="40" w:after="80" w:line="276" w:lineRule="auto"/>
      </w:pPr>
      <w:r>
        <w:rPr>
          <w:color w:val="334155"/>
          <w:sz w:val="19"/>
        </w:rPr>
        <w:t>Three structural findings drive the network strategy:</w:t>
      </w:r>
    </w:p>
    <w:p>
      <w:pPr>
        <w:spacing w:before="40" w:after="80" w:line="276" w:lineRule="auto"/>
      </w:pPr>
      <w:r>
        <w:rPr>
          <w:color w:val="334155"/>
          <w:sz w:val="19"/>
        </w:rPr>
        <w:t>◼ The approved RAV B-double network does not extend into the Precinct, and heavy vehicle access would</w:t>
      </w:r>
    </w:p>
    <w:p>
      <w:pPr>
        <w:spacing w:before="40" w:after="80" w:line="276" w:lineRule="auto"/>
      </w:pPr>
      <w:r>
        <w:rPr>
          <w:color w:val="334155"/>
          <w:sz w:val="19"/>
        </w:rPr>
        <w:t>need to be newly established. Upgrading The Weir Road would provide the first compliant RAV route in</w:t>
      </w:r>
    </w:p>
    <w:p>
      <w:pPr>
        <w:spacing w:before="40" w:after="80" w:line="276" w:lineRule="auto"/>
      </w:pPr>
      <w:r>
        <w:rPr>
          <w:color w:val="334155"/>
          <w:sz w:val="19"/>
        </w:rPr>
        <w:t>the short term, the Wakefield Road route to the M1 would follow in the medium term as the principal</w:t>
      </w:r>
    </w:p>
    <w:p>
      <w:pPr>
        <w:spacing w:before="40" w:after="80" w:line="276" w:lineRule="auto"/>
      </w:pPr>
      <w:r>
        <w:rPr>
          <w:color w:val="334155"/>
          <w:sz w:val="19"/>
        </w:rPr>
        <w:t>freight route avoiding Barnsley, Holmesville and nearby schools. RAV access from the east through</w:t>
      </w:r>
    </w:p>
    <w:p>
      <w:pPr>
        <w:spacing w:before="40" w:after="80" w:line="276" w:lineRule="auto"/>
      </w:pPr>
      <w:r>
        <w:rPr>
          <w:color w:val="334155"/>
          <w:sz w:val="19"/>
        </w:rPr>
        <w:t>Teralba could be considered in the long term but would likely require a new road and creek crossing to</w:t>
      </w:r>
    </w:p>
    <w:p>
      <w:pPr>
        <w:spacing w:before="40" w:after="80" w:line="276" w:lineRule="auto"/>
      </w:pPr>
      <w:r>
        <w:rPr>
          <w:color w:val="334155"/>
          <w:sz w:val="19"/>
        </w:rPr>
        <w:t>bypass the grade constrained Rhondda Road</w:t>
      </w:r>
    </w:p>
    <w:p>
      <w:pPr>
        <w:spacing w:before="40" w:after="80" w:line="276" w:lineRule="auto"/>
      </w:pPr>
      <w:r>
        <w:rPr>
          <w:color w:val="334155"/>
          <w:sz w:val="19"/>
        </w:rPr>
        <w:t>◼ Rhondda Road climbs features a sustained uphill climb of approximately 1 km for eastbound traffic with</w:t>
      </w:r>
    </w:p>
    <w:p>
      <w:pPr>
        <w:spacing w:before="40" w:after="80" w:line="276" w:lineRule="auto"/>
      </w:pPr>
      <w:r>
        <w:rPr>
          <w:color w:val="334155"/>
          <w:sz w:val="19"/>
        </w:rPr>
        <w:t>grades ranging from 5 to 10%, followed by a sustained downhill descent of over 1 km at similar grades</w:t>
      </w:r>
    </w:p>
    <w:p>
      <w:pPr>
        <w:spacing w:before="40" w:after="80" w:line="276" w:lineRule="auto"/>
      </w:pPr>
      <w:r>
        <w:rPr>
          <w:color w:val="334155"/>
          <w:sz w:val="19"/>
        </w:rPr>
        <w:t>with localised slopes over 12 per cent, beyond the Austroads limit for heavy vehicles, so the Precinct is</w:t>
      </w:r>
    </w:p>
    <w:p>
      <w:pPr>
        <w:spacing w:before="40" w:after="80" w:line="276" w:lineRule="auto"/>
      </w:pPr>
      <w:r>
        <w:rPr>
          <w:color w:val="334155"/>
          <w:sz w:val="19"/>
        </w:rPr>
        <w:t>not accessible for freight from Teralba by the existing Rhondda Road alignment. Alternative eastern</w:t>
      </w:r>
    </w:p>
    <w:p>
      <w:pPr>
        <w:spacing w:before="40" w:after="80" w:line="276" w:lineRule="auto"/>
      </w:pPr>
      <w:r>
        <w:rPr>
          <w:color w:val="334155"/>
          <w:sz w:val="19"/>
        </w:rPr>
        <w:t>access to the Precinct suitable for RAV would be a key part of the strategy, this could be a new Cockle</w:t>
      </w:r>
    </w:p>
    <w:p>
      <w:pPr>
        <w:spacing w:before="40" w:after="80" w:line="276" w:lineRule="auto"/>
      </w:pPr>
      <w:r>
        <w:rPr>
          <w:color w:val="334155"/>
          <w:sz w:val="19"/>
        </w:rPr>
        <w:t>Creek crossing or upgrades to other infrastructure that currently restricts RAV access.</w:t>
      </w:r>
    </w:p>
    <w:p>
      <w:pPr>
        <w:spacing w:before="40" w:after="80" w:line="276" w:lineRule="auto"/>
      </w:pPr>
      <w:r>
        <w:rPr>
          <w:color w:val="334155"/>
          <w:sz w:val="19"/>
        </w:rPr>
        <w:t>◼ The Five Islands Road crossing of Cockle Creek is the only principal crossing and already operates at or</w:t>
      </w:r>
    </w:p>
    <w:p>
      <w:pPr>
        <w:spacing w:before="40" w:after="80" w:line="276" w:lineRule="auto"/>
      </w:pPr>
      <w:r>
        <w:rPr>
          <w:color w:val="334155"/>
          <w:sz w:val="19"/>
        </w:rPr>
        <w:t>near capacity. Therefore, the potential for a second crossing is a consideration in managing Precinct</w:t>
      </w:r>
    </w:p>
    <w:p>
      <w:pPr>
        <w:spacing w:before="40" w:after="80" w:line="276" w:lineRule="auto"/>
      </w:pPr>
      <w:r>
        <w:rPr>
          <w:color w:val="334155"/>
          <w:sz w:val="19"/>
        </w:rPr>
        <w:t>traffic in the long term.</w:t>
      </w:r>
    </w:p>
    <w:p>
      <w:pPr>
        <w:spacing w:before="40" w:after="80" w:line="276" w:lineRule="auto"/>
      </w:pPr>
      <w:r>
        <w:rPr>
          <w:color w:val="334155"/>
          <w:sz w:val="19"/>
        </w:rPr>
        <w:t>A staged upgrade program has been identified:</w:t>
      </w:r>
    </w:p>
    <w:p>
      <w:pPr>
        <w:spacing w:before="40" w:after="80" w:line="276" w:lineRule="auto"/>
      </w:pPr>
      <w:r>
        <w:rPr>
          <w:color w:val="334155"/>
          <w:sz w:val="19"/>
        </w:rPr>
        <w:t>◼ Short term (0 to 10 years). Establish The Weir Road as a RAV 19 metre B-double route to the northern</w:t>
      </w:r>
    </w:p>
    <w:p>
      <w:pPr>
        <w:spacing w:before="40" w:after="80" w:line="276" w:lineRule="auto"/>
      </w:pPr>
      <w:r>
        <w:rPr>
          <w:color w:val="334155"/>
          <w:sz w:val="19"/>
        </w:rPr>
        <w:t>access, deliver sub-precinct access intersections, and signalise and upgrade the Northville Drive</w:t>
      </w:r>
    </w:p>
    <w:p>
      <w:pPr>
        <w:spacing w:before="40" w:after="80" w:line="276" w:lineRule="auto"/>
      </w:pPr>
      <w:r>
        <w:rPr>
          <w:color w:val="334155"/>
          <w:sz w:val="19"/>
        </w:rPr>
        <w:t>intersections at The Weir Road and the B89 as well as the Northville Drive / Appletree Road / Wakefield</w:t>
      </w:r>
    </w:p>
    <w:p>
      <w:pPr>
        <w:spacing w:before="40" w:after="80" w:line="276" w:lineRule="auto"/>
      </w:pPr>
      <w:r>
        <w:rPr>
          <w:color w:val="334155"/>
          <w:sz w:val="19"/>
        </w:rPr>
        <w:t>Road intersection. Establish active transport links and extend public transport connections into the sub-</w:t>
      </w:r>
    </w:p>
    <w:p>
      <w:pPr>
        <w:spacing w:before="40" w:after="80" w:line="276" w:lineRule="auto"/>
      </w:pPr>
      <w:r>
        <w:rPr>
          <w:color w:val="334155"/>
          <w:sz w:val="19"/>
        </w:rPr>
        <w:t>precincts</w:t>
      </w:r>
    </w:p>
    <w:p>
      <w:pPr>
        <w:spacing w:before="40" w:after="80" w:line="276" w:lineRule="auto"/>
      </w:pPr>
      <w:r>
        <w:rPr>
          <w:color w:val="334155"/>
          <w:sz w:val="19"/>
        </w:rPr>
        <w:t>◼ Medium term (10 to 20 years). Upgrade and approve Wakefield Road as the principal RAV 19 metre B-</w:t>
      </w:r>
    </w:p>
    <w:p>
      <w:pPr>
        <w:spacing w:before="40" w:after="80" w:line="276" w:lineRule="auto"/>
      </w:pPr>
      <w:r>
        <w:rPr>
          <w:color w:val="334155"/>
          <w:sz w:val="19"/>
        </w:rPr>
        <w:t>double route to the M1, upgrade the bridge over the railway in Teralba, deliver improved east-west</w:t>
      </w:r>
    </w:p>
    <w:p>
      <w:pPr>
        <w:spacing w:before="40" w:after="80" w:line="276" w:lineRule="auto"/>
      </w:pPr>
      <w:r>
        <w:rPr>
          <w:color w:val="334155"/>
          <w:sz w:val="19"/>
        </w:rPr>
        <w:t>`</w:t>
      </w:r>
    </w:p>
    <w:p>
      <w:pPr>
        <w:pStyle w:val="Heading3"/>
        <w:keepNext/>
        <w:spacing w:before="160" w:after="40"/>
      </w:pPr>
      <w:r>
        <w:rPr>
          <w:b/>
          <w:color w:val="334155"/>
        </w:rPr>
        <w:t>Traffic Report Page 4</w:t>
      </w:r>
    </w:p>
    <w:p>
      <w:pPr>
        <w:spacing w:before="40" w:after="80" w:line="276" w:lineRule="auto"/>
      </w:pPr>
      <w:r>
        <w:rPr>
          <w:color w:val="334155"/>
          <w:sz w:val="19"/>
        </w:rPr>
        <w:t>`</w:t>
      </w:r>
    </w:p>
    <w:p>
      <w:pPr>
        <w:spacing w:before="40" w:after="80" w:line="276" w:lineRule="auto"/>
      </w:pPr>
      <w:r>
        <w:rPr>
          <w:color w:val="334155"/>
          <w:sz w:val="19"/>
        </w:rPr>
        <w:t>Project number 531168-000  File Final_Traffic &amp; Transport_Engineering Report Structure.docx  2026-07-13  Revision C</w:t>
      </w:r>
    </w:p>
    <w:p>
      <w:pPr>
        <w:spacing w:before="40" w:after="80" w:line="276" w:lineRule="auto"/>
      </w:pPr>
      <w:r>
        <w:rPr>
          <w:color w:val="334155"/>
          <w:sz w:val="19"/>
        </w:rPr>
        <w:t>connectivity via a new internal road connecting to Wakefield Road, and provide internal spine duplication</w:t>
      </w:r>
    </w:p>
    <w:p>
      <w:pPr>
        <w:spacing w:before="40" w:after="80" w:line="276" w:lineRule="auto"/>
      </w:pPr>
      <w:r>
        <w:rPr>
          <w:color w:val="334155"/>
          <w:sz w:val="19"/>
        </w:rPr>
        <w:t>of the Northville Drive corridor.</w:t>
      </w:r>
    </w:p>
    <w:p>
      <w:pPr>
        <w:spacing w:before="40" w:after="80" w:line="276" w:lineRule="auto"/>
      </w:pPr>
      <w:r>
        <w:rPr>
          <w:color w:val="334155"/>
          <w:sz w:val="19"/>
        </w:rPr>
        <w:t>◼ Long term (20 plus years). Protect and progress a direct M1 connection, potential reactivation of the</w:t>
      </w:r>
    </w:p>
    <w:p>
      <w:pPr>
        <w:spacing w:before="40" w:after="80" w:line="276" w:lineRule="auto"/>
      </w:pPr>
      <w:r>
        <w:rPr>
          <w:color w:val="334155"/>
          <w:sz w:val="19"/>
        </w:rPr>
        <w:t>colliery rail loop with a south facing junction connecting to the Main North Rail Line, railway overpass over</w:t>
      </w:r>
    </w:p>
    <w:p>
      <w:pPr>
        <w:spacing w:before="40" w:after="80" w:line="276" w:lineRule="auto"/>
      </w:pPr>
      <w:r>
        <w:rPr>
          <w:color w:val="334155"/>
          <w:sz w:val="19"/>
        </w:rPr>
        <w:t>Racecourse Road upgrade, and integration with the Lower Hunter Freight Corridor and High Speed Rail.</w:t>
      </w:r>
    </w:p>
    <w:p>
      <w:pPr>
        <w:spacing w:before="40" w:after="80" w:line="276" w:lineRule="auto"/>
      </w:pPr>
      <w:r>
        <w:rPr>
          <w:color w:val="334155"/>
          <w:sz w:val="19"/>
        </w:rPr>
        <w:t>The assessment concludes that the proposed rezoning is not expected to be the sole contributor to future</w:t>
      </w:r>
    </w:p>
    <w:p>
      <w:pPr>
        <w:spacing w:before="40" w:after="80" w:line="276" w:lineRule="auto"/>
      </w:pPr>
      <w:r>
        <w:rPr>
          <w:color w:val="334155"/>
          <w:sz w:val="19"/>
        </w:rPr>
        <w:t>constraints on the surrounding road network, with background growth of local traffic being a key driver of the</w:t>
      </w:r>
    </w:p>
    <w:p>
      <w:pPr>
        <w:spacing w:before="40" w:after="80" w:line="276" w:lineRule="auto"/>
      </w:pPr>
      <w:r>
        <w:rPr>
          <w:color w:val="334155"/>
          <w:sz w:val="19"/>
        </w:rPr>
        <w:t>degradation in performance at the key intersections and corridors. Subject to the staged upgrade program</w:t>
      </w:r>
    </w:p>
    <w:p>
      <w:pPr>
        <w:spacing w:before="40" w:after="80" w:line="276" w:lineRule="auto"/>
      </w:pPr>
      <w:r>
        <w:rPr>
          <w:color w:val="334155"/>
          <w:sz w:val="19"/>
        </w:rPr>
        <w:t>identified in this report, there are no presently known transport issues that would make the rezoning</w:t>
      </w:r>
    </w:p>
    <w:p>
      <w:pPr>
        <w:spacing w:before="40" w:after="80" w:line="276" w:lineRule="auto"/>
      </w:pPr>
      <w:r>
        <w:rPr>
          <w:color w:val="334155"/>
          <w:sz w:val="19"/>
        </w:rPr>
        <w:t>inherently unfeasible.</w:t>
      </w:r>
    </w:p>
    <w:p>
      <w:pPr>
        <w:spacing w:before="40" w:after="80" w:line="276" w:lineRule="auto"/>
      </w:pPr>
      <w:r>
        <w:rPr>
          <w:color w:val="334155"/>
          <w:sz w:val="19"/>
        </w:rPr>
        <w:t>`</w:t>
      </w:r>
    </w:p>
    <w:p>
      <w:pPr>
        <w:pStyle w:val="Heading3"/>
        <w:keepNext/>
        <w:spacing w:before="160" w:after="40"/>
      </w:pPr>
      <w:r>
        <w:rPr>
          <w:b/>
          <w:color w:val="334155"/>
        </w:rPr>
        <w:t>Traffic Report Page 5</w:t>
      </w:r>
    </w:p>
    <w:p>
      <w:pPr>
        <w:spacing w:before="40" w:after="80" w:line="276" w:lineRule="auto"/>
      </w:pPr>
      <w:r>
        <w:rPr>
          <w:color w:val="334155"/>
          <w:sz w:val="19"/>
        </w:rPr>
        <w:t>`</w:t>
      </w:r>
    </w:p>
    <w:p>
      <w:pPr>
        <w:spacing w:before="40" w:after="80" w:line="276" w:lineRule="auto"/>
      </w:pPr>
      <w:r>
        <w:rPr>
          <w:color w:val="334155"/>
          <w:sz w:val="19"/>
        </w:rPr>
        <w:t>Contents</w:t>
      </w:r>
    </w:p>
    <w:p>
      <w:pPr>
        <w:spacing w:before="40" w:after="80" w:line="276" w:lineRule="auto"/>
      </w:pPr>
      <w:r>
        <w:rPr>
          <w:color w:val="334155"/>
          <w:sz w:val="19"/>
        </w:rPr>
        <w:t>Executive summary ........................................................................................................................................... i</w:t>
      </w:r>
    </w:p>
    <w:p>
      <w:pPr>
        <w:spacing w:before="40" w:after="80" w:line="276" w:lineRule="auto"/>
      </w:pPr>
      <w:r>
        <w:rPr>
          <w:color w:val="334155"/>
          <w:sz w:val="19"/>
        </w:rPr>
        <w:t>1 Introduction .................................................................................................................................................. 1</w:t>
      </w:r>
    </w:p>
    <w:p>
      <w:pPr>
        <w:spacing w:before="40" w:after="80" w:line="276" w:lineRule="auto"/>
      </w:pPr>
      <w:r>
        <w:rPr>
          <w:color w:val="334155"/>
          <w:sz w:val="19"/>
        </w:rPr>
        <w:t>1.1</w:t>
      </w:r>
    </w:p>
    <w:p>
      <w:pPr>
        <w:spacing w:before="40" w:after="80" w:line="276" w:lineRule="auto"/>
      </w:pPr>
      <w:r>
        <w:rPr>
          <w:color w:val="334155"/>
          <w:sz w:val="19"/>
        </w:rPr>
        <w:t>Introduction ............................................................................................................................... 1</w:t>
      </w:r>
    </w:p>
    <w:p>
      <w:pPr>
        <w:spacing w:before="40" w:after="80" w:line="276" w:lineRule="auto"/>
      </w:pPr>
      <w:r>
        <w:rPr>
          <w:color w:val="334155"/>
          <w:sz w:val="19"/>
        </w:rPr>
        <w:t>1.2</w:t>
      </w:r>
    </w:p>
    <w:p>
      <w:pPr>
        <w:spacing w:before="40" w:after="80" w:line="276" w:lineRule="auto"/>
      </w:pPr>
      <w:r>
        <w:rPr>
          <w:color w:val="334155"/>
          <w:sz w:val="19"/>
        </w:rPr>
        <w:t>Purpose of this report ............................................................................................................... 1</w:t>
      </w:r>
    </w:p>
    <w:p>
      <w:pPr>
        <w:spacing w:before="40" w:after="80" w:line="276" w:lineRule="auto"/>
      </w:pPr>
      <w:r>
        <w:rPr>
          <w:color w:val="334155"/>
          <w:sz w:val="19"/>
        </w:rPr>
        <w:t>1.3</w:t>
      </w:r>
    </w:p>
    <w:p>
      <w:pPr>
        <w:spacing w:before="40" w:after="80" w:line="276" w:lineRule="auto"/>
      </w:pPr>
      <w:r>
        <w:rPr>
          <w:color w:val="334155"/>
          <w:sz w:val="19"/>
        </w:rPr>
        <w:t>Methodology ............................................................................................................................. 2</w:t>
      </w:r>
    </w:p>
    <w:p>
      <w:pPr>
        <w:spacing w:before="40" w:after="80" w:line="276" w:lineRule="auto"/>
      </w:pPr>
      <w:r>
        <w:rPr>
          <w:color w:val="334155"/>
          <w:sz w:val="19"/>
        </w:rPr>
        <w:t>1.3.1</w:t>
      </w:r>
    </w:p>
    <w:p>
      <w:pPr>
        <w:spacing w:before="40" w:after="80" w:line="276" w:lineRule="auto"/>
      </w:pPr>
      <w:r>
        <w:rPr>
          <w:color w:val="334155"/>
          <w:sz w:val="19"/>
        </w:rPr>
        <w:t>Baseline and Future horizons .................................................................................... 2</w:t>
      </w:r>
    </w:p>
    <w:p>
      <w:pPr>
        <w:spacing w:before="40" w:after="80" w:line="276" w:lineRule="auto"/>
      </w:pPr>
      <w:r>
        <w:rPr>
          <w:color w:val="334155"/>
          <w:sz w:val="19"/>
        </w:rPr>
        <w:t>1.3.2</w:t>
      </w:r>
    </w:p>
    <w:p>
      <w:pPr>
        <w:spacing w:before="40" w:after="80" w:line="276" w:lineRule="auto"/>
      </w:pPr>
      <w:r>
        <w:rPr>
          <w:color w:val="334155"/>
          <w:sz w:val="19"/>
        </w:rPr>
        <w:t>Existing trip patterns .................................................................................................. 2</w:t>
      </w:r>
    </w:p>
    <w:p>
      <w:pPr>
        <w:spacing w:before="40" w:after="80" w:line="276" w:lineRule="auto"/>
      </w:pPr>
      <w:r>
        <w:rPr>
          <w:color w:val="334155"/>
          <w:sz w:val="19"/>
        </w:rPr>
        <w:t>1.3.3</w:t>
      </w:r>
    </w:p>
    <w:p>
      <w:pPr>
        <w:spacing w:before="40" w:after="80" w:line="276" w:lineRule="auto"/>
      </w:pPr>
      <w:r>
        <w:rPr>
          <w:color w:val="334155"/>
          <w:sz w:val="19"/>
        </w:rPr>
        <w:t>Background traffic growth .......................................................................................... 2</w:t>
      </w:r>
    </w:p>
    <w:p>
      <w:pPr>
        <w:spacing w:before="40" w:after="80" w:line="276" w:lineRule="auto"/>
      </w:pPr>
      <w:r>
        <w:rPr>
          <w:color w:val="334155"/>
          <w:sz w:val="19"/>
        </w:rPr>
        <w:t>1.3.4</w:t>
      </w:r>
    </w:p>
    <w:p>
      <w:pPr>
        <w:spacing w:before="40" w:after="80" w:line="276" w:lineRule="auto"/>
      </w:pPr>
      <w:r>
        <w:rPr>
          <w:color w:val="334155"/>
          <w:sz w:val="19"/>
        </w:rPr>
        <w:t>Trip generation calculations ...................................................................................... 3</w:t>
      </w:r>
    </w:p>
    <w:p>
      <w:pPr>
        <w:spacing w:before="40" w:after="80" w:line="276" w:lineRule="auto"/>
      </w:pPr>
      <w:r>
        <w:rPr>
          <w:color w:val="334155"/>
          <w:sz w:val="19"/>
        </w:rPr>
        <w:t>1.3.5</w:t>
      </w:r>
    </w:p>
    <w:p>
      <w:pPr>
        <w:spacing w:before="40" w:after="80" w:line="276" w:lineRule="auto"/>
      </w:pPr>
      <w:r>
        <w:rPr>
          <w:color w:val="334155"/>
          <w:sz w:val="19"/>
        </w:rPr>
        <w:t>Trip distributions ........................................................................................................ 4</w:t>
      </w:r>
    </w:p>
    <w:p>
      <w:pPr>
        <w:spacing w:before="40" w:after="80" w:line="276" w:lineRule="auto"/>
      </w:pPr>
      <w:r>
        <w:rPr>
          <w:color w:val="334155"/>
          <w:sz w:val="19"/>
        </w:rPr>
        <w:t>1.3.6</w:t>
      </w:r>
    </w:p>
    <w:p>
      <w:pPr>
        <w:spacing w:before="40" w:after="80" w:line="276" w:lineRule="auto"/>
      </w:pPr>
      <w:r>
        <w:rPr>
          <w:color w:val="334155"/>
          <w:sz w:val="19"/>
        </w:rPr>
        <w:t>Road network performance ....................................................................................... 5</w:t>
      </w:r>
    </w:p>
    <w:p>
      <w:pPr>
        <w:spacing w:before="40" w:after="80" w:line="276" w:lineRule="auto"/>
      </w:pPr>
      <w:r>
        <w:rPr>
          <w:color w:val="334155"/>
          <w:sz w:val="19"/>
        </w:rPr>
        <w:t>1.3.7</w:t>
      </w:r>
    </w:p>
    <w:p>
      <w:pPr>
        <w:spacing w:before="40" w:after="80" w:line="276" w:lineRule="auto"/>
      </w:pPr>
      <w:r>
        <w:rPr>
          <w:color w:val="334155"/>
          <w:sz w:val="19"/>
        </w:rPr>
        <w:t>Traffic Assessment Assumptions .............................................................................. 8</w:t>
      </w:r>
    </w:p>
    <w:p>
      <w:pPr>
        <w:spacing w:before="40" w:after="80" w:line="276" w:lineRule="auto"/>
      </w:pPr>
      <w:r>
        <w:rPr>
          <w:color w:val="334155"/>
          <w:sz w:val="19"/>
        </w:rPr>
        <w:t>1.4</w:t>
      </w:r>
    </w:p>
    <w:p>
      <w:pPr>
        <w:spacing w:before="40" w:after="80" w:line="276" w:lineRule="auto"/>
      </w:pPr>
      <w:r>
        <w:rPr>
          <w:color w:val="334155"/>
          <w:sz w:val="19"/>
        </w:rPr>
        <w:t>Reliance on data and information ............................................................................................. 9</w:t>
      </w:r>
    </w:p>
    <w:p>
      <w:pPr>
        <w:spacing w:before="40" w:after="80" w:line="276" w:lineRule="auto"/>
      </w:pPr>
      <w:r>
        <w:rPr>
          <w:color w:val="334155"/>
          <w:sz w:val="19"/>
        </w:rPr>
        <w:t>2 Strategic Context ....................................................................................................................................... 10</w:t>
      </w:r>
    </w:p>
    <w:p>
      <w:pPr>
        <w:spacing w:before="40" w:after="80" w:line="276" w:lineRule="auto"/>
      </w:pPr>
      <w:r>
        <w:rPr>
          <w:color w:val="334155"/>
          <w:sz w:val="19"/>
        </w:rPr>
        <w:t>2.1</w:t>
      </w:r>
    </w:p>
    <w:p>
      <w:pPr>
        <w:spacing w:before="40" w:after="80" w:line="276" w:lineRule="auto"/>
      </w:pPr>
      <w:r>
        <w:rPr>
          <w:color w:val="334155"/>
          <w:sz w:val="19"/>
        </w:rPr>
        <w:t>Regional Context and Connectivity ........................................................................................ 10</w:t>
      </w:r>
    </w:p>
    <w:p>
      <w:pPr>
        <w:spacing w:before="40" w:after="80" w:line="276" w:lineRule="auto"/>
      </w:pPr>
      <w:r>
        <w:rPr>
          <w:color w:val="334155"/>
          <w:sz w:val="19"/>
        </w:rPr>
        <w:t>2.2</w:t>
      </w:r>
    </w:p>
    <w:p>
      <w:pPr>
        <w:spacing w:before="40" w:after="80" w:line="276" w:lineRule="auto"/>
      </w:pPr>
      <w:r>
        <w:rPr>
          <w:color w:val="334155"/>
          <w:sz w:val="19"/>
        </w:rPr>
        <w:t>Federal ................................................................................................................................... 11</w:t>
      </w:r>
    </w:p>
    <w:p>
      <w:pPr>
        <w:spacing w:before="40" w:after="80" w:line="276" w:lineRule="auto"/>
      </w:pPr>
      <w:r>
        <w:rPr>
          <w:color w:val="334155"/>
          <w:sz w:val="19"/>
        </w:rPr>
        <w:t>2.2.1</w:t>
      </w:r>
    </w:p>
    <w:p>
      <w:pPr>
        <w:spacing w:before="40" w:after="80" w:line="276" w:lineRule="auto"/>
      </w:pPr>
      <w:r>
        <w:rPr>
          <w:color w:val="334155"/>
          <w:sz w:val="19"/>
        </w:rPr>
        <w:t>National Freight and Supply Chain Strategy ........................................................... 11</w:t>
      </w:r>
    </w:p>
    <w:p>
      <w:pPr>
        <w:spacing w:before="40" w:after="80" w:line="276" w:lineRule="auto"/>
      </w:pPr>
      <w:r>
        <w:rPr>
          <w:color w:val="334155"/>
          <w:sz w:val="19"/>
        </w:rPr>
        <w:t>2.2.2</w:t>
      </w:r>
    </w:p>
    <w:p>
      <w:pPr>
        <w:spacing w:before="40" w:after="80" w:line="276" w:lineRule="auto"/>
      </w:pPr>
      <w:r>
        <w:rPr>
          <w:color w:val="334155"/>
          <w:sz w:val="19"/>
        </w:rPr>
        <w:t>Sydney to Newcastle High Speed Rail .................................................................... 11</w:t>
      </w:r>
    </w:p>
    <w:p>
      <w:pPr>
        <w:spacing w:before="40" w:after="80" w:line="276" w:lineRule="auto"/>
      </w:pPr>
      <w:r>
        <w:rPr>
          <w:color w:val="334155"/>
          <w:sz w:val="19"/>
        </w:rPr>
        <w:t>2.3</w:t>
      </w:r>
    </w:p>
    <w:p>
      <w:pPr>
        <w:spacing w:before="40" w:after="80" w:line="276" w:lineRule="auto"/>
      </w:pPr>
      <w:r>
        <w:rPr>
          <w:color w:val="334155"/>
          <w:sz w:val="19"/>
        </w:rPr>
        <w:t>State ....................................................................................................................................... 11</w:t>
      </w:r>
    </w:p>
    <w:p>
      <w:pPr>
        <w:spacing w:before="40" w:after="80" w:line="276" w:lineRule="auto"/>
      </w:pPr>
      <w:r>
        <w:rPr>
          <w:color w:val="334155"/>
          <w:sz w:val="19"/>
        </w:rPr>
        <w:t>2.3.1</w:t>
      </w:r>
    </w:p>
    <w:p>
      <w:pPr>
        <w:spacing w:before="40" w:after="80" w:line="276" w:lineRule="auto"/>
      </w:pPr>
      <w:r>
        <w:rPr>
          <w:color w:val="334155"/>
          <w:sz w:val="19"/>
        </w:rPr>
        <w:t>Future Transport Strategy ....................................................................................... 11</w:t>
      </w:r>
    </w:p>
    <w:p>
      <w:pPr>
        <w:spacing w:before="40" w:after="80" w:line="276" w:lineRule="auto"/>
      </w:pPr>
      <w:r>
        <w:rPr>
          <w:color w:val="334155"/>
          <w:sz w:val="19"/>
        </w:rPr>
        <w:t>2.3.2</w:t>
      </w:r>
    </w:p>
    <w:p>
      <w:pPr>
        <w:spacing w:before="40" w:after="80" w:line="276" w:lineRule="auto"/>
      </w:pPr>
      <w:r>
        <w:rPr>
          <w:color w:val="334155"/>
          <w:sz w:val="19"/>
        </w:rPr>
        <w:t>NSW Movement and Place Framework .................................................................. 11</w:t>
      </w:r>
    </w:p>
    <w:p>
      <w:pPr>
        <w:spacing w:before="40" w:after="80" w:line="276" w:lineRule="auto"/>
      </w:pPr>
      <w:r>
        <w:rPr>
          <w:color w:val="334155"/>
          <w:sz w:val="19"/>
        </w:rPr>
        <w:t>2.3.3</w:t>
      </w:r>
    </w:p>
    <w:p>
      <w:pPr>
        <w:spacing w:before="40" w:after="80" w:line="276" w:lineRule="auto"/>
      </w:pPr>
      <w:r>
        <w:rPr>
          <w:color w:val="334155"/>
          <w:sz w:val="19"/>
        </w:rPr>
        <w:t>Hunter Regional Plan 2041 ..................................................................................... 11</w:t>
      </w:r>
    </w:p>
    <w:p>
      <w:pPr>
        <w:spacing w:before="40" w:after="80" w:line="276" w:lineRule="auto"/>
      </w:pPr>
      <w:r>
        <w:rPr>
          <w:color w:val="334155"/>
          <w:sz w:val="19"/>
        </w:rPr>
        <w:t>2.3.4</w:t>
      </w:r>
    </w:p>
    <w:p>
      <w:pPr>
        <w:spacing w:before="40" w:after="80" w:line="276" w:lineRule="auto"/>
      </w:pPr>
      <w:r>
        <w:rPr>
          <w:color w:val="334155"/>
          <w:sz w:val="19"/>
        </w:rPr>
        <w:t>Greater Newcastle Metropolitan Plan ...................................................................... 12</w:t>
      </w:r>
    </w:p>
    <w:p>
      <w:pPr>
        <w:spacing w:before="40" w:after="80" w:line="276" w:lineRule="auto"/>
      </w:pPr>
      <w:r>
        <w:rPr>
          <w:color w:val="334155"/>
          <w:sz w:val="19"/>
        </w:rPr>
        <w:t>2.3.5</w:t>
      </w:r>
    </w:p>
    <w:p>
      <w:pPr>
        <w:spacing w:before="40" w:after="80" w:line="276" w:lineRule="auto"/>
      </w:pPr>
      <w:r>
        <w:rPr>
          <w:color w:val="334155"/>
          <w:sz w:val="19"/>
        </w:rPr>
        <w:t>NSW Freight Policy Reform and the Lower Hunter Freight Corridor ...................... 12</w:t>
      </w:r>
    </w:p>
    <w:p>
      <w:pPr>
        <w:spacing w:before="40" w:after="80" w:line="276" w:lineRule="auto"/>
      </w:pPr>
      <w:r>
        <w:rPr>
          <w:color w:val="334155"/>
          <w:sz w:val="19"/>
        </w:rPr>
        <w:t>2.3.6</w:t>
      </w:r>
    </w:p>
    <w:p>
      <w:pPr>
        <w:spacing w:before="40" w:after="80" w:line="276" w:lineRule="auto"/>
      </w:pPr>
      <w:r>
        <w:rPr>
          <w:color w:val="334155"/>
          <w:sz w:val="19"/>
        </w:rPr>
        <w:t>Speers Point Transport Improvements (TfNSW) .................................................... 12</w:t>
      </w:r>
    </w:p>
    <w:p>
      <w:pPr>
        <w:spacing w:before="40" w:after="80" w:line="276" w:lineRule="auto"/>
      </w:pPr>
      <w:r>
        <w:rPr>
          <w:color w:val="334155"/>
          <w:sz w:val="19"/>
        </w:rPr>
        <w:t>2.3.7</w:t>
      </w:r>
    </w:p>
    <w:p>
      <w:pPr>
        <w:spacing w:before="40" w:after="80" w:line="276" w:lineRule="auto"/>
      </w:pPr>
      <w:r>
        <w:rPr>
          <w:color w:val="334155"/>
          <w:sz w:val="19"/>
        </w:rPr>
        <w:t>West Wallsend Rezoning ........................................................................................ 12</w:t>
      </w:r>
    </w:p>
    <w:p>
      <w:pPr>
        <w:spacing w:before="40" w:after="80" w:line="276" w:lineRule="auto"/>
      </w:pPr>
      <w:r>
        <w:rPr>
          <w:color w:val="334155"/>
          <w:sz w:val="19"/>
        </w:rPr>
        <w:t>2.4</w:t>
      </w:r>
    </w:p>
    <w:p>
      <w:pPr>
        <w:spacing w:before="40" w:after="80" w:line="276" w:lineRule="auto"/>
      </w:pPr>
      <w:r>
        <w:rPr>
          <w:color w:val="334155"/>
          <w:sz w:val="19"/>
        </w:rPr>
        <w:t>Local ....................................................................................................................................... 12</w:t>
      </w:r>
    </w:p>
    <w:p>
      <w:pPr>
        <w:spacing w:before="40" w:after="80" w:line="276" w:lineRule="auto"/>
      </w:pPr>
      <w:r>
        <w:rPr>
          <w:color w:val="334155"/>
          <w:sz w:val="19"/>
        </w:rPr>
        <w:t>2.4.1</w:t>
      </w:r>
    </w:p>
    <w:p>
      <w:pPr>
        <w:spacing w:before="40" w:after="80" w:line="276" w:lineRule="auto"/>
      </w:pPr>
      <w:r>
        <w:rPr>
          <w:color w:val="334155"/>
          <w:sz w:val="19"/>
        </w:rPr>
        <w:t>Lake Macquarie Local Strategic Planning Statement and Imagine Lake Mac</w:t>
      </w:r>
    </w:p>
    <w:p>
      <w:pPr>
        <w:spacing w:before="40" w:after="80" w:line="276" w:lineRule="auto"/>
      </w:pPr>
      <w:r>
        <w:rPr>
          <w:color w:val="334155"/>
          <w:sz w:val="19"/>
        </w:rPr>
        <w:t>Community Strategy ................................................................................................ 12</w:t>
      </w:r>
    </w:p>
    <w:p>
      <w:pPr>
        <w:spacing w:before="40" w:after="80" w:line="276" w:lineRule="auto"/>
      </w:pPr>
      <w:r>
        <w:rPr>
          <w:color w:val="334155"/>
          <w:sz w:val="19"/>
        </w:rPr>
        <w:t>2.4.2</w:t>
      </w:r>
    </w:p>
    <w:p>
      <w:pPr>
        <w:spacing w:before="40" w:after="80" w:line="276" w:lineRule="auto"/>
      </w:pPr>
      <w:r>
        <w:rPr>
          <w:color w:val="334155"/>
          <w:sz w:val="19"/>
        </w:rPr>
        <w:t>Walking, Cycling and Better Streets Strategy ......................................................... 13</w:t>
      </w:r>
    </w:p>
    <w:p>
      <w:pPr>
        <w:spacing w:before="40" w:after="80" w:line="276" w:lineRule="auto"/>
      </w:pPr>
      <w:r>
        <w:rPr>
          <w:color w:val="334155"/>
          <w:sz w:val="19"/>
        </w:rPr>
        <w:t>2.4.3</w:t>
      </w:r>
    </w:p>
    <w:p>
      <w:pPr>
        <w:spacing w:before="40" w:after="80" w:line="276" w:lineRule="auto"/>
      </w:pPr>
      <w:r>
        <w:rPr>
          <w:color w:val="334155"/>
          <w:sz w:val="19"/>
        </w:rPr>
        <w:t>North West Lake Macquarie Catalyst Area Place Strategy..................................... 13</w:t>
      </w:r>
    </w:p>
    <w:p>
      <w:pPr>
        <w:spacing w:before="40" w:after="80" w:line="276" w:lineRule="auto"/>
      </w:pPr>
      <w:r>
        <w:rPr>
          <w:color w:val="334155"/>
          <w:sz w:val="19"/>
        </w:rPr>
        <w:t>3 Baseline Analysis ...................................................................................................................................... 14</w:t>
      </w:r>
    </w:p>
    <w:p>
      <w:pPr>
        <w:spacing w:before="40" w:after="80" w:line="276" w:lineRule="auto"/>
      </w:pPr>
      <w:r>
        <w:rPr>
          <w:color w:val="334155"/>
          <w:sz w:val="19"/>
        </w:rPr>
        <w:t>3.1</w:t>
      </w:r>
    </w:p>
    <w:p>
      <w:pPr>
        <w:spacing w:before="40" w:after="80" w:line="276" w:lineRule="auto"/>
      </w:pPr>
      <w:r>
        <w:rPr>
          <w:color w:val="334155"/>
          <w:sz w:val="19"/>
        </w:rPr>
        <w:t>Road Network ......................................................................................................................... 17</w:t>
      </w:r>
    </w:p>
    <w:p>
      <w:pPr>
        <w:spacing w:before="40" w:after="80" w:line="276" w:lineRule="auto"/>
      </w:pPr>
      <w:r>
        <w:rPr>
          <w:color w:val="334155"/>
          <w:sz w:val="19"/>
        </w:rPr>
        <w:t>3.1.1</w:t>
      </w:r>
    </w:p>
    <w:p>
      <w:pPr>
        <w:spacing w:before="40" w:after="80" w:line="276" w:lineRule="auto"/>
      </w:pPr>
      <w:r>
        <w:rPr>
          <w:color w:val="334155"/>
          <w:sz w:val="19"/>
        </w:rPr>
        <w:t>State Roads ............................................................................................................. 19</w:t>
      </w:r>
    </w:p>
    <w:p>
      <w:pPr>
        <w:spacing w:before="40" w:after="80" w:line="276" w:lineRule="auto"/>
      </w:pPr>
      <w:r>
        <w:rPr>
          <w:color w:val="334155"/>
          <w:sz w:val="19"/>
        </w:rPr>
        <w:t>3.1.2</w:t>
      </w:r>
    </w:p>
    <w:p>
      <w:pPr>
        <w:spacing w:before="40" w:after="80" w:line="276" w:lineRule="auto"/>
      </w:pPr>
      <w:r>
        <w:rPr>
          <w:color w:val="334155"/>
          <w:sz w:val="19"/>
        </w:rPr>
        <w:t>Regional Roads ....................................................................................................... 20</w:t>
      </w:r>
    </w:p>
    <w:p>
      <w:pPr>
        <w:spacing w:before="40" w:after="80" w:line="276" w:lineRule="auto"/>
      </w:pPr>
      <w:r>
        <w:rPr>
          <w:color w:val="334155"/>
          <w:sz w:val="19"/>
        </w:rPr>
        <w:t>3.1.3</w:t>
      </w:r>
    </w:p>
    <w:p>
      <w:pPr>
        <w:spacing w:before="40" w:after="80" w:line="276" w:lineRule="auto"/>
      </w:pPr>
      <w:r>
        <w:rPr>
          <w:color w:val="334155"/>
          <w:sz w:val="19"/>
        </w:rPr>
        <w:t>Local Roads ............................................................................................................. 20</w:t>
      </w:r>
    </w:p>
    <w:p>
      <w:pPr>
        <w:spacing w:before="40" w:after="80" w:line="276" w:lineRule="auto"/>
      </w:pPr>
      <w:r>
        <w:rPr>
          <w:color w:val="334155"/>
          <w:sz w:val="19"/>
        </w:rPr>
        <w:t>3.2</w:t>
      </w:r>
    </w:p>
    <w:p>
      <w:pPr>
        <w:spacing w:before="40" w:after="80" w:line="276" w:lineRule="auto"/>
      </w:pPr>
      <w:r>
        <w:rPr>
          <w:color w:val="334155"/>
          <w:sz w:val="19"/>
        </w:rPr>
        <w:t>Crash statistics ....................................................................................................................... 21</w:t>
      </w:r>
    </w:p>
    <w:p>
      <w:pPr>
        <w:spacing w:before="40" w:after="80" w:line="276" w:lineRule="auto"/>
      </w:pPr>
      <w:r>
        <w:rPr>
          <w:color w:val="334155"/>
          <w:sz w:val="19"/>
        </w:rPr>
        <w:t>3.3</w:t>
      </w:r>
    </w:p>
    <w:p>
      <w:pPr>
        <w:spacing w:before="40" w:after="80" w:line="276" w:lineRule="auto"/>
      </w:pPr>
      <w:r>
        <w:rPr>
          <w:color w:val="334155"/>
          <w:sz w:val="19"/>
        </w:rPr>
        <w:t>Traffic Growth ......................................................................................................................... 23</w:t>
      </w:r>
    </w:p>
    <w:p>
      <w:pPr>
        <w:spacing w:before="40" w:after="80" w:line="276" w:lineRule="auto"/>
      </w:pPr>
      <w:r>
        <w:rPr>
          <w:color w:val="334155"/>
          <w:sz w:val="19"/>
        </w:rPr>
        <w:t>3.4</w:t>
      </w:r>
    </w:p>
    <w:p>
      <w:pPr>
        <w:spacing w:before="40" w:after="80" w:line="276" w:lineRule="auto"/>
      </w:pPr>
      <w:r>
        <w:rPr>
          <w:color w:val="334155"/>
          <w:sz w:val="19"/>
        </w:rPr>
        <w:t>Existing Trip Patterns ............................................................................................................. 24</w:t>
      </w:r>
    </w:p>
    <w:p>
      <w:pPr>
        <w:spacing w:before="40" w:after="80" w:line="276" w:lineRule="auto"/>
      </w:pPr>
      <w:r>
        <w:rPr>
          <w:color w:val="334155"/>
          <w:sz w:val="19"/>
        </w:rPr>
        <w:t>3.5</w:t>
      </w:r>
    </w:p>
    <w:p>
      <w:pPr>
        <w:spacing w:before="40" w:after="80" w:line="276" w:lineRule="auto"/>
      </w:pPr>
      <w:r>
        <w:rPr>
          <w:color w:val="334155"/>
          <w:sz w:val="19"/>
        </w:rPr>
        <w:t>Existing Midblock Performance Results ................................................................................. 24</w:t>
      </w:r>
    </w:p>
    <w:p>
      <w:pPr>
        <w:spacing w:before="40" w:after="80" w:line="276" w:lineRule="auto"/>
      </w:pPr>
      <w:r>
        <w:rPr>
          <w:color w:val="334155"/>
          <w:sz w:val="19"/>
        </w:rPr>
        <w:t>3.6</w:t>
      </w:r>
    </w:p>
    <w:p>
      <w:pPr>
        <w:spacing w:before="40" w:after="80" w:line="276" w:lineRule="auto"/>
      </w:pPr>
      <w:r>
        <w:rPr>
          <w:color w:val="334155"/>
          <w:sz w:val="19"/>
        </w:rPr>
        <w:t>Active Transport Network ....................................................................................................... 26</w:t>
      </w:r>
    </w:p>
    <w:p>
      <w:pPr>
        <w:spacing w:before="40" w:after="80" w:line="276" w:lineRule="auto"/>
      </w:pPr>
      <w:r>
        <w:rPr>
          <w:color w:val="334155"/>
          <w:sz w:val="19"/>
        </w:rPr>
        <w:t>3.7</w:t>
      </w:r>
    </w:p>
    <w:p>
      <w:pPr>
        <w:spacing w:before="40" w:after="80" w:line="276" w:lineRule="auto"/>
      </w:pPr>
      <w:r>
        <w:rPr>
          <w:color w:val="334155"/>
          <w:sz w:val="19"/>
        </w:rPr>
        <w:t>Bus Network ........................................................................................................................... 28</w:t>
      </w:r>
    </w:p>
    <w:p>
      <w:pPr>
        <w:spacing w:before="40" w:after="80" w:line="276" w:lineRule="auto"/>
      </w:pPr>
      <w:r>
        <w:rPr>
          <w:color w:val="334155"/>
          <w:sz w:val="19"/>
        </w:rPr>
        <w:t>3.8</w:t>
      </w:r>
    </w:p>
    <w:p>
      <w:pPr>
        <w:spacing w:before="40" w:after="80" w:line="276" w:lineRule="auto"/>
      </w:pPr>
      <w:r>
        <w:rPr>
          <w:color w:val="334155"/>
          <w:sz w:val="19"/>
        </w:rPr>
        <w:t>Rail Network ........................................................................................................................... 30</w:t>
      </w:r>
    </w:p>
    <w:p>
      <w:pPr>
        <w:spacing w:before="40" w:after="80" w:line="276" w:lineRule="auto"/>
      </w:pPr>
      <w:r>
        <w:rPr>
          <w:color w:val="334155"/>
          <w:sz w:val="19"/>
        </w:rPr>
        <w:t>3.9</w:t>
      </w:r>
    </w:p>
    <w:p>
      <w:pPr>
        <w:spacing w:before="40" w:after="80" w:line="276" w:lineRule="auto"/>
      </w:pPr>
      <w:r>
        <w:rPr>
          <w:color w:val="334155"/>
          <w:sz w:val="19"/>
        </w:rPr>
        <w:t>Freight Network ...................................................................................................................... 30</w:t>
      </w:r>
    </w:p>
    <w:p>
      <w:pPr>
        <w:spacing w:before="40" w:after="80" w:line="276" w:lineRule="auto"/>
      </w:pPr>
      <w:r>
        <w:rPr>
          <w:color w:val="334155"/>
          <w:sz w:val="19"/>
        </w:rPr>
        <w:t>3.9.1</w:t>
      </w:r>
    </w:p>
    <w:p>
      <w:pPr>
        <w:spacing w:before="40" w:after="80" w:line="276" w:lineRule="auto"/>
      </w:pPr>
      <w:r>
        <w:rPr>
          <w:color w:val="334155"/>
          <w:sz w:val="19"/>
        </w:rPr>
        <w:t>Road freight network ............................................................................................... 30</w:t>
      </w:r>
    </w:p>
    <w:p>
      <w:pPr>
        <w:spacing w:before="40" w:after="80" w:line="276" w:lineRule="auto"/>
      </w:pPr>
      <w:r>
        <w:rPr>
          <w:color w:val="334155"/>
          <w:sz w:val="19"/>
        </w:rPr>
        <w:t>3.9.2</w:t>
      </w:r>
    </w:p>
    <w:p>
      <w:pPr>
        <w:spacing w:before="40" w:after="80" w:line="276" w:lineRule="auto"/>
      </w:pPr>
      <w:r>
        <w:rPr>
          <w:color w:val="334155"/>
          <w:sz w:val="19"/>
        </w:rPr>
        <w:t>Rail freight network .................................................................................................. 30</w:t>
      </w:r>
    </w:p>
    <w:p>
      <w:pPr>
        <w:spacing w:before="40" w:after="80" w:line="276" w:lineRule="auto"/>
      </w:pPr>
      <w:r>
        <w:rPr>
          <w:color w:val="334155"/>
          <w:sz w:val="19"/>
        </w:rPr>
        <w:t>3.10</w:t>
      </w:r>
    </w:p>
    <w:p>
      <w:pPr>
        <w:spacing w:before="40" w:after="80" w:line="276" w:lineRule="auto"/>
      </w:pPr>
      <w:r>
        <w:rPr>
          <w:color w:val="334155"/>
          <w:sz w:val="19"/>
        </w:rPr>
        <w:t>Existing Traffic Issues ............................................................................................................. 33</w:t>
      </w:r>
    </w:p>
    <w:p>
      <w:pPr>
        <w:spacing w:before="40" w:after="80" w:line="276" w:lineRule="auto"/>
      </w:pPr>
      <w:r>
        <w:rPr>
          <w:color w:val="334155"/>
          <w:sz w:val="19"/>
        </w:rPr>
        <w:t>3.10.1</w:t>
      </w:r>
    </w:p>
    <w:p>
      <w:pPr>
        <w:spacing w:before="40" w:after="80" w:line="276" w:lineRule="auto"/>
      </w:pPr>
      <w:r>
        <w:rPr>
          <w:color w:val="334155"/>
          <w:sz w:val="19"/>
        </w:rPr>
        <w:t>Roundabout Congestion (Five Islands Road / The Esplanade / TC Frith Avenue) 33</w:t>
      </w:r>
    </w:p>
    <w:p>
      <w:pPr>
        <w:spacing w:before="40" w:after="80" w:line="276" w:lineRule="auto"/>
      </w:pPr>
      <w:r>
        <w:rPr>
          <w:color w:val="334155"/>
          <w:sz w:val="19"/>
        </w:rPr>
        <w:t>`</w:t>
      </w:r>
    </w:p>
    <w:p>
      <w:pPr>
        <w:pStyle w:val="Heading3"/>
        <w:keepNext/>
        <w:spacing w:before="160" w:after="40"/>
      </w:pPr>
      <w:r>
        <w:rPr>
          <w:b/>
          <w:color w:val="334155"/>
        </w:rPr>
        <w:t>Traffic Report Page 7</w:t>
      </w:r>
    </w:p>
    <w:p>
      <w:pPr>
        <w:spacing w:before="40" w:after="80" w:line="276" w:lineRule="auto"/>
      </w:pPr>
      <w:r>
        <w:rPr>
          <w:color w:val="334155"/>
          <w:sz w:val="19"/>
        </w:rPr>
        <w:t>`</w:t>
      </w:r>
    </w:p>
    <w:p>
      <w:pPr>
        <w:spacing w:before="40" w:after="80" w:line="276" w:lineRule="auto"/>
      </w:pPr>
      <w:r>
        <w:rPr>
          <w:color w:val="334155"/>
          <w:sz w:val="19"/>
        </w:rPr>
        <w:t>Figure 3-7 Five Islands Road / The Esplanade / TC Frith Avenue Roundabout traffic conditions (Source:</w:t>
      </w:r>
    </w:p>
    <w:p>
      <w:pPr>
        <w:spacing w:before="40" w:after="80" w:line="276" w:lineRule="auto"/>
      </w:pPr>
      <w:r>
        <w:rPr>
          <w:color w:val="334155"/>
          <w:sz w:val="19"/>
        </w:rPr>
        <w:t>ArcGIS Online Live Traffic Services, 9:30 am to 10:00 am)</w:t>
      </w:r>
    </w:p>
    <w:p>
      <w:pPr>
        <w:spacing w:before="40" w:after="80" w:line="276" w:lineRule="auto"/>
      </w:pPr>
      <w:r>
        <w:rPr>
          <w:color w:val="334155"/>
          <w:sz w:val="19"/>
        </w:rPr>
        <w:t>Figure 3-8 William Street Bridge - Single Rail Crossing Point, Teralba</w:t>
      </w:r>
    </w:p>
    <w:p>
      <w:pPr>
        <w:spacing w:before="40" w:after="80" w:line="276" w:lineRule="auto"/>
      </w:pPr>
      <w:r>
        <w:rPr>
          <w:color w:val="334155"/>
          <w:sz w:val="19"/>
        </w:rPr>
        <w:t>Figure 3-9 Rhondda Road Elevation Profile (Source: Google Earth)</w:t>
      </w:r>
    </w:p>
    <w:p>
      <w:pPr>
        <w:spacing w:before="40" w:after="80" w:line="276" w:lineRule="auto"/>
      </w:pPr>
      <w:r>
        <w:rPr>
          <w:color w:val="334155"/>
          <w:sz w:val="19"/>
        </w:rPr>
        <w:t>Figure 4-1: Structure Plan (GHD, 2026)</w:t>
      </w:r>
    </w:p>
    <w:p>
      <w:pPr>
        <w:spacing w:before="40" w:after="80" w:line="276" w:lineRule="auto"/>
      </w:pPr>
      <w:r>
        <w:rPr>
          <w:color w:val="334155"/>
          <w:sz w:val="19"/>
        </w:rPr>
        <w:t>Figure 4-2: Future road network - short term</w:t>
      </w:r>
    </w:p>
    <w:p>
      <w:pPr>
        <w:spacing w:before="40" w:after="80" w:line="276" w:lineRule="auto"/>
      </w:pPr>
      <w:r>
        <w:rPr>
          <w:color w:val="334155"/>
          <w:sz w:val="19"/>
        </w:rPr>
        <w:t>Figure 4-3: Future road network - long term</w:t>
      </w:r>
    </w:p>
    <w:p>
      <w:pPr>
        <w:spacing w:before="40" w:after="80" w:line="276" w:lineRule="auto"/>
      </w:pPr>
      <w:r>
        <w:rPr>
          <w:color w:val="334155"/>
          <w:sz w:val="19"/>
        </w:rPr>
        <w:t>Figure 4-4: Development scenarios - midblock assessment locations</w:t>
      </w:r>
    </w:p>
    <w:p>
      <w:pPr>
        <w:spacing w:before="40" w:after="80" w:line="276" w:lineRule="auto"/>
      </w:pPr>
      <w:r>
        <w:rPr>
          <w:color w:val="334155"/>
          <w:sz w:val="19"/>
        </w:rPr>
        <w:t>Figure 4-5: Existing and future active transport network</w:t>
      </w:r>
    </w:p>
    <w:p>
      <w:pPr>
        <w:spacing w:before="40" w:after="80" w:line="276" w:lineRule="auto"/>
      </w:pPr>
      <w:r>
        <w:rPr>
          <w:color w:val="334155"/>
          <w:sz w:val="19"/>
        </w:rPr>
        <w:t>Figure 4-6: Future heavy vehicle network - short term</w:t>
      </w:r>
    </w:p>
    <w:p>
      <w:pPr>
        <w:spacing w:before="40" w:after="80" w:line="276" w:lineRule="auto"/>
      </w:pPr>
      <w:r>
        <w:rPr>
          <w:color w:val="334155"/>
          <w:sz w:val="19"/>
        </w:rPr>
        <w:t>Figure 4-7: Future heavy vehicle network – medium and long term</w:t>
      </w:r>
    </w:p>
    <w:p>
      <w:pPr>
        <w:spacing w:before="40" w:after="80" w:line="276" w:lineRule="auto"/>
      </w:pPr>
      <w:r>
        <w:rPr>
          <w:color w:val="334155"/>
          <w:sz w:val="19"/>
        </w:rPr>
        <w:t>Figure 4-8: Road network upgrades by horizon</w:t>
      </w:r>
    </w:p>
    <w:p>
      <w:pPr>
        <w:spacing w:before="40" w:after="80" w:line="276" w:lineRule="auto"/>
      </w:pPr>
      <w:r>
        <w:rPr>
          <w:color w:val="334155"/>
          <w:sz w:val="19"/>
        </w:rPr>
        <w:t>Figure 4-9: Indicative road cross sections (Lake Macquarie DCP 2014, Part 8 Subdivision Development,</w:t>
      </w:r>
    </w:p>
    <w:p>
      <w:pPr>
        <w:spacing w:before="40" w:after="80" w:line="276" w:lineRule="auto"/>
      </w:pPr>
      <w:r>
        <w:rPr>
          <w:color w:val="334155"/>
          <w:sz w:val="19"/>
        </w:rPr>
        <w:t>Figure 12)</w:t>
      </w:r>
    </w:p>
    <w:p>
      <w:pPr>
        <w:spacing w:before="40" w:after="80" w:line="276" w:lineRule="auto"/>
      </w:pPr>
      <w:r>
        <w:rPr>
          <w:color w:val="334155"/>
          <w:sz w:val="19"/>
        </w:rPr>
        <w:t>Tables</w:t>
      </w:r>
    </w:p>
    <w:p>
      <w:pPr>
        <w:spacing w:before="40" w:after="80" w:line="276" w:lineRule="auto"/>
      </w:pPr>
      <w:r>
        <w:rPr>
          <w:color w:val="334155"/>
          <w:sz w:val="19"/>
        </w:rPr>
        <w:t>Table 1-1: Report structure</w:t>
      </w:r>
    </w:p>
    <w:p>
      <w:pPr>
        <w:spacing w:before="40" w:after="80" w:line="276" w:lineRule="auto"/>
      </w:pPr>
      <w:r>
        <w:rPr>
          <w:color w:val="334155"/>
          <w:sz w:val="19"/>
        </w:rPr>
        <w:t>Table 1-2: Traffic generation rates (GTIA, 2024)</w:t>
      </w:r>
    </w:p>
    <w:p>
      <w:pPr>
        <w:spacing w:before="40" w:after="80" w:line="276" w:lineRule="auto"/>
      </w:pPr>
      <w:r>
        <w:rPr>
          <w:color w:val="334155"/>
          <w:sz w:val="19"/>
        </w:rPr>
        <w:t>Table 1-3: Component rates adopted for the commercial mixed use and the resulting average (per 100 m2</w:t>
      </w:r>
    </w:p>
    <w:p>
      <w:pPr>
        <w:spacing w:before="40" w:after="80" w:line="276" w:lineRule="auto"/>
      </w:pPr>
      <w:r>
        <w:rPr>
          <w:color w:val="334155"/>
          <w:sz w:val="19"/>
        </w:rPr>
        <w:t>GLA)</w:t>
      </w:r>
    </w:p>
    <w:p>
      <w:pPr>
        <w:spacing w:before="40" w:after="80" w:line="276" w:lineRule="auto"/>
      </w:pPr>
      <w:r>
        <w:rPr>
          <w:color w:val="334155"/>
          <w:sz w:val="19"/>
        </w:rPr>
        <w:t>Table 1-4: Vehicle trip entry and exit distribution (GTIA, 2024)</w:t>
      </w:r>
    </w:p>
    <w:p>
      <w:pPr>
        <w:spacing w:before="40" w:after="80" w:line="276" w:lineRule="auto"/>
      </w:pPr>
      <w:r>
        <w:rPr>
          <w:color w:val="334155"/>
          <w:sz w:val="19"/>
        </w:rPr>
        <w:t>Table 1-5: LoS traffic flow descriptions</w:t>
      </w:r>
    </w:p>
    <w:p>
      <w:pPr>
        <w:spacing w:before="40" w:after="80" w:line="276" w:lineRule="auto"/>
      </w:pPr>
      <w:r>
        <w:rPr>
          <w:color w:val="334155"/>
          <w:sz w:val="19"/>
        </w:rPr>
        <w:t>Table 1-6: Level of Service description for road performance</w:t>
      </w:r>
    </w:p>
    <w:p>
      <w:pPr>
        <w:spacing w:before="40" w:after="80" w:line="276" w:lineRule="auto"/>
      </w:pPr>
      <w:r>
        <w:rPr>
          <w:color w:val="334155"/>
          <w:sz w:val="19"/>
        </w:rPr>
        <w:t>Table 1-7: PCE factors per vehicle type (TfNSW Economic Parameter Values, 2025)</w:t>
      </w:r>
    </w:p>
    <w:p>
      <w:pPr>
        <w:spacing w:before="40" w:after="80" w:line="276" w:lineRule="auto"/>
      </w:pPr>
      <w:r>
        <w:rPr>
          <w:color w:val="334155"/>
          <w:sz w:val="19"/>
        </w:rPr>
        <w:t>Table 3-1 Traffic and transport analysis summary</w:t>
      </w:r>
    </w:p>
    <w:p>
      <w:pPr>
        <w:spacing w:before="40" w:after="80" w:line="276" w:lineRule="auto"/>
      </w:pPr>
      <w:r>
        <w:rPr>
          <w:color w:val="334155"/>
          <w:sz w:val="19"/>
        </w:rPr>
        <w:t>Table 3-2: Daily trip generation comparison against Badgerys Creek TMAP (2036)</w:t>
      </w:r>
    </w:p>
    <w:p>
      <w:pPr>
        <w:spacing w:before="40" w:after="80" w:line="276" w:lineRule="auto"/>
      </w:pPr>
      <w:r>
        <w:rPr>
          <w:color w:val="334155"/>
          <w:sz w:val="19"/>
        </w:rPr>
        <w:t>Table 3-3: Crash degree definitions</w:t>
      </w:r>
    </w:p>
    <w:p>
      <w:pPr>
        <w:spacing w:before="40" w:after="80" w:line="276" w:lineRule="auto"/>
      </w:pPr>
      <w:r>
        <w:rPr>
          <w:color w:val="334155"/>
          <w:sz w:val="19"/>
        </w:rPr>
        <w:t>Table 3-4: Reported crashes by severity, Precinct road network and surrounding corridors</w:t>
      </w:r>
    </w:p>
    <w:p>
      <w:pPr>
        <w:spacing w:before="40" w:after="80" w:line="276" w:lineRule="auto"/>
      </w:pPr>
      <w:r>
        <w:rPr>
          <w:color w:val="334155"/>
          <w:sz w:val="19"/>
        </w:rPr>
        <w:t>Table 3-5: Most frequent crash types by Road User Movement (RUM) code</w:t>
      </w:r>
    </w:p>
    <w:p>
      <w:pPr>
        <w:spacing w:before="40" w:after="80" w:line="276" w:lineRule="auto"/>
      </w:pPr>
      <w:r>
        <w:rPr>
          <w:color w:val="334155"/>
          <w:sz w:val="19"/>
        </w:rPr>
        <w:t>Table 3-6: Locations with the highest reported crash numbers</w:t>
      </w:r>
    </w:p>
    <w:p>
      <w:pPr>
        <w:spacing w:before="40" w:after="80" w:line="276" w:lineRule="auto"/>
      </w:pPr>
      <w:r>
        <w:rPr>
          <w:color w:val="334155"/>
          <w:sz w:val="19"/>
        </w:rPr>
        <w:t>Table 3-7: Fatal crashes recorded along Precinct road network (2020-2024)</w:t>
      </w:r>
    </w:p>
    <w:p>
      <w:pPr>
        <w:spacing w:before="40" w:after="80" w:line="276" w:lineRule="auto"/>
      </w:pPr>
      <w:r>
        <w:rPr>
          <w:color w:val="334155"/>
          <w:sz w:val="19"/>
        </w:rPr>
        <w:t>Table 3-8: 2026 baseline midblock performance</w:t>
      </w:r>
    </w:p>
    <w:p>
      <w:pPr>
        <w:spacing w:before="40" w:after="80" w:line="276" w:lineRule="auto"/>
      </w:pPr>
      <w:r>
        <w:rPr>
          <w:color w:val="334155"/>
          <w:sz w:val="19"/>
        </w:rPr>
        <w:t>Table 3-9: Effect of grade on heavy vehicles (Austroads Guide to Road Design Part 3, Table 8.2)</w:t>
      </w:r>
    </w:p>
    <w:p>
      <w:pPr>
        <w:spacing w:before="40" w:after="80" w:line="276" w:lineRule="auto"/>
      </w:pPr>
      <w:r>
        <w:rPr>
          <w:color w:val="334155"/>
          <w:sz w:val="19"/>
        </w:rPr>
        <w:t>Table 4-1: Indicative Precinct trip generation</w:t>
      </w:r>
    </w:p>
    <w:p>
      <w:pPr>
        <w:spacing w:before="40" w:after="80" w:line="276" w:lineRule="auto"/>
      </w:pPr>
      <w:r>
        <w:rPr>
          <w:color w:val="334155"/>
          <w:sz w:val="19"/>
        </w:rPr>
        <w:t>Table 4-2: Indicative light vehicle distribution at full development</w:t>
      </w:r>
    </w:p>
    <w:p>
      <w:pPr>
        <w:spacing w:before="40" w:after="80" w:line="276" w:lineRule="auto"/>
      </w:pPr>
      <w:r>
        <w:rPr>
          <w:color w:val="334155"/>
          <w:sz w:val="19"/>
        </w:rPr>
        <w:t>Table 4-3: Evidence basis for the adopted heavy vehicle market shares</w:t>
      </w:r>
    </w:p>
    <w:p>
      <w:pPr>
        <w:spacing w:before="40" w:after="80" w:line="276" w:lineRule="auto"/>
      </w:pPr>
      <w:r>
        <w:rPr>
          <w:color w:val="334155"/>
          <w:sz w:val="19"/>
        </w:rPr>
        <w:t>Table 4-4: Indicative heavy vehicle origin and destination distribution (daily two-way trips)</w:t>
      </w:r>
    </w:p>
    <w:p>
      <w:pPr>
        <w:spacing w:before="40" w:after="80" w:line="276" w:lineRule="auto"/>
      </w:pPr>
      <w:r>
        <w:rPr>
          <w:color w:val="334155"/>
          <w:sz w:val="19"/>
        </w:rPr>
        <w:t>Table 4-5: Light vehicle distribution summary by corridor (daily two-way trips)</w:t>
      </w:r>
    </w:p>
    <w:p>
      <w:pPr>
        <w:spacing w:before="40" w:after="80" w:line="276" w:lineRule="auto"/>
      </w:pPr>
      <w:r>
        <w:rPr>
          <w:color w:val="334155"/>
          <w:sz w:val="19"/>
        </w:rPr>
        <w:t>Table 4-6: Heavy vehicle distribution summary by market (daily two-way trips)</w:t>
      </w:r>
    </w:p>
    <w:p>
      <w:pPr>
        <w:spacing w:before="40" w:after="80" w:line="276" w:lineRule="auto"/>
      </w:pPr>
      <w:r>
        <w:rPr>
          <w:color w:val="334155"/>
          <w:sz w:val="19"/>
        </w:rPr>
        <w:t>Table 4-7: Short term - 2031 midblock performance</w:t>
      </w:r>
    </w:p>
    <w:p>
      <w:pPr>
        <w:spacing w:before="40" w:after="80" w:line="276" w:lineRule="auto"/>
      </w:pPr>
      <w:r>
        <w:rPr>
          <w:color w:val="334155"/>
          <w:sz w:val="19"/>
        </w:rPr>
        <w:t>Table 4-8: Medium term - 2041 midblock performance</w:t>
      </w:r>
    </w:p>
    <w:p>
      <w:pPr>
        <w:spacing w:before="40" w:after="80" w:line="276" w:lineRule="auto"/>
      </w:pPr>
      <w:r>
        <w:rPr>
          <w:color w:val="334155"/>
          <w:sz w:val="19"/>
        </w:rPr>
        <w:t>Table 4-9: Long term - 2041 midblock performance</w:t>
      </w:r>
    </w:p>
    <w:p>
      <w:pPr>
        <w:spacing w:before="40" w:after="80" w:line="276" w:lineRule="auto"/>
      </w:pPr>
      <w:r>
        <w:rPr>
          <w:color w:val="334155"/>
          <w:sz w:val="19"/>
        </w:rPr>
        <w:t>Table 4-10: Indicative short term intersection performance</w:t>
      </w:r>
    </w:p>
    <w:p>
      <w:pPr>
        <w:spacing w:before="40" w:after="80" w:line="276" w:lineRule="auto"/>
      </w:pPr>
      <w:r>
        <w:rPr>
          <w:color w:val="334155"/>
          <w:sz w:val="19"/>
        </w:rPr>
        <w:t>Table 4-11: Indicative medium term intersection performance</w:t>
      </w:r>
    </w:p>
    <w:p>
      <w:pPr>
        <w:spacing w:before="40" w:after="80" w:line="276" w:lineRule="auto"/>
      </w:pPr>
      <w:r>
        <w:rPr>
          <w:color w:val="334155"/>
          <w:sz w:val="19"/>
        </w:rPr>
        <w:t>Table 4-12: Indicative long term intersection performance</w:t>
      </w:r>
    </w:p>
    <w:p>
      <w:pPr>
        <w:spacing w:before="40" w:after="80" w:line="276" w:lineRule="auto"/>
      </w:pPr>
      <w:r>
        <w:rPr>
          <w:color w:val="334155"/>
          <w:sz w:val="19"/>
        </w:rPr>
        <w:t>Table 4-13: Summary of road network upgrades by horizon</w:t>
      </w:r>
    </w:p>
    <w:p>
      <w:pPr>
        <w:spacing w:before="40" w:after="80" w:line="276" w:lineRule="auto"/>
      </w:pPr>
      <w:r>
        <w:rPr>
          <w:color w:val="334155"/>
          <w:sz w:val="19"/>
        </w:rPr>
        <w:t>Table 4-14: Road types and dimensions (Lake Macquarie DCP 2014, Part 8 Subdivision Development, Table</w:t>
      </w:r>
    </w:p>
    <w:p>
      <w:pPr>
        <w:spacing w:before="40" w:after="80" w:line="276" w:lineRule="auto"/>
      </w:pPr>
      <w:r>
        <w:rPr>
          <w:color w:val="334155"/>
          <w:sz w:val="19"/>
        </w:rPr>
        <w:t>3)</w:t>
      </w:r>
    </w:p>
    <w:p>
      <w:pPr>
        <w:spacing w:before="40" w:after="80" w:line="276" w:lineRule="auto"/>
      </w:pPr>
      <w:r>
        <w:rPr>
          <w:color w:val="334155"/>
          <w:sz w:val="19"/>
        </w:rPr>
        <w:t>Table 4-15: NSW roads and street principle (TfNSW Design of Roads and Streets (TS 00066:1.0), 2024))</w:t>
      </w:r>
    </w:p>
    <w:p>
      <w:pPr>
        <w:spacing w:before="40" w:after="80" w:line="276" w:lineRule="auto"/>
      </w:pPr>
      <w:r>
        <w:rPr>
          <w:color w:val="334155"/>
          <w:sz w:val="19"/>
        </w:rPr>
        <w:t>Table 4-16: Movement and Place design parameters by street environment (TfNSW Design of Roads and</w:t>
      </w:r>
    </w:p>
    <w:p>
      <w:pPr>
        <w:spacing w:before="40" w:after="80" w:line="276" w:lineRule="auto"/>
      </w:pPr>
      <w:r>
        <w:rPr>
          <w:color w:val="334155"/>
          <w:sz w:val="19"/>
        </w:rPr>
        <w:t>Streets (TS 00066:1.0), 2024))</w:t>
      </w:r>
    </w:p>
    <w:p>
      <w:pPr>
        <w:spacing w:before="40" w:after="80" w:line="276" w:lineRule="auto"/>
      </w:pPr>
      <w:r>
        <w:rPr>
          <w:color w:val="334155"/>
          <w:sz w:val="19"/>
        </w:rPr>
        <w:t>`</w:t>
      </w:r>
    </w:p>
    <w:p>
      <w:pPr>
        <w:pStyle w:val="Heading3"/>
        <w:keepNext/>
        <w:spacing w:before="160" w:after="40"/>
      </w:pPr>
      <w:r>
        <w:rPr>
          <w:b/>
          <w:color w:val="334155"/>
        </w:rPr>
        <w:t>Traffic Report Page 8</w:t>
      </w:r>
    </w:p>
    <w:p>
      <w:pPr>
        <w:spacing w:before="40" w:after="80" w:line="276" w:lineRule="auto"/>
      </w:pPr>
      <w:r>
        <w:rPr>
          <w:color w:val="334155"/>
          <w:sz w:val="19"/>
        </w:rPr>
        <w:t>`</w:t>
      </w:r>
    </w:p>
    <w:p>
      <w:pPr>
        <w:spacing w:before="40" w:after="80" w:line="276" w:lineRule="auto"/>
      </w:pPr>
      <w:r>
        <w:rPr>
          <w:color w:val="334155"/>
          <w:sz w:val="19"/>
        </w:rPr>
        <w:t>Project number 531168-000  File Final_Traffic &amp; Transport_Engineering Report Structure.docx  2026-07-13  Revision C</w:t>
      </w:r>
    </w:p>
    <w:p>
      <w:pPr>
        <w:spacing w:before="40" w:after="80" w:line="276" w:lineRule="auto"/>
      </w:pPr>
      <w:r>
        <w:rPr>
          <w:color w:val="334155"/>
          <w:sz w:val="19"/>
        </w:rPr>
        <w:t>1</w:t>
      </w:r>
    </w:p>
    <w:p>
      <w:pPr>
        <w:spacing w:before="40" w:after="80" w:line="276" w:lineRule="auto"/>
      </w:pPr>
      <w:r>
        <w:rPr>
          <w:color w:val="334155"/>
          <w:sz w:val="19"/>
        </w:rPr>
        <w:t>1</w:t>
      </w:r>
    </w:p>
    <w:p>
      <w:pPr>
        <w:spacing w:before="40" w:after="80" w:line="276" w:lineRule="auto"/>
      </w:pPr>
      <w:r>
        <w:rPr>
          <w:color w:val="334155"/>
          <w:sz w:val="19"/>
        </w:rPr>
        <w:t>Introduction</w:t>
      </w:r>
    </w:p>
    <w:p>
      <w:pPr>
        <w:spacing w:before="40" w:after="80" w:line="276" w:lineRule="auto"/>
      </w:pPr>
      <w:r>
        <w:rPr>
          <w:color w:val="334155"/>
          <w:sz w:val="19"/>
        </w:rPr>
        <w:t>1.1</w:t>
      </w:r>
    </w:p>
    <w:p>
      <w:pPr>
        <w:spacing w:before="40" w:after="80" w:line="276" w:lineRule="auto"/>
      </w:pPr>
      <w:r>
        <w:rPr>
          <w:color w:val="334155"/>
          <w:sz w:val="19"/>
        </w:rPr>
        <w:t>Introduction</w:t>
      </w:r>
    </w:p>
    <w:p>
      <w:pPr>
        <w:spacing w:before="40" w:after="80" w:line="276" w:lineRule="auto"/>
      </w:pPr>
      <w:r>
        <w:rPr>
          <w:color w:val="334155"/>
          <w:sz w:val="19"/>
        </w:rPr>
        <w:t>This Traffic and Transport Report (this Report) has been prepared by Aurecon on behalf of the Department</w:t>
      </w:r>
    </w:p>
    <w:p>
      <w:pPr>
        <w:spacing w:before="40" w:after="80" w:line="276" w:lineRule="auto"/>
      </w:pPr>
      <w:r>
        <w:rPr>
          <w:color w:val="334155"/>
          <w:sz w:val="19"/>
        </w:rPr>
        <w:t>Planning, Housing and Infrastructure (DPHI) to support the State-led rezoning of the Macquarie Coal</w:t>
      </w:r>
    </w:p>
    <w:p>
      <w:pPr>
        <w:spacing w:before="40" w:after="80" w:line="276" w:lineRule="auto"/>
      </w:pPr>
      <w:r>
        <w:rPr>
          <w:color w:val="334155"/>
          <w:sz w:val="19"/>
        </w:rPr>
        <w:t>Complex (the Precinct).  This Report assesses the proposed rezoning and accompanying Master Plan in</w:t>
      </w:r>
    </w:p>
    <w:p>
      <w:pPr>
        <w:spacing w:before="40" w:after="80" w:line="276" w:lineRule="auto"/>
      </w:pPr>
      <w:r>
        <w:rPr>
          <w:color w:val="334155"/>
          <w:sz w:val="19"/>
        </w:rPr>
        <w:t>relation to traffic engineering and transport planning related matters.</w:t>
      </w:r>
    </w:p>
    <w:p>
      <w:pPr>
        <w:spacing w:before="40" w:after="80" w:line="276" w:lineRule="auto"/>
      </w:pPr>
      <w:r>
        <w:rPr>
          <w:color w:val="334155"/>
          <w:sz w:val="19"/>
        </w:rPr>
        <w:t>This Report is structured as set out in Table 1-1.</w:t>
      </w:r>
    </w:p>
    <w:p>
      <w:pPr>
        <w:spacing w:before="40" w:after="80" w:line="276" w:lineRule="auto"/>
      </w:pPr>
      <w:r>
        <w:rPr>
          <w:color w:val="334155"/>
          <w:sz w:val="19"/>
        </w:rPr>
        <w:t>Table 1-1: Report structure</w:t>
      </w:r>
    </w:p>
    <w:p>
      <w:pPr>
        <w:spacing w:before="40" w:after="80" w:line="276" w:lineRule="auto"/>
      </w:pPr>
      <w:r>
        <w:rPr>
          <w:color w:val="334155"/>
          <w:sz w:val="19"/>
        </w:rPr>
        <w:t>Chapter</w:t>
      </w:r>
    </w:p>
    <w:p>
      <w:pPr>
        <w:spacing w:before="40" w:after="80" w:line="276" w:lineRule="auto"/>
      </w:pPr>
      <w:r>
        <w:rPr>
          <w:color w:val="334155"/>
          <w:sz w:val="19"/>
        </w:rPr>
        <w:t>Description</w:t>
      </w:r>
    </w:p>
    <w:p>
      <w:pPr>
        <w:spacing w:before="40" w:after="80" w:line="276" w:lineRule="auto"/>
      </w:pPr>
      <w:r>
        <w:rPr>
          <w:color w:val="334155"/>
          <w:sz w:val="19"/>
        </w:rPr>
        <w:t>Chapter 1 – Introduction</w:t>
      </w:r>
    </w:p>
    <w:p>
      <w:pPr>
        <w:spacing w:before="40" w:after="80" w:line="276" w:lineRule="auto"/>
      </w:pPr>
      <w:r>
        <w:rPr>
          <w:color w:val="334155"/>
          <w:sz w:val="19"/>
        </w:rPr>
        <w:t>Explains the report's purpose and the methodology used to assess the rezoning. Covers</w:t>
      </w:r>
    </w:p>
    <w:p>
      <w:pPr>
        <w:spacing w:before="40" w:after="80" w:line="276" w:lineRule="auto"/>
      </w:pPr>
      <w:r>
        <w:rPr>
          <w:color w:val="334155"/>
          <w:sz w:val="19"/>
        </w:rPr>
        <w:t>the baseline and future horizons, trip generation and distribution, network performance</w:t>
      </w:r>
    </w:p>
    <w:p>
      <w:pPr>
        <w:spacing w:before="40" w:after="80" w:line="276" w:lineRule="auto"/>
      </w:pPr>
      <w:r>
        <w:rPr>
          <w:color w:val="334155"/>
          <w:sz w:val="19"/>
        </w:rPr>
        <w:t>approach, and data reliance.</w:t>
      </w:r>
    </w:p>
    <w:p>
      <w:pPr>
        <w:spacing w:before="40" w:after="80" w:line="276" w:lineRule="auto"/>
      </w:pPr>
      <w:r>
        <w:rPr>
          <w:color w:val="334155"/>
          <w:sz w:val="19"/>
        </w:rPr>
        <w:t>Chapter 2 – Strategic</w:t>
      </w:r>
    </w:p>
    <w:p>
      <w:pPr>
        <w:spacing w:before="40" w:after="80" w:line="276" w:lineRule="auto"/>
      </w:pPr>
      <w:r>
        <w:rPr>
          <w:color w:val="334155"/>
          <w:sz w:val="19"/>
        </w:rPr>
        <w:t>Context</w:t>
      </w:r>
    </w:p>
    <w:p>
      <w:pPr>
        <w:spacing w:before="40" w:after="80" w:line="276" w:lineRule="auto"/>
      </w:pPr>
      <w:r>
        <w:rPr>
          <w:color w:val="334155"/>
          <w:sz w:val="19"/>
        </w:rPr>
        <w:t>Sets out the federal, state and local policy and planning framework the report responds</w:t>
      </w:r>
    </w:p>
    <w:p>
      <w:pPr>
        <w:spacing w:before="40" w:after="80" w:line="276" w:lineRule="auto"/>
      </w:pPr>
      <w:r>
        <w:rPr>
          <w:color w:val="334155"/>
          <w:sz w:val="19"/>
        </w:rPr>
        <w:t>to. Includes freight, Movement and Place, regional plans and the local LEP, LSPS and</w:t>
      </w:r>
    </w:p>
    <w:p>
      <w:pPr>
        <w:spacing w:before="40" w:after="80" w:line="276" w:lineRule="auto"/>
      </w:pPr>
      <w:r>
        <w:rPr>
          <w:color w:val="334155"/>
          <w:sz w:val="19"/>
        </w:rPr>
        <w:t>DCP.</w:t>
      </w:r>
    </w:p>
    <w:p>
      <w:pPr>
        <w:spacing w:before="40" w:after="80" w:line="276" w:lineRule="auto"/>
      </w:pPr>
      <w:r>
        <w:rPr>
          <w:color w:val="334155"/>
          <w:sz w:val="19"/>
        </w:rPr>
        <w:t>Chapter 3 – Baseline</w:t>
      </w:r>
    </w:p>
    <w:p>
      <w:pPr>
        <w:spacing w:before="40" w:after="80" w:line="276" w:lineRule="auto"/>
      </w:pPr>
      <w:r>
        <w:rPr>
          <w:color w:val="334155"/>
          <w:sz w:val="19"/>
        </w:rPr>
        <w:t>Analysis</w:t>
      </w:r>
    </w:p>
    <w:p>
      <w:pPr>
        <w:spacing w:before="40" w:after="80" w:line="276" w:lineRule="auto"/>
      </w:pPr>
      <w:r>
        <w:rPr>
          <w:color w:val="334155"/>
          <w:sz w:val="19"/>
        </w:rPr>
        <w:t>Describes existing conditions across the road, active transport, bus, rail and freight</w:t>
      </w:r>
    </w:p>
    <w:p>
      <w:pPr>
        <w:spacing w:before="40" w:after="80" w:line="276" w:lineRule="auto"/>
      </w:pPr>
      <w:r>
        <w:rPr>
          <w:color w:val="334155"/>
          <w:sz w:val="19"/>
        </w:rPr>
        <w:t>networks. Covers crash history, traffic growth, trip patterns, existing midblock</w:t>
      </w:r>
    </w:p>
    <w:p>
      <w:pPr>
        <w:spacing w:before="40" w:after="80" w:line="276" w:lineRule="auto"/>
      </w:pPr>
      <w:r>
        <w:rPr>
          <w:color w:val="334155"/>
          <w:sz w:val="19"/>
        </w:rPr>
        <w:t>performance and the key existing traffic issues such as the Rhondda Road gradient and</w:t>
      </w:r>
    </w:p>
    <w:p>
      <w:pPr>
        <w:spacing w:before="40" w:after="80" w:line="276" w:lineRule="auto"/>
      </w:pPr>
      <w:r>
        <w:rPr>
          <w:color w:val="334155"/>
          <w:sz w:val="19"/>
        </w:rPr>
        <w:t>severance features for future traffic connectivity such as Cockle Creek and the Main</w:t>
      </w:r>
    </w:p>
    <w:p>
      <w:pPr>
        <w:spacing w:before="40" w:after="80" w:line="276" w:lineRule="auto"/>
      </w:pPr>
      <w:r>
        <w:rPr>
          <w:color w:val="334155"/>
          <w:sz w:val="19"/>
        </w:rPr>
        <w:t>Northern railway line.</w:t>
      </w:r>
    </w:p>
    <w:p>
      <w:pPr>
        <w:spacing w:before="40" w:after="80" w:line="276" w:lineRule="auto"/>
      </w:pPr>
      <w:r>
        <w:rPr>
          <w:color w:val="334155"/>
          <w:sz w:val="19"/>
        </w:rPr>
        <w:t>Chapter 4 – Structure</w:t>
      </w:r>
    </w:p>
    <w:p>
      <w:pPr>
        <w:spacing w:before="40" w:after="80" w:line="276" w:lineRule="auto"/>
      </w:pPr>
      <w:r>
        <w:rPr>
          <w:color w:val="334155"/>
          <w:sz w:val="19"/>
        </w:rPr>
        <w:t>Plan</w:t>
      </w:r>
    </w:p>
    <w:p>
      <w:pPr>
        <w:spacing w:before="40" w:after="80" w:line="276" w:lineRule="auto"/>
      </w:pPr>
      <w:r>
        <w:rPr>
          <w:color w:val="334155"/>
          <w:sz w:val="19"/>
        </w:rPr>
        <w:t>Presents the proposed structure plan, transport network and traffic generation, then</w:t>
      </w:r>
    </w:p>
    <w:p>
      <w:pPr>
        <w:spacing w:before="40" w:after="80" w:line="276" w:lineRule="auto"/>
      </w:pPr>
      <w:r>
        <w:rPr>
          <w:color w:val="334155"/>
          <w:sz w:val="19"/>
        </w:rPr>
        <w:t>assesses midblock and intersection performance across the horizons. Sets out the freight</w:t>
      </w:r>
    </w:p>
    <w:p>
      <w:pPr>
        <w:spacing w:before="40" w:after="80" w:line="276" w:lineRule="auto"/>
      </w:pPr>
      <w:r>
        <w:rPr>
          <w:color w:val="334155"/>
          <w:sz w:val="19"/>
        </w:rPr>
        <w:t>and RAV route strategy, the integration of transport opportunities and the staged required</w:t>
      </w:r>
    </w:p>
    <w:p>
      <w:pPr>
        <w:spacing w:before="40" w:after="80" w:line="276" w:lineRule="auto"/>
      </w:pPr>
      <w:r>
        <w:rPr>
          <w:color w:val="334155"/>
          <w:sz w:val="19"/>
        </w:rPr>
        <w:t>upgrades.</w:t>
      </w:r>
    </w:p>
    <w:p>
      <w:pPr>
        <w:spacing w:before="40" w:after="80" w:line="276" w:lineRule="auto"/>
      </w:pPr>
      <w:r>
        <w:rPr>
          <w:color w:val="334155"/>
          <w:sz w:val="19"/>
        </w:rPr>
        <w:t>Chapter 5 – Conclusion</w:t>
      </w:r>
    </w:p>
    <w:p>
      <w:pPr>
        <w:spacing w:before="40" w:after="80" w:line="276" w:lineRule="auto"/>
      </w:pPr>
      <w:r>
        <w:rPr>
          <w:color w:val="334155"/>
          <w:sz w:val="19"/>
        </w:rPr>
        <w:t>Summarises the baseline results against Precinct findings, a Cockle Creek crossing</w:t>
      </w:r>
    </w:p>
    <w:p>
      <w:pPr>
        <w:spacing w:before="40" w:after="80" w:line="276" w:lineRule="auto"/>
      </w:pPr>
      <w:r>
        <w:rPr>
          <w:color w:val="334155"/>
          <w:sz w:val="19"/>
        </w:rPr>
        <w:t>benefit and the staged upgrade program. Concludes the rezoning is feasible subject to</w:t>
      </w:r>
    </w:p>
    <w:p>
      <w:pPr>
        <w:spacing w:before="40" w:after="80" w:line="276" w:lineRule="auto"/>
      </w:pPr>
      <w:r>
        <w:rPr>
          <w:color w:val="334155"/>
          <w:sz w:val="19"/>
        </w:rPr>
        <w:t>staged delivery.</w:t>
      </w:r>
    </w:p>
    <w:p>
      <w:pPr>
        <w:spacing w:before="40" w:after="80" w:line="276" w:lineRule="auto"/>
      </w:pPr>
      <w:r>
        <w:rPr>
          <w:color w:val="334155"/>
          <w:sz w:val="19"/>
        </w:rPr>
        <w:t>Appendices</w:t>
      </w:r>
    </w:p>
    <w:p>
      <w:pPr>
        <w:spacing w:before="40" w:after="80" w:line="276" w:lineRule="auto"/>
      </w:pPr>
      <w:r>
        <w:rPr>
          <w:color w:val="334155"/>
          <w:sz w:val="19"/>
        </w:rPr>
        <w:t>Detailed midblock assessment results supporting the performance analysis.</w:t>
      </w:r>
    </w:p>
    <w:p>
      <w:pPr>
        <w:spacing w:before="40" w:after="80" w:line="276" w:lineRule="auto"/>
      </w:pPr>
      <w:r>
        <w:rPr>
          <w:color w:val="334155"/>
          <w:sz w:val="19"/>
        </w:rPr>
        <w:t>1.2</w:t>
      </w:r>
    </w:p>
    <w:p>
      <w:pPr>
        <w:spacing w:before="40" w:after="80" w:line="276" w:lineRule="auto"/>
      </w:pPr>
      <w:r>
        <w:rPr>
          <w:color w:val="334155"/>
          <w:sz w:val="19"/>
        </w:rPr>
        <w:t>Purpose of this report</w:t>
      </w:r>
    </w:p>
    <w:p>
      <w:pPr>
        <w:spacing w:before="40" w:after="80" w:line="276" w:lineRule="auto"/>
      </w:pPr>
      <w:r>
        <w:rPr>
          <w:color w:val="334155"/>
          <w:sz w:val="19"/>
        </w:rPr>
        <w:t>This Report establishes an evidence based foundation to inform land use planning and infrastructure</w:t>
      </w:r>
    </w:p>
    <w:p>
      <w:pPr>
        <w:spacing w:before="40" w:after="80" w:line="276" w:lineRule="auto"/>
      </w:pPr>
      <w:r>
        <w:rPr>
          <w:color w:val="334155"/>
          <w:sz w:val="19"/>
        </w:rPr>
        <w:t>decision making for the Precinct to support the rezoning. The Report has been prepared to:</w:t>
      </w:r>
    </w:p>
    <w:p>
      <w:pPr>
        <w:spacing w:before="40" w:after="80" w:line="276" w:lineRule="auto"/>
      </w:pPr>
      <w:r>
        <w:rPr>
          <w:color w:val="334155"/>
          <w:sz w:val="19"/>
        </w:rPr>
        <w:t>◼ Support the development of the Master Plan including the establishment of the movement network</w:t>
      </w:r>
    </w:p>
    <w:p>
      <w:pPr>
        <w:spacing w:before="40" w:after="80" w:line="276" w:lineRule="auto"/>
      </w:pPr>
      <w:r>
        <w:rPr>
          <w:color w:val="334155"/>
          <w:sz w:val="19"/>
        </w:rPr>
        <w:t>objectives, access arrangements and connectivity principles, and transport performance outcomes criteria</w:t>
      </w:r>
    </w:p>
    <w:p>
      <w:pPr>
        <w:spacing w:before="40" w:after="80" w:line="276" w:lineRule="auto"/>
      </w:pPr>
      <w:r>
        <w:rPr>
          <w:color w:val="334155"/>
          <w:sz w:val="19"/>
        </w:rPr>
        <w:t>aligned with intended land uses.</w:t>
      </w:r>
    </w:p>
    <w:p>
      <w:pPr>
        <w:spacing w:before="40" w:after="80" w:line="276" w:lineRule="auto"/>
      </w:pPr>
      <w:r>
        <w:rPr>
          <w:color w:val="334155"/>
          <w:sz w:val="19"/>
        </w:rPr>
        <w:t>◼ Inform State-led rezoning by demonstrating that proposed land use allocations are supported by feasible</w:t>
      </w:r>
    </w:p>
    <w:p>
      <w:pPr>
        <w:spacing w:before="40" w:after="80" w:line="276" w:lineRule="auto"/>
      </w:pPr>
      <w:r>
        <w:rPr>
          <w:color w:val="334155"/>
          <w:sz w:val="19"/>
        </w:rPr>
        <w:t>and appropriate access arrangements, and that key transport opportunities and constraints are properly</w:t>
      </w:r>
    </w:p>
    <w:p>
      <w:pPr>
        <w:spacing w:before="40" w:after="80" w:line="276" w:lineRule="auto"/>
      </w:pPr>
      <w:r>
        <w:rPr>
          <w:color w:val="334155"/>
          <w:sz w:val="19"/>
        </w:rPr>
        <w:t>integrated into land use planning and staging.</w:t>
      </w:r>
    </w:p>
    <w:p>
      <w:pPr>
        <w:spacing w:before="40" w:after="80" w:line="276" w:lineRule="auto"/>
      </w:pPr>
      <w:r>
        <w:rPr>
          <w:color w:val="334155"/>
          <w:sz w:val="19"/>
        </w:rPr>
        <w:t>◼ Identify and prioritise transport infrastructure requirements necessary to enable development, including</w:t>
      </w:r>
    </w:p>
    <w:p>
      <w:pPr>
        <w:spacing w:before="40" w:after="80" w:line="276" w:lineRule="auto"/>
      </w:pPr>
      <w:r>
        <w:rPr>
          <w:color w:val="334155"/>
          <w:sz w:val="19"/>
        </w:rPr>
        <w:t>key upgrades and new connections, and to establish indicative timing triggers across short, medium, and</w:t>
      </w:r>
    </w:p>
    <w:p>
      <w:pPr>
        <w:spacing w:before="40" w:after="80" w:line="276" w:lineRule="auto"/>
      </w:pPr>
      <w:r>
        <w:rPr>
          <w:color w:val="334155"/>
          <w:sz w:val="19"/>
        </w:rPr>
        <w:t>long-term horizons (0-10, 10-20, and 20+ years respectively), supporting an orderly and coordinated</w:t>
      </w:r>
    </w:p>
    <w:p>
      <w:pPr>
        <w:spacing w:before="40" w:after="80" w:line="276" w:lineRule="auto"/>
      </w:pPr>
      <w:r>
        <w:rPr>
          <w:color w:val="334155"/>
          <w:sz w:val="19"/>
        </w:rPr>
        <w:t>delivery of land use outcomes.</w:t>
      </w:r>
    </w:p>
    <w:p>
      <w:pPr>
        <w:spacing w:before="40" w:after="80" w:line="276" w:lineRule="auto"/>
      </w:pPr>
      <w:r>
        <w:rPr>
          <w:color w:val="334155"/>
          <w:sz w:val="19"/>
        </w:rPr>
        <w:t>`</w:t>
      </w:r>
    </w:p>
    <w:p>
      <w:pPr>
        <w:pStyle w:val="Heading3"/>
        <w:keepNext/>
        <w:spacing w:before="160" w:after="40"/>
      </w:pPr>
      <w:r>
        <w:rPr>
          <w:b/>
          <w:color w:val="334155"/>
        </w:rPr>
        <w:t>Traffic Report Page 9</w:t>
      </w:r>
    </w:p>
    <w:p>
      <w:pPr>
        <w:spacing w:before="40" w:after="80" w:line="276" w:lineRule="auto"/>
      </w:pPr>
      <w:r>
        <w:rPr>
          <w:color w:val="334155"/>
          <w:sz w:val="19"/>
        </w:rPr>
        <w:t>`</w:t>
      </w:r>
    </w:p>
    <w:p>
      <w:pPr>
        <w:spacing w:before="40" w:after="80" w:line="276" w:lineRule="auto"/>
      </w:pPr>
      <w:r>
        <w:rPr>
          <w:color w:val="334155"/>
          <w:sz w:val="19"/>
        </w:rPr>
        <w:t>Project number 531168-000  File Final_Traffic &amp; Transport_Engineering Report Structure.docx  2026-07-13  Revision C</w:t>
      </w:r>
    </w:p>
    <w:p>
      <w:pPr>
        <w:spacing w:before="40" w:after="80" w:line="276" w:lineRule="auto"/>
      </w:pPr>
      <w:r>
        <w:rPr>
          <w:color w:val="334155"/>
          <w:sz w:val="19"/>
        </w:rPr>
        <w:t>2</w:t>
      </w:r>
    </w:p>
    <w:p>
      <w:pPr>
        <w:spacing w:before="40" w:after="80" w:line="276" w:lineRule="auto"/>
      </w:pPr>
      <w:r>
        <w:rPr>
          <w:color w:val="334155"/>
          <w:sz w:val="19"/>
        </w:rPr>
        <w:t>1.3</w:t>
      </w:r>
    </w:p>
    <w:p>
      <w:pPr>
        <w:spacing w:before="40" w:after="80" w:line="276" w:lineRule="auto"/>
      </w:pPr>
      <w:r>
        <w:rPr>
          <w:color w:val="334155"/>
          <w:sz w:val="19"/>
        </w:rPr>
        <w:t>Methodology</w:t>
      </w:r>
    </w:p>
    <w:p>
      <w:pPr>
        <w:spacing w:before="40" w:after="80" w:line="276" w:lineRule="auto"/>
      </w:pPr>
      <w:r>
        <w:rPr>
          <w:color w:val="334155"/>
          <w:sz w:val="19"/>
        </w:rPr>
        <w:t>The assessment follows the TfNSW Guide to Transport Impact Assessment (GTIA) (TS00085 v1.1, 2024),</w:t>
      </w:r>
    </w:p>
    <w:p>
      <w:pPr>
        <w:spacing w:before="40" w:after="80" w:line="276" w:lineRule="auto"/>
      </w:pPr>
      <w:r>
        <w:rPr>
          <w:color w:val="334155"/>
          <w:sz w:val="19"/>
        </w:rPr>
        <w:t>and the principles of the TfNSW Transport Management and Accessibility Plan, supported by the Austroads</w:t>
      </w:r>
    </w:p>
    <w:p>
      <w:pPr>
        <w:spacing w:before="40" w:after="80" w:line="276" w:lineRule="auto"/>
      </w:pPr>
      <w:r>
        <w:rPr>
          <w:color w:val="334155"/>
          <w:sz w:val="19"/>
        </w:rPr>
        <w:t>Guide to Traffic Management (Parts 3 and 12) and the Austroads Guide to Road Design. The methodology</w:t>
      </w:r>
    </w:p>
    <w:p>
      <w:pPr>
        <w:spacing w:before="40" w:after="80" w:line="276" w:lineRule="auto"/>
      </w:pPr>
      <w:r>
        <w:rPr>
          <w:color w:val="334155"/>
          <w:sz w:val="19"/>
        </w:rPr>
        <w:t>applied to each component of the assessment and is set out in the following sections.</w:t>
      </w:r>
    </w:p>
    <w:p>
      <w:pPr>
        <w:spacing w:before="40" w:after="80" w:line="276" w:lineRule="auto"/>
      </w:pPr>
      <w:r>
        <w:rPr>
          <w:color w:val="334155"/>
          <w:sz w:val="19"/>
        </w:rPr>
        <w:t>1.3.1</w:t>
      </w:r>
    </w:p>
    <w:p>
      <w:pPr>
        <w:spacing w:before="40" w:after="80" w:line="276" w:lineRule="auto"/>
      </w:pPr>
      <w:r>
        <w:rPr>
          <w:color w:val="334155"/>
          <w:sz w:val="19"/>
        </w:rPr>
        <w:t>Baseline and Future horizons</w:t>
      </w:r>
    </w:p>
    <w:p>
      <w:pPr>
        <w:spacing w:before="40" w:after="80" w:line="276" w:lineRule="auto"/>
      </w:pPr>
      <w:r>
        <w:rPr>
          <w:color w:val="334155"/>
          <w:sz w:val="19"/>
        </w:rPr>
        <w:t>The baseline and future horizons adopted are as follows:</w:t>
      </w:r>
    </w:p>
    <w:p>
      <w:pPr>
        <w:spacing w:before="40" w:after="80" w:line="276" w:lineRule="auto"/>
      </w:pPr>
      <w:r>
        <w:rPr>
          <w:color w:val="334155"/>
          <w:sz w:val="19"/>
        </w:rPr>
        <w:t>Horizon</w:t>
      </w:r>
    </w:p>
    <w:p>
      <w:pPr>
        <w:spacing w:before="40" w:after="80" w:line="276" w:lineRule="auto"/>
      </w:pPr>
      <w:r>
        <w:rPr>
          <w:color w:val="334155"/>
          <w:sz w:val="19"/>
        </w:rPr>
        <w:t>Description</w:t>
      </w:r>
    </w:p>
    <w:p>
      <w:pPr>
        <w:spacing w:before="40" w:after="80" w:line="276" w:lineRule="auto"/>
      </w:pPr>
      <w:r>
        <w:rPr>
          <w:color w:val="334155"/>
          <w:sz w:val="19"/>
        </w:rPr>
        <w:t>Base year (2026)</w:t>
      </w:r>
    </w:p>
    <w:p>
      <w:pPr>
        <w:spacing w:before="40" w:after="80" w:line="276" w:lineRule="auto"/>
      </w:pPr>
      <w:r>
        <w:rPr>
          <w:color w:val="334155"/>
          <w:sz w:val="19"/>
        </w:rPr>
        <w:t>The existing network with current background traffic and no Precinct development. This</w:t>
      </w:r>
    </w:p>
    <w:p>
      <w:pPr>
        <w:spacing w:before="40" w:after="80" w:line="276" w:lineRule="auto"/>
      </w:pPr>
      <w:r>
        <w:rPr>
          <w:color w:val="334155"/>
          <w:sz w:val="19"/>
        </w:rPr>
        <w:t>establishes the baseline against which each future horizon is compared.</w:t>
      </w:r>
    </w:p>
    <w:p>
      <w:pPr>
        <w:spacing w:before="40" w:after="80" w:line="276" w:lineRule="auto"/>
      </w:pPr>
      <w:r>
        <w:rPr>
          <w:color w:val="334155"/>
          <w:sz w:val="19"/>
        </w:rPr>
        <w:t>Short term (+5 years)</w:t>
      </w:r>
    </w:p>
    <w:p>
      <w:pPr>
        <w:spacing w:before="40" w:after="80" w:line="276" w:lineRule="auto"/>
      </w:pPr>
      <w:r>
        <w:rPr>
          <w:color w:val="334155"/>
          <w:sz w:val="19"/>
        </w:rPr>
        <w:t>Background traffic is grown to 2031 and the Precinct is partially developed. Full build</w:t>
      </w:r>
    </w:p>
    <w:p>
      <w:pPr>
        <w:spacing w:before="40" w:after="80" w:line="276" w:lineRule="auto"/>
      </w:pPr>
      <w:r>
        <w:rPr>
          <w:color w:val="334155"/>
          <w:sz w:val="19"/>
        </w:rPr>
        <w:t>out is not expected within this horizon and a development reduction factor of</w:t>
      </w:r>
    </w:p>
    <w:p>
      <w:pPr>
        <w:spacing w:before="40" w:after="80" w:line="276" w:lineRule="auto"/>
      </w:pPr>
      <w:r>
        <w:rPr>
          <w:color w:val="334155"/>
          <w:sz w:val="19"/>
        </w:rPr>
        <w:t>50 per cent is applied to the generated traffic.</w:t>
      </w:r>
    </w:p>
    <w:p>
      <w:pPr>
        <w:spacing w:before="40" w:after="80" w:line="276" w:lineRule="auto"/>
      </w:pPr>
      <w:r>
        <w:rPr>
          <w:color w:val="334155"/>
          <w:sz w:val="19"/>
        </w:rPr>
        <w:t>The key road network connectivity links, being a new Cockle Creek crossing, the</w:t>
      </w:r>
    </w:p>
    <w:p>
      <w:pPr>
        <w:spacing w:before="40" w:after="80" w:line="276" w:lineRule="auto"/>
      </w:pPr>
      <w:r>
        <w:rPr>
          <w:color w:val="334155"/>
          <w:sz w:val="19"/>
        </w:rPr>
        <w:t>railway overpass upgrade in Teralba and the proposed internal local road facilitating</w:t>
      </w:r>
    </w:p>
    <w:p>
      <w:pPr>
        <w:spacing w:before="40" w:after="80" w:line="276" w:lineRule="auto"/>
      </w:pPr>
      <w:r>
        <w:rPr>
          <w:color w:val="334155"/>
          <w:sz w:val="19"/>
        </w:rPr>
        <w:t>east-west access to the site, are assumed not yet to developed, as well as the</w:t>
      </w:r>
    </w:p>
    <w:p>
      <w:pPr>
        <w:spacing w:before="40" w:after="80" w:line="276" w:lineRule="auto"/>
      </w:pPr>
      <w:r>
        <w:rPr>
          <w:color w:val="334155"/>
          <w:sz w:val="19"/>
        </w:rPr>
        <w:t>formalisation of Wakefield Road, south of Rhondda Road as an approved RAV B-</w:t>
      </w:r>
    </w:p>
    <w:p>
      <w:pPr>
        <w:spacing w:before="40" w:after="80" w:line="276" w:lineRule="auto"/>
      </w:pPr>
      <w:r>
        <w:rPr>
          <w:color w:val="334155"/>
          <w:sz w:val="19"/>
        </w:rPr>
        <w:t>double route. This results in site access to Area 1 being primarily from the northern and</w:t>
      </w:r>
    </w:p>
    <w:p>
      <w:pPr>
        <w:spacing w:before="40" w:after="80" w:line="276" w:lineRule="auto"/>
      </w:pPr>
      <w:r>
        <w:rPr>
          <w:color w:val="334155"/>
          <w:sz w:val="19"/>
        </w:rPr>
        <w:t>southern access points via B89.</w:t>
      </w:r>
    </w:p>
    <w:p>
      <w:pPr>
        <w:spacing w:before="40" w:after="80" w:line="276" w:lineRule="auto"/>
      </w:pPr>
      <w:r>
        <w:rPr>
          <w:color w:val="334155"/>
          <w:sz w:val="19"/>
        </w:rPr>
        <w:t>Medium term (+15 years)</w:t>
      </w:r>
    </w:p>
    <w:p>
      <w:pPr>
        <w:spacing w:before="40" w:after="80" w:line="276" w:lineRule="auto"/>
      </w:pPr>
      <w:r>
        <w:rPr>
          <w:color w:val="334155"/>
          <w:sz w:val="19"/>
        </w:rPr>
        <w:t>Background traffic is further projected to 2041 and the Precinct is assumed to be at full</w:t>
      </w:r>
    </w:p>
    <w:p>
      <w:pPr>
        <w:spacing w:before="40" w:after="80" w:line="276" w:lineRule="auto"/>
      </w:pPr>
      <w:r>
        <w:rPr>
          <w:color w:val="334155"/>
          <w:sz w:val="19"/>
        </w:rPr>
        <w:t>build out, with full generation applied (no reduction factor). The connectivity links,</w:t>
      </w:r>
    </w:p>
    <w:p>
      <w:pPr>
        <w:spacing w:before="40" w:after="80" w:line="276" w:lineRule="auto"/>
      </w:pPr>
      <w:r>
        <w:rPr>
          <w:color w:val="334155"/>
          <w:sz w:val="19"/>
        </w:rPr>
        <w:t>including a new Cockle Creek crossing, the completion of upgrades to the railway</w:t>
      </w:r>
    </w:p>
    <w:p>
      <w:pPr>
        <w:spacing w:before="40" w:after="80" w:line="276" w:lineRule="auto"/>
      </w:pPr>
      <w:r>
        <w:rPr>
          <w:color w:val="334155"/>
          <w:sz w:val="19"/>
        </w:rPr>
        <w:t>overpass, development of the internal east-west local road and approval of Wakefield</w:t>
      </w:r>
    </w:p>
    <w:p>
      <w:pPr>
        <w:spacing w:before="40" w:after="80" w:line="276" w:lineRule="auto"/>
      </w:pPr>
      <w:r>
        <w:rPr>
          <w:color w:val="334155"/>
          <w:sz w:val="19"/>
        </w:rPr>
        <w:t>Road, south of Rhondda Road as a RAV B-double route, are assumed to have been</w:t>
      </w:r>
    </w:p>
    <w:p>
      <w:pPr>
        <w:spacing w:before="40" w:after="80" w:line="276" w:lineRule="auto"/>
      </w:pPr>
      <w:r>
        <w:rPr>
          <w:color w:val="334155"/>
          <w:sz w:val="19"/>
        </w:rPr>
        <w:t>established, activating the eastern access point to the Precinct.</w:t>
      </w:r>
    </w:p>
    <w:p>
      <w:pPr>
        <w:spacing w:before="40" w:after="80" w:line="276" w:lineRule="auto"/>
      </w:pPr>
      <w:r>
        <w:rPr>
          <w:color w:val="334155"/>
          <w:sz w:val="19"/>
        </w:rPr>
        <w:t>Long term (+20 years)</w:t>
      </w:r>
    </w:p>
    <w:p>
      <w:pPr>
        <w:spacing w:before="40" w:after="80" w:line="276" w:lineRule="auto"/>
      </w:pPr>
      <w:r>
        <w:rPr>
          <w:color w:val="334155"/>
          <w:sz w:val="19"/>
        </w:rPr>
        <w:t>Full build out and the connectivity links in place, with background traffic further projected</w:t>
      </w:r>
    </w:p>
    <w:p>
      <w:pPr>
        <w:spacing w:before="40" w:after="80" w:line="276" w:lineRule="auto"/>
      </w:pPr>
      <w:r>
        <w:rPr>
          <w:color w:val="334155"/>
          <w:sz w:val="19"/>
        </w:rPr>
        <w:t>to 2051.</w:t>
      </w:r>
    </w:p>
    <w:p>
      <w:pPr>
        <w:spacing w:before="40" w:after="80" w:line="276" w:lineRule="auto"/>
      </w:pPr>
      <w:r>
        <w:rPr>
          <w:color w:val="334155"/>
          <w:sz w:val="19"/>
        </w:rPr>
        <w:t>1.3.2</w:t>
      </w:r>
    </w:p>
    <w:p>
      <w:pPr>
        <w:spacing w:before="40" w:after="80" w:line="276" w:lineRule="auto"/>
      </w:pPr>
      <w:r>
        <w:rPr>
          <w:color w:val="334155"/>
          <w:sz w:val="19"/>
        </w:rPr>
        <w:t>Existing trip patterns</w:t>
      </w:r>
    </w:p>
    <w:p>
      <w:pPr>
        <w:spacing w:before="40" w:after="80" w:line="276" w:lineRule="auto"/>
      </w:pPr>
      <w:r>
        <w:rPr>
          <w:color w:val="334155"/>
          <w:sz w:val="19"/>
        </w:rPr>
        <w:t>Existing travel behaviour is established from ABS Census data for 2016 and 2021. Vehicle ownership trends</w:t>
      </w:r>
    </w:p>
    <w:p>
      <w:pPr>
        <w:spacing w:before="40" w:after="80" w:line="276" w:lineRule="auto"/>
      </w:pPr>
      <w:r>
        <w:rPr>
          <w:color w:val="334155"/>
          <w:sz w:val="19"/>
        </w:rPr>
        <w:t>are assessed at the Bolton Point to Teralba SA2 level by comparing the distribution of motor vehicles per</w:t>
      </w:r>
    </w:p>
    <w:p>
      <w:pPr>
        <w:spacing w:before="40" w:after="80" w:line="276" w:lineRule="auto"/>
      </w:pPr>
      <w:r>
        <w:rPr>
          <w:color w:val="334155"/>
          <w:sz w:val="19"/>
        </w:rPr>
        <w:t>dwelling between the two census years and against the NSW average, indicating the degree of car</w:t>
      </w:r>
    </w:p>
    <w:p>
      <w:pPr>
        <w:spacing w:before="40" w:after="80" w:line="276" w:lineRule="auto"/>
      </w:pPr>
      <w:r>
        <w:rPr>
          <w:color w:val="334155"/>
          <w:sz w:val="19"/>
        </w:rPr>
        <w:t>dependency that new land uses must plan around.</w:t>
      </w:r>
    </w:p>
    <w:p>
      <w:pPr>
        <w:spacing w:before="40" w:after="80" w:line="276" w:lineRule="auto"/>
      </w:pPr>
      <w:r>
        <w:rPr>
          <w:color w:val="334155"/>
          <w:sz w:val="19"/>
        </w:rPr>
        <w:t>Journey to work (JTW) patterns are assessed from ABS 2021 Census data tabulating place of usual residence</w:t>
      </w:r>
    </w:p>
    <w:p>
      <w:pPr>
        <w:spacing w:before="40" w:after="80" w:line="276" w:lineRule="auto"/>
      </w:pPr>
      <w:r>
        <w:rPr>
          <w:color w:val="334155"/>
          <w:sz w:val="19"/>
        </w:rPr>
        <w:t>by place of work at the SA2 level, for the suburbs in and around the master plan area (Teralba, West Wallsend,</w:t>
      </w:r>
    </w:p>
    <w:p>
      <w:pPr>
        <w:spacing w:before="40" w:after="80" w:line="276" w:lineRule="auto"/>
      </w:pPr>
      <w:r>
        <w:rPr>
          <w:color w:val="334155"/>
          <w:sz w:val="19"/>
        </w:rPr>
        <w:t>Barnsley, Holmesville, Edgeworth, Fassifern and Wakefield), identifying the dominant modes, the share of</w:t>
      </w:r>
    </w:p>
    <w:p>
      <w:pPr>
        <w:spacing w:before="40" w:after="80" w:line="276" w:lineRule="auto"/>
      </w:pPr>
      <w:r>
        <w:rPr>
          <w:color w:val="334155"/>
          <w:sz w:val="19"/>
        </w:rPr>
        <w:t>public and active transport and the principal origin and destination markets. These patterns inform both the</w:t>
      </w:r>
    </w:p>
    <w:p>
      <w:pPr>
        <w:spacing w:before="40" w:after="80" w:line="276" w:lineRule="auto"/>
      </w:pPr>
      <w:r>
        <w:rPr>
          <w:color w:val="334155"/>
          <w:sz w:val="19"/>
        </w:rPr>
        <w:t>mode share assumptions and the geographic distribution of light vehicle trips.</w:t>
      </w:r>
    </w:p>
    <w:p>
      <w:pPr>
        <w:spacing w:before="40" w:after="80" w:line="276" w:lineRule="auto"/>
      </w:pPr>
      <w:r>
        <w:rPr>
          <w:color w:val="334155"/>
          <w:sz w:val="19"/>
        </w:rPr>
        <w:t>1.3.3</w:t>
      </w:r>
    </w:p>
    <w:p>
      <w:pPr>
        <w:spacing w:before="40" w:after="80" w:line="276" w:lineRule="auto"/>
      </w:pPr>
      <w:r>
        <w:rPr>
          <w:color w:val="334155"/>
          <w:sz w:val="19"/>
        </w:rPr>
        <w:t>Background traffic growth</w:t>
      </w:r>
    </w:p>
    <w:p>
      <w:pPr>
        <w:spacing w:before="40" w:after="80" w:line="276" w:lineRule="auto"/>
      </w:pPr>
      <w:r>
        <w:rPr>
          <w:color w:val="334155"/>
          <w:sz w:val="19"/>
        </w:rPr>
        <w:t>Background traffic data was drawn from several sources, each covering a different part of the network and</w:t>
      </w:r>
    </w:p>
    <w:p>
      <w:pPr>
        <w:spacing w:before="40" w:after="80" w:line="276" w:lineRule="auto"/>
      </w:pPr>
      <w:r>
        <w:rPr>
          <w:color w:val="334155"/>
          <w:sz w:val="19"/>
        </w:rPr>
        <w:t>period. The sources are as follows:</w:t>
      </w:r>
    </w:p>
    <w:p>
      <w:pPr>
        <w:spacing w:before="40" w:after="80" w:line="276" w:lineRule="auto"/>
      </w:pPr>
      <w:r>
        <w:rPr>
          <w:color w:val="334155"/>
          <w:sz w:val="19"/>
        </w:rPr>
        <w:t>◼ Draft West Wallsend Rezoning TIA (GHD, 2025), providing 2024 survey volumes at a number of key</w:t>
      </w:r>
    </w:p>
    <w:p>
      <w:pPr>
        <w:spacing w:before="40" w:after="80" w:line="276" w:lineRule="auto"/>
      </w:pPr>
      <w:r>
        <w:rPr>
          <w:color w:val="334155"/>
          <w:sz w:val="19"/>
        </w:rPr>
        <w:t>intersections and the STFM (TZP22STMV3.93) growth rates.</w:t>
      </w:r>
    </w:p>
    <w:p>
      <w:pPr>
        <w:spacing w:before="40" w:after="80" w:line="276" w:lineRule="auto"/>
      </w:pPr>
      <w:r>
        <w:rPr>
          <w:color w:val="334155"/>
          <w:sz w:val="19"/>
        </w:rPr>
        <w:t>◼ TfNSW permanent classifier stations on the corridors surrounding the study area. Annual Average Daily</w:t>
      </w:r>
    </w:p>
    <w:p>
      <w:pPr>
        <w:spacing w:before="40" w:after="80" w:line="276" w:lineRule="auto"/>
      </w:pPr>
      <w:r>
        <w:rPr>
          <w:color w:val="334155"/>
          <w:sz w:val="19"/>
        </w:rPr>
        <w:t>Traffic (AADT) is compiled for each station over the available data periods providing a long‑term dataset</w:t>
      </w:r>
    </w:p>
    <w:p>
      <w:pPr>
        <w:spacing w:before="40" w:after="80" w:line="276" w:lineRule="auto"/>
      </w:pPr>
      <w:r>
        <w:rPr>
          <w:color w:val="334155"/>
          <w:sz w:val="19"/>
        </w:rPr>
        <w:t>suitable for understanding historic traffic patterns. with the 2020 and 2021 COVID-19 affected years</w:t>
      </w:r>
    </w:p>
    <w:p>
      <w:pPr>
        <w:spacing w:before="40" w:after="80" w:line="276" w:lineRule="auto"/>
      </w:pPr>
      <w:r>
        <w:rPr>
          <w:color w:val="334155"/>
          <w:sz w:val="19"/>
        </w:rPr>
        <w:t>`</w:t>
      </w:r>
    </w:p>
    <w:p>
      <w:pPr>
        <w:pStyle w:val="Heading3"/>
        <w:keepNext/>
        <w:spacing w:before="160" w:after="40"/>
      </w:pPr>
      <w:r>
        <w:rPr>
          <w:b/>
          <w:color w:val="334155"/>
        </w:rPr>
        <w:t>Traffic Report Page 14</w:t>
      </w:r>
    </w:p>
    <w:p>
      <w:pPr>
        <w:spacing w:before="40" w:after="80" w:line="276" w:lineRule="auto"/>
      </w:pPr>
      <w:r>
        <w:rPr>
          <w:color w:val="334155"/>
          <w:sz w:val="19"/>
        </w:rPr>
        <w:t>`</w:t>
      </w:r>
    </w:p>
    <w:p>
      <w:pPr>
        <w:spacing w:before="40" w:after="80" w:line="276" w:lineRule="auto"/>
      </w:pPr>
      <w:r>
        <w:rPr>
          <w:color w:val="334155"/>
          <w:sz w:val="19"/>
        </w:rPr>
        <w:t>Project number 531168-000  File Final_Traffic &amp; Transport_Engineering Report Structure.docx  2026-07-13  Revision C</w:t>
      </w:r>
    </w:p>
    <w:p>
      <w:pPr>
        <w:spacing w:before="40" w:after="80" w:line="276" w:lineRule="auto"/>
      </w:pPr>
      <w:r>
        <w:rPr>
          <w:color w:val="334155"/>
          <w:sz w:val="19"/>
        </w:rPr>
        <w:t>7</w:t>
      </w:r>
    </w:p>
    <w:p>
      <w:pPr>
        <w:spacing w:before="40" w:after="80" w:line="276" w:lineRule="auto"/>
      </w:pPr>
      <w:r>
        <w:rPr>
          <w:color w:val="334155"/>
          <w:sz w:val="19"/>
        </w:rPr>
        <w:t>LOS</w:t>
      </w:r>
    </w:p>
    <w:p>
      <w:pPr>
        <w:spacing w:before="40" w:after="80" w:line="276" w:lineRule="auto"/>
      </w:pPr>
      <w:r>
        <w:rPr>
          <w:color w:val="334155"/>
          <w:sz w:val="19"/>
        </w:rPr>
        <w:t>Arterial</w:t>
      </w:r>
    </w:p>
    <w:p>
      <w:pPr>
        <w:spacing w:before="40" w:after="80" w:line="276" w:lineRule="auto"/>
      </w:pPr>
      <w:r>
        <w:rPr>
          <w:color w:val="334155"/>
          <w:sz w:val="19"/>
        </w:rPr>
        <w:t>Sub-arterial</w:t>
      </w:r>
    </w:p>
    <w:p>
      <w:pPr>
        <w:spacing w:before="40" w:after="80" w:line="276" w:lineRule="auto"/>
      </w:pPr>
      <w:r>
        <w:rPr>
          <w:color w:val="334155"/>
          <w:sz w:val="19"/>
        </w:rPr>
        <w:t>Collector</w:t>
      </w:r>
    </w:p>
    <w:p>
      <w:pPr>
        <w:spacing w:before="40" w:after="80" w:line="276" w:lineRule="auto"/>
      </w:pPr>
      <w:r>
        <w:rPr>
          <w:color w:val="334155"/>
          <w:sz w:val="19"/>
        </w:rPr>
        <w:t>Local</w:t>
      </w:r>
    </w:p>
    <w:p>
      <w:pPr>
        <w:spacing w:before="40" w:after="80" w:line="276" w:lineRule="auto"/>
      </w:pPr>
      <w:r>
        <w:rPr>
          <w:color w:val="334155"/>
          <w:sz w:val="19"/>
        </w:rPr>
        <w:t>VCR</w:t>
      </w:r>
    </w:p>
    <w:p>
      <w:pPr>
        <w:spacing w:before="40" w:after="80" w:line="276" w:lineRule="auto"/>
      </w:pPr>
      <w:r>
        <w:rPr>
          <w:color w:val="334155"/>
          <w:sz w:val="19"/>
        </w:rPr>
        <w:t>Capacity</w:t>
      </w:r>
    </w:p>
    <w:p>
      <w:pPr>
        <w:spacing w:before="40" w:after="80" w:line="276" w:lineRule="auto"/>
      </w:pPr>
      <w:r>
        <w:rPr>
          <w:color w:val="334155"/>
          <w:sz w:val="19"/>
        </w:rPr>
        <w:t>VCR</w:t>
      </w:r>
    </w:p>
    <w:p>
      <w:pPr>
        <w:spacing w:before="40" w:after="80" w:line="276" w:lineRule="auto"/>
      </w:pPr>
      <w:r>
        <w:rPr>
          <w:color w:val="334155"/>
          <w:sz w:val="19"/>
        </w:rPr>
        <w:t>Capacity</w:t>
      </w:r>
    </w:p>
    <w:p>
      <w:pPr>
        <w:spacing w:before="40" w:after="80" w:line="276" w:lineRule="auto"/>
      </w:pPr>
      <w:r>
        <w:rPr>
          <w:color w:val="334155"/>
          <w:sz w:val="19"/>
        </w:rPr>
        <w:t>VCR</w:t>
      </w:r>
    </w:p>
    <w:p>
      <w:pPr>
        <w:spacing w:before="40" w:after="80" w:line="276" w:lineRule="auto"/>
      </w:pPr>
      <w:r>
        <w:rPr>
          <w:color w:val="334155"/>
          <w:sz w:val="19"/>
        </w:rPr>
        <w:t>Capacity</w:t>
      </w:r>
    </w:p>
    <w:p>
      <w:pPr>
        <w:spacing w:before="40" w:after="80" w:line="276" w:lineRule="auto"/>
      </w:pPr>
      <w:r>
        <w:rPr>
          <w:color w:val="334155"/>
          <w:sz w:val="19"/>
        </w:rPr>
        <w:t>VCR</w:t>
      </w:r>
    </w:p>
    <w:p>
      <w:pPr>
        <w:spacing w:before="40" w:after="80" w:line="276" w:lineRule="auto"/>
      </w:pPr>
      <w:r>
        <w:rPr>
          <w:color w:val="334155"/>
          <w:sz w:val="19"/>
        </w:rPr>
        <w:t>Capacity</w:t>
      </w:r>
    </w:p>
    <w:p>
      <w:pPr>
        <w:spacing w:before="40" w:after="80" w:line="276" w:lineRule="auto"/>
      </w:pPr>
      <w:r>
        <w:rPr>
          <w:color w:val="334155"/>
          <w:sz w:val="19"/>
        </w:rPr>
        <w:t>E</w:t>
      </w:r>
    </w:p>
    <w:p>
      <w:pPr>
        <w:spacing w:before="40" w:after="80" w:line="276" w:lineRule="auto"/>
      </w:pPr>
      <w:r>
        <w:rPr>
          <w:color w:val="334155"/>
          <w:sz w:val="19"/>
        </w:rPr>
        <w:t>1.00</w:t>
      </w:r>
    </w:p>
    <w:p>
      <w:pPr>
        <w:spacing w:before="40" w:after="80" w:line="276" w:lineRule="auto"/>
      </w:pPr>
      <w:r>
        <w:rPr>
          <w:color w:val="334155"/>
          <w:sz w:val="19"/>
        </w:rPr>
        <w:t>1,400</w:t>
      </w:r>
    </w:p>
    <w:p>
      <w:pPr>
        <w:spacing w:before="40" w:after="80" w:line="276" w:lineRule="auto"/>
      </w:pPr>
      <w:r>
        <w:rPr>
          <w:color w:val="334155"/>
          <w:sz w:val="19"/>
        </w:rPr>
        <w:t>1.00</w:t>
      </w:r>
    </w:p>
    <w:p>
      <w:pPr>
        <w:spacing w:before="40" w:after="80" w:line="276" w:lineRule="auto"/>
      </w:pPr>
      <w:r>
        <w:rPr>
          <w:color w:val="334155"/>
          <w:sz w:val="19"/>
        </w:rPr>
        <w:t>1,200</w:t>
      </w:r>
    </w:p>
    <w:p>
      <w:pPr>
        <w:spacing w:before="40" w:after="80" w:line="276" w:lineRule="auto"/>
      </w:pPr>
      <w:r>
        <w:rPr>
          <w:color w:val="334155"/>
          <w:sz w:val="19"/>
        </w:rPr>
        <w:t>1.00</w:t>
      </w:r>
    </w:p>
    <w:p>
      <w:pPr>
        <w:spacing w:before="40" w:after="80" w:line="276" w:lineRule="auto"/>
      </w:pPr>
      <w:r>
        <w:rPr>
          <w:color w:val="334155"/>
          <w:sz w:val="19"/>
        </w:rPr>
        <w:t>1,000</w:t>
      </w:r>
    </w:p>
    <w:p>
      <w:pPr>
        <w:spacing w:before="40" w:after="80" w:line="276" w:lineRule="auto"/>
      </w:pPr>
      <w:r>
        <w:rPr>
          <w:color w:val="334155"/>
          <w:sz w:val="19"/>
        </w:rPr>
        <w:t>1.00</w:t>
      </w:r>
    </w:p>
    <w:p>
      <w:pPr>
        <w:spacing w:before="40" w:after="80" w:line="276" w:lineRule="auto"/>
      </w:pPr>
      <w:r>
        <w:rPr>
          <w:color w:val="334155"/>
          <w:sz w:val="19"/>
        </w:rPr>
        <w:t>900</w:t>
      </w:r>
    </w:p>
    <w:p>
      <w:pPr>
        <w:spacing w:before="40" w:after="80" w:line="276" w:lineRule="auto"/>
      </w:pPr>
      <w:r>
        <w:rPr>
          <w:color w:val="334155"/>
          <w:sz w:val="19"/>
        </w:rPr>
        <w:t>F</w:t>
      </w:r>
    </w:p>
    <w:p>
      <w:pPr>
        <w:spacing w:before="40" w:after="80" w:line="276" w:lineRule="auto"/>
      </w:pPr>
      <w:r>
        <w:rPr>
          <w:color w:val="334155"/>
          <w:sz w:val="19"/>
        </w:rPr>
        <w:t>&gt;1</w:t>
      </w:r>
    </w:p>
    <w:p>
      <w:pPr>
        <w:spacing w:before="40" w:after="80" w:line="276" w:lineRule="auto"/>
      </w:pPr>
      <w:r>
        <w:rPr>
          <w:color w:val="334155"/>
          <w:sz w:val="19"/>
        </w:rPr>
        <w:t>&gt;1</w:t>
      </w:r>
    </w:p>
    <w:p>
      <w:pPr>
        <w:spacing w:before="40" w:after="80" w:line="276" w:lineRule="auto"/>
      </w:pPr>
      <w:r>
        <w:rPr>
          <w:color w:val="334155"/>
          <w:sz w:val="19"/>
        </w:rPr>
        <w:t>&gt;1</w:t>
      </w:r>
    </w:p>
    <w:p>
      <w:pPr>
        <w:spacing w:before="40" w:after="80" w:line="276" w:lineRule="auto"/>
      </w:pPr>
      <w:r>
        <w:rPr>
          <w:color w:val="334155"/>
          <w:sz w:val="19"/>
        </w:rPr>
        <w:t>&gt;1</w:t>
      </w:r>
    </w:p>
    <w:p>
      <w:pPr>
        <w:spacing w:before="40" w:after="80" w:line="276" w:lineRule="auto"/>
      </w:pPr>
      <w:r>
        <w:rPr>
          <w:color w:val="334155"/>
          <w:sz w:val="19"/>
        </w:rPr>
        <w:t>Passenger car equivalent</w:t>
      </w:r>
    </w:p>
    <w:p>
      <w:pPr>
        <w:spacing w:before="40" w:after="80" w:line="276" w:lineRule="auto"/>
      </w:pPr>
      <w:r>
        <w:rPr>
          <w:color w:val="334155"/>
          <w:sz w:val="19"/>
        </w:rPr>
        <w:t>For the purpose of the midblock assessment, all vehicles travelling in each direction were also converted to</w:t>
      </w:r>
    </w:p>
    <w:p>
      <w:pPr>
        <w:spacing w:before="40" w:after="80" w:line="276" w:lineRule="auto"/>
      </w:pPr>
      <w:r>
        <w:rPr>
          <w:color w:val="334155"/>
          <w:sz w:val="19"/>
        </w:rPr>
        <w:t>the Passenger Car Unit (PCU). As per TfNSW’s recommended use of the Passenger Car Equivalent (PCE)</w:t>
      </w:r>
    </w:p>
    <w:p>
      <w:pPr>
        <w:spacing w:before="40" w:after="80" w:line="276" w:lineRule="auto"/>
      </w:pPr>
      <w:r>
        <w:rPr>
          <w:color w:val="334155"/>
          <w:sz w:val="19"/>
        </w:rPr>
        <w:t>table from Transport for NSW Economic Parameter Values (2025), passenger and light vehicles are</w:t>
      </w:r>
    </w:p>
    <w:p>
      <w:pPr>
        <w:spacing w:before="40" w:after="80" w:line="276" w:lineRule="auto"/>
      </w:pPr>
      <w:r>
        <w:rPr>
          <w:color w:val="334155"/>
          <w:sz w:val="19"/>
        </w:rPr>
        <w:t>considered as 1.0 PCU. Heavy vehicles are converted to passenger car units using a PCE of 8 for  general</w:t>
      </w:r>
    </w:p>
    <w:p>
      <w:pPr>
        <w:spacing w:before="40" w:after="80" w:line="276" w:lineRule="auto"/>
      </w:pPr>
      <w:r>
        <w:rPr>
          <w:color w:val="334155"/>
          <w:sz w:val="19"/>
        </w:rPr>
        <w:t>B-double volumes, and 3.0 for general access heavy vehicles. The PCE factors per vehicle type are</w:t>
      </w:r>
    </w:p>
    <w:p>
      <w:pPr>
        <w:spacing w:before="40" w:after="80" w:line="276" w:lineRule="auto"/>
      </w:pPr>
      <w:r>
        <w:rPr>
          <w:color w:val="334155"/>
          <w:sz w:val="19"/>
        </w:rPr>
        <w:t>provided in Table 1-7.</w:t>
      </w:r>
    </w:p>
    <w:p>
      <w:pPr>
        <w:spacing w:before="40" w:after="80" w:line="276" w:lineRule="auto"/>
      </w:pPr>
      <w:r>
        <w:rPr>
          <w:color w:val="334155"/>
          <w:sz w:val="19"/>
        </w:rPr>
        <w:t>Table 1-7: PCE factors per vehicle type (TfNSW Economic Parameter Values, 2025)</w:t>
      </w:r>
    </w:p>
    <w:p>
      <w:pPr>
        <w:spacing w:before="40" w:after="80" w:line="276" w:lineRule="auto"/>
      </w:pPr>
      <w:r>
        <w:rPr>
          <w:color w:val="334155"/>
          <w:sz w:val="19"/>
        </w:rPr>
        <w:t>Vehicle type</w:t>
      </w:r>
    </w:p>
    <w:p>
      <w:pPr>
        <w:spacing w:before="40" w:after="80" w:line="276" w:lineRule="auto"/>
      </w:pPr>
      <w:r>
        <w:rPr>
          <w:color w:val="334155"/>
          <w:sz w:val="19"/>
        </w:rPr>
        <w:t>PCE factors</w:t>
      </w:r>
    </w:p>
    <w:p>
      <w:pPr>
        <w:spacing w:before="40" w:after="80" w:line="276" w:lineRule="auto"/>
      </w:pPr>
      <w:r>
        <w:rPr>
          <w:color w:val="334155"/>
          <w:sz w:val="19"/>
        </w:rPr>
        <w:t>Passenger vehicles &amp; LCVs</w:t>
      </w:r>
    </w:p>
    <w:p>
      <w:pPr>
        <w:spacing w:before="40" w:after="80" w:line="276" w:lineRule="auto"/>
      </w:pPr>
      <w:r>
        <w:rPr>
          <w:color w:val="334155"/>
          <w:sz w:val="19"/>
        </w:rPr>
        <w:t>1.00</w:t>
      </w:r>
    </w:p>
    <w:p>
      <w:pPr>
        <w:spacing w:before="40" w:after="80" w:line="276" w:lineRule="auto"/>
      </w:pPr>
      <w:r>
        <w:rPr>
          <w:color w:val="334155"/>
          <w:sz w:val="19"/>
        </w:rPr>
        <w:t>Rigid trucks</w:t>
      </w:r>
    </w:p>
    <w:p>
      <w:pPr>
        <w:spacing w:before="40" w:after="80" w:line="276" w:lineRule="auto"/>
      </w:pPr>
      <w:r>
        <w:rPr>
          <w:color w:val="334155"/>
          <w:sz w:val="19"/>
        </w:rPr>
        <w:t>3.00</w:t>
      </w:r>
    </w:p>
    <w:p>
      <w:pPr>
        <w:spacing w:before="40" w:after="80" w:line="276" w:lineRule="auto"/>
      </w:pPr>
      <w:r>
        <w:rPr>
          <w:color w:val="334155"/>
          <w:sz w:val="19"/>
        </w:rPr>
        <w:t>Trailers</w:t>
      </w:r>
    </w:p>
    <w:p>
      <w:pPr>
        <w:spacing w:before="40" w:after="80" w:line="276" w:lineRule="auto"/>
      </w:pPr>
      <w:r>
        <w:rPr>
          <w:color w:val="334155"/>
          <w:sz w:val="19"/>
        </w:rPr>
        <w:t>6.00</w:t>
      </w:r>
    </w:p>
    <w:p>
      <w:pPr>
        <w:spacing w:before="40" w:after="80" w:line="276" w:lineRule="auto"/>
      </w:pPr>
      <w:r>
        <w:rPr>
          <w:color w:val="334155"/>
          <w:sz w:val="19"/>
        </w:rPr>
        <w:t>Articulated trucks</w:t>
      </w:r>
    </w:p>
    <w:p>
      <w:pPr>
        <w:spacing w:before="40" w:after="80" w:line="276" w:lineRule="auto"/>
      </w:pPr>
      <w:r>
        <w:rPr>
          <w:color w:val="334155"/>
          <w:sz w:val="19"/>
        </w:rPr>
        <w:t>5.00</w:t>
      </w:r>
    </w:p>
    <w:p>
      <w:pPr>
        <w:spacing w:before="40" w:after="80" w:line="276" w:lineRule="auto"/>
      </w:pPr>
      <w:r>
        <w:rPr>
          <w:color w:val="334155"/>
          <w:sz w:val="19"/>
        </w:rPr>
        <w:t>B-doubles</w:t>
      </w:r>
    </w:p>
    <w:p>
      <w:pPr>
        <w:spacing w:before="40" w:after="80" w:line="276" w:lineRule="auto"/>
      </w:pPr>
      <w:r>
        <w:rPr>
          <w:color w:val="334155"/>
          <w:sz w:val="19"/>
        </w:rPr>
        <w:t>8.00</w:t>
      </w:r>
    </w:p>
    <w:p>
      <w:pPr>
        <w:spacing w:before="40" w:after="80" w:line="276" w:lineRule="auto"/>
      </w:pPr>
      <w:r>
        <w:rPr>
          <w:color w:val="334155"/>
          <w:sz w:val="19"/>
        </w:rPr>
        <w:t>Double road trains</w:t>
      </w:r>
    </w:p>
    <w:p>
      <w:pPr>
        <w:spacing w:before="40" w:after="80" w:line="276" w:lineRule="auto"/>
      </w:pPr>
      <w:r>
        <w:rPr>
          <w:color w:val="334155"/>
          <w:sz w:val="19"/>
        </w:rPr>
        <w:t>8.00</w:t>
      </w:r>
    </w:p>
    <w:p>
      <w:pPr>
        <w:spacing w:before="40" w:after="80" w:line="276" w:lineRule="auto"/>
      </w:pPr>
      <w:r>
        <w:rPr>
          <w:color w:val="334155"/>
          <w:sz w:val="19"/>
        </w:rPr>
        <w:t>Triple road train</w:t>
      </w:r>
    </w:p>
    <w:p>
      <w:pPr>
        <w:spacing w:before="40" w:after="80" w:line="276" w:lineRule="auto"/>
      </w:pPr>
      <w:r>
        <w:rPr>
          <w:color w:val="334155"/>
          <w:sz w:val="19"/>
        </w:rPr>
        <w:t>10.00</w:t>
      </w:r>
    </w:p>
    <w:p>
      <w:pPr>
        <w:spacing w:before="40" w:after="80" w:line="276" w:lineRule="auto"/>
      </w:pPr>
      <w:r>
        <w:rPr>
          <w:color w:val="334155"/>
          <w:sz w:val="19"/>
        </w:rPr>
        <w:t>2 axle buses</w:t>
      </w:r>
    </w:p>
    <w:p>
      <w:pPr>
        <w:spacing w:before="40" w:after="80" w:line="276" w:lineRule="auto"/>
      </w:pPr>
      <w:r>
        <w:rPr>
          <w:color w:val="334155"/>
          <w:sz w:val="19"/>
        </w:rPr>
        <w:t>2.00</w:t>
      </w:r>
    </w:p>
    <w:p>
      <w:pPr>
        <w:spacing w:before="40" w:after="80" w:line="276" w:lineRule="auto"/>
      </w:pPr>
      <w:r>
        <w:rPr>
          <w:color w:val="334155"/>
          <w:sz w:val="19"/>
        </w:rPr>
        <w:t>3 axle buses</w:t>
      </w:r>
    </w:p>
    <w:p>
      <w:pPr>
        <w:spacing w:before="40" w:after="80" w:line="276" w:lineRule="auto"/>
      </w:pPr>
      <w:r>
        <w:rPr>
          <w:color w:val="334155"/>
          <w:sz w:val="19"/>
        </w:rPr>
        <w:t>3.00</w:t>
      </w:r>
    </w:p>
    <w:p>
      <w:pPr>
        <w:spacing w:before="40" w:after="80" w:line="276" w:lineRule="auto"/>
      </w:pPr>
      <w:r>
        <w:rPr>
          <w:color w:val="334155"/>
          <w:sz w:val="19"/>
        </w:rPr>
        <w:t>Intersection performance</w:t>
      </w:r>
    </w:p>
    <w:p>
      <w:pPr>
        <w:spacing w:before="40" w:after="80" w:line="276" w:lineRule="auto"/>
      </w:pPr>
      <w:r>
        <w:rPr>
          <w:color w:val="334155"/>
          <w:sz w:val="19"/>
        </w:rPr>
        <w:t>Intersection modelling was not undertaken for this assessment as base traffic volumes and performance was</w:t>
      </w:r>
    </w:p>
    <w:p>
      <w:pPr>
        <w:spacing w:before="40" w:after="80" w:line="276" w:lineRule="auto"/>
      </w:pPr>
      <w:r>
        <w:rPr>
          <w:color w:val="334155"/>
          <w:sz w:val="19"/>
        </w:rPr>
        <w:t>not available, therefore only qualitative assessment was undertaken. For the qualitative assessment,</w:t>
      </w:r>
    </w:p>
    <w:p>
      <w:pPr>
        <w:spacing w:before="40" w:after="80" w:line="276" w:lineRule="auto"/>
      </w:pPr>
      <w:r>
        <w:rPr>
          <w:color w:val="334155"/>
          <w:sz w:val="19"/>
        </w:rPr>
        <w:t>approaching midblock LoS were adopted as a guide to suggest intersection performance, as follows:</w:t>
      </w:r>
    </w:p>
    <w:p>
      <w:pPr>
        <w:spacing w:before="40" w:after="80" w:line="276" w:lineRule="auto"/>
      </w:pPr>
      <w:r>
        <w:rPr>
          <w:color w:val="334155"/>
          <w:sz w:val="19"/>
        </w:rPr>
        <w:t>◼ Intersections between midblock segments with reserve capacity (LoS C or better) would generally</w:t>
      </w:r>
    </w:p>
    <w:p>
      <w:pPr>
        <w:spacing w:before="40" w:after="80" w:line="276" w:lineRule="auto"/>
      </w:pPr>
      <w:r>
        <w:rPr>
          <w:color w:val="334155"/>
          <w:sz w:val="19"/>
        </w:rPr>
        <w:t>operate with reasonable levels of services</w:t>
      </w:r>
    </w:p>
    <w:p>
      <w:pPr>
        <w:spacing w:before="40" w:after="80" w:line="276" w:lineRule="auto"/>
      </w:pPr>
      <w:r>
        <w:rPr>
          <w:color w:val="334155"/>
          <w:sz w:val="19"/>
        </w:rPr>
        <w:t>◼ Intersections with any adjoining approach midblock capacity of LoS D or above may be subject to poorer</w:t>
      </w:r>
    </w:p>
    <w:p>
      <w:pPr>
        <w:spacing w:before="40" w:after="80" w:line="276" w:lineRule="auto"/>
      </w:pPr>
      <w:r>
        <w:rPr>
          <w:color w:val="334155"/>
          <w:sz w:val="19"/>
        </w:rPr>
        <w:t>LoS D and therefore may require upgrades</w:t>
      </w:r>
    </w:p>
    <w:p>
      <w:pPr>
        <w:spacing w:before="40" w:after="80" w:line="276" w:lineRule="auto"/>
      </w:pPr>
      <w:r>
        <w:rPr>
          <w:color w:val="334155"/>
          <w:sz w:val="19"/>
        </w:rPr>
        <w:t>`</w:t>
      </w:r>
    </w:p>
    <w:p>
      <w:pPr>
        <w:pStyle w:val="Heading3"/>
        <w:keepNext/>
        <w:spacing w:before="160" w:after="40"/>
      </w:pPr>
      <w:r>
        <w:rPr>
          <w:b/>
          <w:color w:val="334155"/>
        </w:rPr>
        <w:t>Traffic Report Page 16</w:t>
      </w:r>
    </w:p>
    <w:p>
      <w:pPr>
        <w:spacing w:before="40" w:after="80" w:line="276" w:lineRule="auto"/>
      </w:pPr>
      <w:r>
        <w:rPr>
          <w:color w:val="334155"/>
          <w:sz w:val="19"/>
        </w:rPr>
        <w:t>`</w:t>
      </w:r>
    </w:p>
    <w:p>
      <w:pPr>
        <w:spacing w:before="40" w:after="80" w:line="276" w:lineRule="auto"/>
      </w:pPr>
      <w:r>
        <w:rPr>
          <w:color w:val="334155"/>
          <w:sz w:val="19"/>
        </w:rPr>
        <w:t>Project number 531168-000  File Final_Traffic &amp; Transport_Engineering Report Structure.docx  2026-07-13  Revision C</w:t>
      </w:r>
    </w:p>
    <w:p>
      <w:pPr>
        <w:spacing w:before="40" w:after="80" w:line="276" w:lineRule="auto"/>
      </w:pPr>
      <w:r>
        <w:rPr>
          <w:color w:val="334155"/>
          <w:sz w:val="19"/>
        </w:rPr>
        <w:t>9</w:t>
      </w:r>
    </w:p>
    <w:p>
      <w:pPr>
        <w:spacing w:before="40" w:after="80" w:line="276" w:lineRule="auto"/>
      </w:pPr>
      <w:r>
        <w:rPr>
          <w:color w:val="334155"/>
          <w:sz w:val="19"/>
        </w:rPr>
        <w:t>1.4</w:t>
      </w:r>
    </w:p>
    <w:p>
      <w:pPr>
        <w:spacing w:before="40" w:after="80" w:line="276" w:lineRule="auto"/>
      </w:pPr>
      <w:r>
        <w:rPr>
          <w:color w:val="334155"/>
          <w:sz w:val="19"/>
        </w:rPr>
        <w:t>Reliance on data and information</w:t>
      </w:r>
    </w:p>
    <w:p>
      <w:pPr>
        <w:spacing w:before="40" w:after="80" w:line="276" w:lineRule="auto"/>
      </w:pPr>
      <w:r>
        <w:rPr>
          <w:color w:val="334155"/>
          <w:sz w:val="19"/>
        </w:rPr>
        <w:t>Advice and recommendations in this report rely on the accuracy of the existing input documentation and</w:t>
      </w:r>
    </w:p>
    <w:p>
      <w:pPr>
        <w:spacing w:before="40" w:after="80" w:line="276" w:lineRule="auto"/>
      </w:pPr>
      <w:r>
        <w:rPr>
          <w:color w:val="334155"/>
          <w:sz w:val="19"/>
        </w:rPr>
        <w:t>advice provided to date, including:</w:t>
      </w:r>
    </w:p>
    <w:p>
      <w:pPr>
        <w:spacing w:before="40" w:after="80" w:line="276" w:lineRule="auto"/>
      </w:pPr>
      <w:r>
        <w:rPr>
          <w:color w:val="334155"/>
          <w:sz w:val="19"/>
        </w:rPr>
        <w:t>◼ Post Mining Land Use – Deliverability of Pilot Projects – Due Diligence Report – Macquarie Coal Complex</w:t>
      </w:r>
    </w:p>
    <w:p>
      <w:pPr>
        <w:spacing w:before="40" w:after="80" w:line="276" w:lineRule="auto"/>
      </w:pPr>
      <w:r>
        <w:rPr>
          <w:color w:val="334155"/>
          <w:sz w:val="19"/>
        </w:rPr>
        <w:t>(Aurecon, February 2026)</w:t>
      </w:r>
    </w:p>
    <w:p>
      <w:pPr>
        <w:spacing w:before="40" w:after="80" w:line="276" w:lineRule="auto"/>
      </w:pPr>
      <w:r>
        <w:rPr>
          <w:color w:val="334155"/>
          <w:sz w:val="19"/>
        </w:rPr>
        <w:t>◼ Preliminary statutory planning due diligence (Patch Planning)</w:t>
      </w:r>
    </w:p>
    <w:p>
      <w:pPr>
        <w:spacing w:before="40" w:after="80" w:line="276" w:lineRule="auto"/>
      </w:pPr>
      <w:r>
        <w:rPr>
          <w:color w:val="334155"/>
          <w:sz w:val="19"/>
        </w:rPr>
        <w:t>◼ Draft West Wallsend Rezoning Traffic and Transport Assessment (GHD, August 2025)</w:t>
      </w:r>
    </w:p>
    <w:p>
      <w:pPr>
        <w:spacing w:before="40" w:after="80" w:line="276" w:lineRule="auto"/>
      </w:pPr>
      <w:r>
        <w:rPr>
          <w:color w:val="334155"/>
          <w:sz w:val="19"/>
        </w:rPr>
        <w:t>◼ West Wallsend Colliery, Killingworth Continued Operations Project – Traffic Impact Assessment</w:t>
      </w:r>
    </w:p>
    <w:p>
      <w:pPr>
        <w:spacing w:before="40" w:after="80" w:line="276" w:lineRule="auto"/>
      </w:pPr>
      <w:r>
        <w:rPr>
          <w:color w:val="334155"/>
          <w:sz w:val="19"/>
        </w:rPr>
        <w:t>(Stapleton Transportation &amp; Planning Pty Ltd, 2010)</w:t>
      </w:r>
    </w:p>
    <w:p>
      <w:pPr>
        <w:spacing w:before="40" w:after="80" w:line="276" w:lineRule="auto"/>
      </w:pPr>
      <w:r>
        <w:rPr>
          <w:color w:val="334155"/>
          <w:sz w:val="19"/>
        </w:rPr>
        <w:t>◼ Teralba Sustainable Resource Centre Traffic Assessment (AECOM, 2010)</w:t>
      </w:r>
    </w:p>
    <w:p>
      <w:pPr>
        <w:spacing w:before="40" w:after="80" w:line="276" w:lineRule="auto"/>
      </w:pPr>
      <w:r>
        <w:rPr>
          <w:color w:val="334155"/>
          <w:sz w:val="19"/>
        </w:rPr>
        <w:t>◼ Insights from internal workshops with DPHI, specialists and agencies</w:t>
      </w:r>
    </w:p>
    <w:p>
      <w:pPr>
        <w:spacing w:before="40" w:after="80" w:line="276" w:lineRule="auto"/>
      </w:pPr>
      <w:r>
        <w:rPr>
          <w:color w:val="334155"/>
          <w:sz w:val="19"/>
        </w:rPr>
        <w:t>◼ Updated traffic surveys have not been undertaken for this assessment. Survey data has been adopted</w:t>
      </w:r>
    </w:p>
    <w:p>
      <w:pPr>
        <w:spacing w:before="40" w:after="80" w:line="276" w:lineRule="auto"/>
      </w:pPr>
      <w:r>
        <w:rPr>
          <w:color w:val="334155"/>
          <w:sz w:val="19"/>
        </w:rPr>
        <w:t>from the West Wallsend assessment (November 2024 counts) and is to be refreshed before exhibition.</w:t>
      </w:r>
    </w:p>
    <w:p>
      <w:pPr>
        <w:spacing w:before="40" w:after="80" w:line="276" w:lineRule="auto"/>
      </w:pPr>
      <w:r>
        <w:rPr>
          <w:color w:val="334155"/>
          <w:sz w:val="19"/>
        </w:rPr>
        <w:t>`</w:t>
      </w:r>
    </w:p>
    <w:p>
      <w:pPr>
        <w:pStyle w:val="Heading2"/>
        <w:keepNext/>
        <w:spacing w:before="240" w:after="80"/>
      </w:pPr>
      <w:r>
        <w:rPr>
          <w:b/>
          <w:color w:val="0284C7"/>
        </w:rPr>
        <w:t>7. Flooding &amp; Water Management</w:t>
      </w:r>
    </w:p>
    <w:p>
      <w:pPr>
        <w:pStyle w:val="Heading3"/>
        <w:keepNext/>
        <w:spacing w:before="160" w:after="40"/>
      </w:pPr>
      <w:r>
        <w:rPr>
          <w:b/>
          <w:color w:val="334155"/>
        </w:rPr>
        <w:t>Flooding Report Page 3</w:t>
      </w:r>
    </w:p>
    <w:p>
      <w:pPr>
        <w:spacing w:before="40" w:after="80" w:line="276" w:lineRule="auto"/>
      </w:pPr>
      <w:r>
        <w:rPr>
          <w:color w:val="334155"/>
          <w:sz w:val="19"/>
        </w:rPr>
        <w:t>`</w:t>
      </w:r>
    </w:p>
    <w:p>
      <w:pPr>
        <w:spacing w:before="40" w:after="80" w:line="276" w:lineRule="auto"/>
      </w:pPr>
      <w:r>
        <w:rPr>
          <w:color w:val="334155"/>
          <w:sz w:val="19"/>
        </w:rPr>
        <w:t>Project number 531168-000  File Final Flooding &amp; WCM Engineering Report_CLEAN.docx  2026-07-01  Revision B</w:t>
      </w:r>
    </w:p>
    <w:p>
      <w:pPr>
        <w:spacing w:before="40" w:after="80" w:line="276" w:lineRule="auto"/>
      </w:pPr>
      <w:r>
        <w:rPr>
          <w:color w:val="334155"/>
          <w:sz w:val="19"/>
        </w:rPr>
        <w:t>Executive summary</w:t>
      </w:r>
    </w:p>
    <w:p>
      <w:pPr>
        <w:spacing w:before="40" w:after="80" w:line="276" w:lineRule="auto"/>
      </w:pPr>
      <w:r>
        <w:rPr>
          <w:color w:val="334155"/>
          <w:sz w:val="19"/>
        </w:rPr>
        <w:t>This Flooding and Water Cycle Management Report (This Report) presents a strategic flooding and water</w:t>
      </w:r>
    </w:p>
    <w:p>
      <w:pPr>
        <w:spacing w:before="40" w:after="80" w:line="276" w:lineRule="auto"/>
      </w:pPr>
      <w:r>
        <w:rPr>
          <w:color w:val="334155"/>
          <w:sz w:val="19"/>
        </w:rPr>
        <w:t>cycle management (WCM) assessment for the Macquarie Coal Complex Precinct (the Precinct) and Teralba</w:t>
      </w:r>
    </w:p>
    <w:p>
      <w:pPr>
        <w:spacing w:before="40" w:after="80" w:line="276" w:lineRule="auto"/>
      </w:pPr>
      <w:r>
        <w:rPr>
          <w:color w:val="334155"/>
          <w:sz w:val="19"/>
        </w:rPr>
        <w:t>Southgate to support a state-led rezoning and Master Plan. The assessment confirms that the Precinct can</w:t>
      </w:r>
    </w:p>
    <w:p>
      <w:pPr>
        <w:spacing w:before="40" w:after="80" w:line="276" w:lineRule="auto"/>
      </w:pPr>
      <w:r>
        <w:rPr>
          <w:color w:val="334155"/>
          <w:sz w:val="19"/>
        </w:rPr>
        <w:t>be developed with a coordinated flooding and water cycle management strategy that supports future land</w:t>
      </w:r>
    </w:p>
    <w:p>
      <w:pPr>
        <w:spacing w:before="40" w:after="80" w:line="276" w:lineRule="auto"/>
      </w:pPr>
      <w:r>
        <w:rPr>
          <w:color w:val="334155"/>
          <w:sz w:val="19"/>
        </w:rPr>
        <w:t>use while protecting people, property, infrastructure and the surrounding environment.</w:t>
      </w:r>
    </w:p>
    <w:p>
      <w:pPr>
        <w:spacing w:before="40" w:after="80" w:line="276" w:lineRule="auto"/>
      </w:pPr>
      <w:r>
        <w:rPr>
          <w:color w:val="334155"/>
          <w:sz w:val="19"/>
        </w:rPr>
        <w:t>The assessment has been undertaken at a master planning scale using available flood studies, water cycle</w:t>
      </w:r>
    </w:p>
    <w:p>
      <w:pPr>
        <w:spacing w:before="40" w:after="80" w:line="276" w:lineRule="auto"/>
      </w:pPr>
      <w:r>
        <w:rPr>
          <w:color w:val="334155"/>
          <w:sz w:val="19"/>
        </w:rPr>
        <w:t>data, site investigations and topographic analysis. It focuses on identifying key constraints, opportunities and</w:t>
      </w:r>
    </w:p>
    <w:p>
      <w:pPr>
        <w:spacing w:before="40" w:after="80" w:line="276" w:lineRule="auto"/>
      </w:pPr>
      <w:r>
        <w:rPr>
          <w:color w:val="334155"/>
          <w:sz w:val="19"/>
        </w:rPr>
        <w:t>system behaviours rather than detailed design. On this basis, it demonstrates that flooding, stormwater,</w:t>
      </w:r>
    </w:p>
    <w:p>
      <w:pPr>
        <w:spacing w:before="40" w:after="80" w:line="276" w:lineRule="auto"/>
      </w:pPr>
      <w:r>
        <w:rPr>
          <w:color w:val="334155"/>
          <w:sz w:val="19"/>
        </w:rPr>
        <w:t>water quality and emergency management outcomes are practically achievable across the Precinct through</w:t>
      </w:r>
    </w:p>
    <w:p>
      <w:pPr>
        <w:spacing w:before="40" w:after="80" w:line="276" w:lineRule="auto"/>
      </w:pPr>
      <w:r>
        <w:rPr>
          <w:color w:val="334155"/>
          <w:sz w:val="19"/>
        </w:rPr>
        <w:t>an integrated, precinct-scale approach.</w:t>
      </w:r>
    </w:p>
    <w:p>
      <w:pPr>
        <w:spacing w:before="40" w:after="80" w:line="276" w:lineRule="auto"/>
      </w:pPr>
      <w:r>
        <w:rPr>
          <w:color w:val="334155"/>
          <w:sz w:val="19"/>
        </w:rPr>
        <w:t>Flooding Strategy and Precinct Response</w:t>
      </w:r>
    </w:p>
    <w:p>
      <w:pPr>
        <w:spacing w:before="40" w:after="80" w:line="276" w:lineRule="auto"/>
      </w:pPr>
      <w:r>
        <w:rPr>
          <w:color w:val="334155"/>
          <w:sz w:val="19"/>
        </w:rPr>
        <w:t>Flooding is a defining characteristic of the Precinct, driven predominantly by regional flooding from Cockle</w:t>
      </w:r>
    </w:p>
    <w:p>
      <w:pPr>
        <w:spacing w:before="40" w:after="80" w:line="276" w:lineRule="auto"/>
      </w:pPr>
      <w:r>
        <w:rPr>
          <w:color w:val="334155"/>
          <w:sz w:val="19"/>
        </w:rPr>
        <w:t>Creek, supported by local overland flow processes and downstream tidal influences. These mechanisms</w:t>
      </w:r>
    </w:p>
    <w:p>
      <w:pPr>
        <w:spacing w:before="40" w:after="80" w:line="276" w:lineRule="auto"/>
      </w:pPr>
      <w:r>
        <w:rPr>
          <w:color w:val="334155"/>
          <w:sz w:val="19"/>
        </w:rPr>
        <w:t>establish the spatial framework for development by identifying where land should be protected, where</w:t>
      </w:r>
    </w:p>
    <w:p>
      <w:pPr>
        <w:spacing w:before="40" w:after="80" w:line="276" w:lineRule="auto"/>
      </w:pPr>
      <w:r>
        <w:rPr>
          <w:color w:val="334155"/>
          <w:sz w:val="19"/>
        </w:rPr>
        <w:t>development can occur, and where mitigation is required.</w:t>
      </w:r>
    </w:p>
    <w:p>
      <w:pPr>
        <w:spacing w:before="40" w:after="80" w:line="276" w:lineRule="auto"/>
      </w:pPr>
      <w:r>
        <w:rPr>
          <w:color w:val="334155"/>
          <w:sz w:val="19"/>
        </w:rPr>
        <w:t>The Master Plan adopts a fundamental strategy of avoidance first, followed by selective, managed</w:t>
      </w:r>
    </w:p>
    <w:p>
      <w:pPr>
        <w:spacing w:before="40" w:after="80" w:line="276" w:lineRule="auto"/>
      </w:pPr>
      <w:r>
        <w:rPr>
          <w:color w:val="334155"/>
          <w:sz w:val="19"/>
        </w:rPr>
        <w:t>encroachment in lower impact areas where development can be supported without increasing risk. This</w:t>
      </w:r>
    </w:p>
    <w:p>
      <w:pPr>
        <w:spacing w:before="40" w:after="80" w:line="276" w:lineRule="auto"/>
      </w:pPr>
      <w:r>
        <w:rPr>
          <w:color w:val="334155"/>
          <w:sz w:val="19"/>
        </w:rPr>
        <w:t>approach preserves key floodplain functions while maximising viable development land.</w:t>
      </w:r>
    </w:p>
    <w:p>
      <w:pPr>
        <w:spacing w:before="40" w:after="80" w:line="276" w:lineRule="auto"/>
      </w:pPr>
      <w:r>
        <w:rPr>
          <w:color w:val="334155"/>
          <w:sz w:val="19"/>
        </w:rPr>
        <w:t>The recommended flooding strategy is based on several core principles:</w:t>
      </w:r>
    </w:p>
    <w:p>
      <w:pPr>
        <w:spacing w:before="40" w:after="80" w:line="276" w:lineRule="auto"/>
      </w:pPr>
      <w:r>
        <w:rPr>
          <w:color w:val="334155"/>
          <w:sz w:val="19"/>
        </w:rPr>
        <w:t> Preservation of primary floodways and conveyance corridors</w:t>
      </w:r>
    </w:p>
    <w:p>
      <w:pPr>
        <w:spacing w:before="40" w:after="80" w:line="276" w:lineRule="auto"/>
      </w:pPr>
      <w:r>
        <w:rPr>
          <w:color w:val="334155"/>
          <w:sz w:val="19"/>
        </w:rPr>
        <w:t> Retention of flood storage areas and natural drainage pathways</w:t>
      </w:r>
    </w:p>
    <w:p>
      <w:pPr>
        <w:spacing w:before="40" w:after="80" w:line="276" w:lineRule="auto"/>
      </w:pPr>
      <w:r>
        <w:rPr>
          <w:color w:val="334155"/>
          <w:sz w:val="19"/>
        </w:rPr>
        <w:t> Direction of development toward areas of lower flood risk</w:t>
      </w:r>
    </w:p>
    <w:p>
      <w:pPr>
        <w:spacing w:before="40" w:after="80" w:line="276" w:lineRule="auto"/>
      </w:pPr>
      <w:r>
        <w:rPr>
          <w:color w:val="334155"/>
          <w:sz w:val="19"/>
        </w:rPr>
        <w:t> Integration of flood mitigation measures to support safe development</w:t>
      </w:r>
    </w:p>
    <w:p>
      <w:pPr>
        <w:spacing w:before="40" w:after="80" w:line="276" w:lineRule="auto"/>
      </w:pPr>
      <w:r>
        <w:rPr>
          <w:color w:val="334155"/>
          <w:sz w:val="19"/>
        </w:rPr>
        <w:t>This approach ensures that development responds to the floodplain rather than working against it,</w:t>
      </w:r>
    </w:p>
    <w:p>
      <w:pPr>
        <w:spacing w:before="40" w:after="80" w:line="276" w:lineRule="auto"/>
      </w:pPr>
      <w:r>
        <w:rPr>
          <w:color w:val="334155"/>
          <w:sz w:val="19"/>
        </w:rPr>
        <w:t>maintaining the hydraulic integrity of the system while enabling growth.</w:t>
      </w:r>
    </w:p>
    <w:p>
      <w:pPr>
        <w:spacing w:before="40" w:after="80" w:line="276" w:lineRule="auto"/>
      </w:pPr>
      <w:r>
        <w:rPr>
          <w:color w:val="334155"/>
          <w:sz w:val="19"/>
        </w:rPr>
        <w:t>Protection of Surrounding Environment and Property</w:t>
      </w:r>
    </w:p>
    <w:p>
      <w:pPr>
        <w:spacing w:before="40" w:after="80" w:line="276" w:lineRule="auto"/>
      </w:pPr>
      <w:r>
        <w:rPr>
          <w:color w:val="334155"/>
          <w:sz w:val="19"/>
        </w:rPr>
        <w:t>A key outcome of the assessment is that the proposed strategy protects both the environmental values of the</w:t>
      </w:r>
    </w:p>
    <w:p>
      <w:pPr>
        <w:spacing w:before="40" w:after="80" w:line="276" w:lineRule="auto"/>
      </w:pPr>
      <w:r>
        <w:rPr>
          <w:color w:val="334155"/>
          <w:sz w:val="19"/>
        </w:rPr>
        <w:t>Precinct and the surrounding catchment, while avoiding adverse impacts on adjacent landholdings.</w:t>
      </w:r>
    </w:p>
    <w:p>
      <w:pPr>
        <w:spacing w:before="40" w:after="80" w:line="276" w:lineRule="auto"/>
      </w:pPr>
      <w:r>
        <w:rPr>
          <w:color w:val="334155"/>
          <w:sz w:val="19"/>
        </w:rPr>
        <w:t>The Precinct drains to sensitive receiving environments including Cockle Creek, Burkes Creek, Diega Creek</w:t>
      </w:r>
    </w:p>
    <w:p>
      <w:pPr>
        <w:spacing w:before="40" w:after="80" w:line="276" w:lineRule="auto"/>
      </w:pPr>
      <w:r>
        <w:rPr>
          <w:color w:val="334155"/>
          <w:sz w:val="19"/>
        </w:rPr>
        <w:t>and Lake Macquarie, which contain important ecological features such as riparian corridors, wetlands and</w:t>
      </w:r>
    </w:p>
    <w:p>
      <w:pPr>
        <w:spacing w:before="40" w:after="80" w:line="276" w:lineRule="auto"/>
      </w:pPr>
      <w:r>
        <w:rPr>
          <w:color w:val="334155"/>
          <w:sz w:val="19"/>
        </w:rPr>
        <w:t>key fish habitat.</w:t>
      </w:r>
    </w:p>
    <w:p>
      <w:pPr>
        <w:spacing w:before="40" w:after="80" w:line="276" w:lineRule="auto"/>
      </w:pPr>
      <w:r>
        <w:rPr>
          <w:color w:val="334155"/>
          <w:sz w:val="19"/>
        </w:rPr>
        <w:t>The master plan integrates these systems into the development framework by:</w:t>
      </w:r>
    </w:p>
    <w:p>
      <w:pPr>
        <w:spacing w:before="40" w:after="80" w:line="276" w:lineRule="auto"/>
      </w:pPr>
      <w:r>
        <w:rPr>
          <w:color w:val="334155"/>
          <w:sz w:val="19"/>
        </w:rPr>
        <w:t> Maintaining riparian corridors as functional flood conveyance and ecological buffers</w:t>
      </w:r>
    </w:p>
    <w:p>
      <w:pPr>
        <w:spacing w:before="40" w:after="80" w:line="276" w:lineRule="auto"/>
      </w:pPr>
      <w:r>
        <w:rPr>
          <w:color w:val="334155"/>
          <w:sz w:val="19"/>
        </w:rPr>
        <w:t> Protecting water quality through integrated treatment and management measures</w:t>
      </w:r>
    </w:p>
    <w:p>
      <w:pPr>
        <w:spacing w:before="40" w:after="80" w:line="276" w:lineRule="auto"/>
      </w:pPr>
      <w:r>
        <w:rPr>
          <w:color w:val="334155"/>
          <w:sz w:val="19"/>
        </w:rPr>
        <w:t> Avoiding increases in downstream flood risk or changes to flow behaviour</w:t>
      </w:r>
    </w:p>
    <w:p>
      <w:pPr>
        <w:spacing w:before="40" w:after="80" w:line="276" w:lineRule="auto"/>
      </w:pPr>
      <w:r>
        <w:rPr>
          <w:color w:val="334155"/>
          <w:sz w:val="19"/>
        </w:rPr>
        <w:t> Ensuring no material transfer of flood or drainage impacts to neighbouring land</w:t>
      </w:r>
    </w:p>
    <w:p>
      <w:pPr>
        <w:spacing w:before="40" w:after="80" w:line="276" w:lineRule="auto"/>
      </w:pPr>
      <w:r>
        <w:rPr>
          <w:color w:val="334155"/>
          <w:sz w:val="19"/>
        </w:rPr>
        <w:t>This ensures that future development does not degrade environmental value or increase risk beyond the</w:t>
      </w:r>
    </w:p>
    <w:p>
      <w:pPr>
        <w:spacing w:before="40" w:after="80" w:line="276" w:lineRule="auto"/>
      </w:pPr>
      <w:r>
        <w:rPr>
          <w:color w:val="334155"/>
          <w:sz w:val="19"/>
        </w:rPr>
        <w:t>site, a critical requirement for strategic planning and approval.</w:t>
      </w:r>
    </w:p>
    <w:p>
      <w:pPr>
        <w:spacing w:before="40" w:after="80" w:line="276" w:lineRule="auto"/>
      </w:pPr>
      <w:r>
        <w:rPr>
          <w:color w:val="334155"/>
          <w:sz w:val="19"/>
        </w:rPr>
        <w:t>`</w:t>
      </w:r>
    </w:p>
    <w:p>
      <w:pPr>
        <w:pStyle w:val="Heading3"/>
        <w:keepNext/>
        <w:spacing w:before="160" w:after="40"/>
      </w:pPr>
      <w:r>
        <w:rPr>
          <w:b/>
          <w:color w:val="334155"/>
        </w:rPr>
        <w:t>Flooding Report Page 4</w:t>
      </w:r>
    </w:p>
    <w:p>
      <w:pPr>
        <w:spacing w:before="40" w:after="80" w:line="276" w:lineRule="auto"/>
      </w:pPr>
      <w:r>
        <w:rPr>
          <w:color w:val="334155"/>
          <w:sz w:val="19"/>
        </w:rPr>
        <w:t>`</w:t>
      </w:r>
    </w:p>
    <w:p>
      <w:pPr>
        <w:spacing w:before="40" w:after="80" w:line="276" w:lineRule="auto"/>
      </w:pPr>
      <w:r>
        <w:rPr>
          <w:color w:val="334155"/>
          <w:sz w:val="19"/>
        </w:rPr>
        <w:t>Project number 531168-000  File Final Flooding &amp; WCM Engineering Report_CLEAN.docx  2026-07-01  Revision B</w:t>
      </w:r>
    </w:p>
    <w:p>
      <w:pPr>
        <w:spacing w:before="40" w:after="80" w:line="276" w:lineRule="auto"/>
      </w:pPr>
      <w:r>
        <w:rPr>
          <w:color w:val="334155"/>
          <w:sz w:val="19"/>
        </w:rPr>
        <w:t>Deliverability of Mitigation Within the Precinct</w:t>
      </w:r>
    </w:p>
    <w:p>
      <w:pPr>
        <w:spacing w:before="40" w:after="80" w:line="276" w:lineRule="auto"/>
      </w:pPr>
      <w:r>
        <w:rPr>
          <w:color w:val="334155"/>
          <w:sz w:val="19"/>
        </w:rPr>
        <w:t>A significant finding of the assessment is that the majority of required mitigation measures can be</w:t>
      </w:r>
    </w:p>
    <w:p>
      <w:pPr>
        <w:spacing w:before="40" w:after="80" w:line="276" w:lineRule="auto"/>
      </w:pPr>
      <w:r>
        <w:rPr>
          <w:color w:val="334155"/>
          <w:sz w:val="19"/>
        </w:rPr>
        <w:t>accommodated within the Precinct footprint. This includes:</w:t>
      </w:r>
    </w:p>
    <w:p>
      <w:pPr>
        <w:spacing w:before="40" w:after="80" w:line="276" w:lineRule="auto"/>
      </w:pPr>
      <w:r>
        <w:rPr>
          <w:color w:val="334155"/>
          <w:sz w:val="19"/>
        </w:rPr>
        <w:t> Floodway corridors and overland flow paths</w:t>
      </w:r>
    </w:p>
    <w:p>
      <w:pPr>
        <w:spacing w:before="40" w:after="80" w:line="276" w:lineRule="auto"/>
      </w:pPr>
      <w:r>
        <w:rPr>
          <w:color w:val="334155"/>
          <w:sz w:val="19"/>
        </w:rPr>
        <w:t> Regional and local detention systems</w:t>
      </w:r>
    </w:p>
    <w:p>
      <w:pPr>
        <w:spacing w:before="40" w:after="80" w:line="276" w:lineRule="auto"/>
      </w:pPr>
      <w:r>
        <w:rPr>
          <w:color w:val="334155"/>
          <w:sz w:val="19"/>
        </w:rPr>
        <w:t> Stormwater conveyance networks</w:t>
      </w:r>
    </w:p>
    <w:p>
      <w:pPr>
        <w:spacing w:before="40" w:after="80" w:line="276" w:lineRule="auto"/>
      </w:pPr>
      <w:r>
        <w:rPr>
          <w:color w:val="334155"/>
          <w:sz w:val="19"/>
        </w:rPr>
        <w:t> Water quality treatment infrastructure</w:t>
      </w:r>
    </w:p>
    <w:p>
      <w:pPr>
        <w:spacing w:before="40" w:after="80" w:line="276" w:lineRule="auto"/>
      </w:pPr>
      <w:r>
        <w:rPr>
          <w:color w:val="334155"/>
          <w:sz w:val="19"/>
        </w:rPr>
        <w:t> Landform adjustments to manage flow and storage</w:t>
      </w:r>
    </w:p>
    <w:p>
      <w:pPr>
        <w:spacing w:before="40" w:after="80" w:line="276" w:lineRule="auto"/>
      </w:pPr>
      <w:r>
        <w:rPr>
          <w:color w:val="334155"/>
          <w:sz w:val="19"/>
        </w:rPr>
        <w:t>These measures can be embedded into the structure of future development, allowing flood risk and water</w:t>
      </w:r>
    </w:p>
    <w:p>
      <w:pPr>
        <w:spacing w:before="40" w:after="80" w:line="276" w:lineRule="auto"/>
      </w:pPr>
      <w:r>
        <w:rPr>
          <w:color w:val="334155"/>
          <w:sz w:val="19"/>
        </w:rPr>
        <w:t>cycle objectives to be addressed without reliance on extensive off-site works or unacceptable external</w:t>
      </w:r>
    </w:p>
    <w:p>
      <w:pPr>
        <w:spacing w:before="40" w:after="80" w:line="276" w:lineRule="auto"/>
      </w:pPr>
      <w:r>
        <w:rPr>
          <w:color w:val="334155"/>
          <w:sz w:val="19"/>
        </w:rPr>
        <w:t>impacts.</w:t>
      </w:r>
    </w:p>
    <w:p>
      <w:pPr>
        <w:spacing w:before="40" w:after="80" w:line="276" w:lineRule="auto"/>
      </w:pPr>
      <w:r>
        <w:rPr>
          <w:color w:val="334155"/>
          <w:sz w:val="19"/>
        </w:rPr>
        <w:t>This outcome demonstrates that the Precinct is not constrained in a way that precludes development, but</w:t>
      </w:r>
    </w:p>
    <w:p>
      <w:pPr>
        <w:spacing w:before="40" w:after="80" w:line="276" w:lineRule="auto"/>
      </w:pPr>
      <w:r>
        <w:rPr>
          <w:color w:val="334155"/>
          <w:sz w:val="19"/>
        </w:rPr>
        <w:t>instead requires a coordinated and integrated design response at the master planning level.</w:t>
      </w:r>
    </w:p>
    <w:p>
      <w:pPr>
        <w:spacing w:before="40" w:after="80" w:line="276" w:lineRule="auto"/>
      </w:pPr>
      <w:r>
        <w:rPr>
          <w:color w:val="334155"/>
          <w:sz w:val="19"/>
        </w:rPr>
        <w:t>Master Plan Intent and Flexibility</w:t>
      </w:r>
    </w:p>
    <w:p>
      <w:pPr>
        <w:spacing w:before="40" w:after="80" w:line="276" w:lineRule="auto"/>
      </w:pPr>
      <w:r>
        <w:rPr>
          <w:color w:val="334155"/>
          <w:sz w:val="19"/>
        </w:rPr>
        <w:t>The master plan establishes a clear, achievable and flexible framework for future development. It defines the</w:t>
      </w:r>
    </w:p>
    <w:p>
      <w:pPr>
        <w:spacing w:before="40" w:after="80" w:line="276" w:lineRule="auto"/>
      </w:pPr>
      <w:r>
        <w:rPr>
          <w:color w:val="334155"/>
          <w:sz w:val="19"/>
        </w:rPr>
        <w:t>spatial logic, performance objectives and key principles required to guide design and approvals, rather than</w:t>
      </w:r>
    </w:p>
    <w:p>
      <w:pPr>
        <w:spacing w:before="40" w:after="80" w:line="276" w:lineRule="auto"/>
      </w:pPr>
      <w:r>
        <w:rPr>
          <w:color w:val="334155"/>
          <w:sz w:val="19"/>
        </w:rPr>
        <w:t>prescribing a single fixed engineering solution.</w:t>
      </w:r>
    </w:p>
    <w:p>
      <w:pPr>
        <w:spacing w:before="40" w:after="80" w:line="276" w:lineRule="auto"/>
      </w:pPr>
      <w:r>
        <w:rPr>
          <w:color w:val="334155"/>
          <w:sz w:val="19"/>
        </w:rPr>
        <w:t>Importantly:</w:t>
      </w:r>
    </w:p>
    <w:p>
      <w:pPr>
        <w:spacing w:before="40" w:after="80" w:line="276" w:lineRule="auto"/>
      </w:pPr>
      <w:r>
        <w:rPr>
          <w:color w:val="334155"/>
          <w:sz w:val="19"/>
        </w:rPr>
        <w:t> The strategy is intended to be implemented progressively</w:t>
      </w:r>
    </w:p>
    <w:p>
      <w:pPr>
        <w:spacing w:before="40" w:after="80" w:line="276" w:lineRule="auto"/>
      </w:pPr>
      <w:r>
        <w:rPr>
          <w:color w:val="334155"/>
          <w:sz w:val="19"/>
        </w:rPr>
        <w:t> Future proponents can refine and adapt solutions</w:t>
      </w:r>
    </w:p>
    <w:p>
      <w:pPr>
        <w:spacing w:before="40" w:after="80" w:line="276" w:lineRule="auto"/>
      </w:pPr>
      <w:r>
        <w:rPr>
          <w:color w:val="334155"/>
          <w:sz w:val="19"/>
        </w:rPr>
        <w:t> Any modifications must remain consistent with the overall objectives</w:t>
      </w:r>
    </w:p>
    <w:p>
      <w:pPr>
        <w:spacing w:before="40" w:after="80" w:line="276" w:lineRule="auto"/>
      </w:pPr>
      <w:r>
        <w:rPr>
          <w:color w:val="334155"/>
          <w:sz w:val="19"/>
        </w:rPr>
        <w:t> All outcomes must comply with relevant legislation, policy and performance criteria</w:t>
      </w:r>
    </w:p>
    <w:p>
      <w:pPr>
        <w:spacing w:before="40" w:after="80" w:line="276" w:lineRule="auto"/>
      </w:pPr>
      <w:r>
        <w:rPr>
          <w:color w:val="334155"/>
          <w:sz w:val="19"/>
        </w:rPr>
        <w:t>This ensures the plan remains practical and adaptable to future land use changes, evolving design</w:t>
      </w:r>
    </w:p>
    <w:p>
      <w:pPr>
        <w:spacing w:before="40" w:after="80" w:line="276" w:lineRule="auto"/>
      </w:pPr>
      <w:r>
        <w:rPr>
          <w:color w:val="334155"/>
          <w:sz w:val="19"/>
        </w:rPr>
        <w:t>approaches and updated technical standards, while maintaining a consistent approach to flood risk and</w:t>
      </w:r>
    </w:p>
    <w:p>
      <w:pPr>
        <w:spacing w:before="40" w:after="80" w:line="276" w:lineRule="auto"/>
      </w:pPr>
      <w:r>
        <w:rPr>
          <w:color w:val="334155"/>
          <w:sz w:val="19"/>
        </w:rPr>
        <w:t>water management.</w:t>
      </w:r>
    </w:p>
    <w:p>
      <w:pPr>
        <w:spacing w:before="40" w:after="80" w:line="276" w:lineRule="auto"/>
      </w:pPr>
      <w:r>
        <w:rPr>
          <w:color w:val="334155"/>
          <w:sz w:val="19"/>
        </w:rPr>
        <w:t>Demonstrated Feasibility at Strategic Level</w:t>
      </w:r>
    </w:p>
    <w:p>
      <w:pPr>
        <w:spacing w:before="40" w:after="80" w:line="276" w:lineRule="auto"/>
      </w:pPr>
      <w:r>
        <w:rPr>
          <w:color w:val="334155"/>
          <w:sz w:val="19"/>
        </w:rPr>
        <w:t>Based on the site review and strategic assessment, all key aspects of flooding and water cycle management</w:t>
      </w:r>
    </w:p>
    <w:p>
      <w:pPr>
        <w:spacing w:before="40" w:after="80" w:line="276" w:lineRule="auto"/>
      </w:pPr>
      <w:r>
        <w:rPr>
          <w:color w:val="334155"/>
          <w:sz w:val="19"/>
        </w:rPr>
        <w:t>are considered feasible across the Precinct.</w:t>
      </w:r>
    </w:p>
    <w:p>
      <w:pPr>
        <w:spacing w:before="40" w:after="80" w:line="276" w:lineRule="auto"/>
      </w:pPr>
      <w:r>
        <w:rPr>
          <w:color w:val="334155"/>
          <w:sz w:val="19"/>
        </w:rPr>
        <w:t>This includes:</w:t>
      </w:r>
    </w:p>
    <w:p>
      <w:pPr>
        <w:spacing w:before="40" w:after="80" w:line="276" w:lineRule="auto"/>
      </w:pPr>
      <w:r>
        <w:rPr>
          <w:color w:val="334155"/>
          <w:sz w:val="19"/>
        </w:rPr>
        <w:t> Flood risk management and land use compatibility</w:t>
      </w:r>
    </w:p>
    <w:p>
      <w:pPr>
        <w:spacing w:before="40" w:after="80" w:line="276" w:lineRule="auto"/>
      </w:pPr>
      <w:r>
        <w:rPr>
          <w:color w:val="334155"/>
          <w:sz w:val="19"/>
        </w:rPr>
        <w:t> Stormwater collection, conveyance and discharge</w:t>
      </w:r>
    </w:p>
    <w:p>
      <w:pPr>
        <w:spacing w:before="40" w:after="80" w:line="276" w:lineRule="auto"/>
      </w:pPr>
      <w:r>
        <w:rPr>
          <w:color w:val="334155"/>
          <w:sz w:val="19"/>
        </w:rPr>
        <w:t> Water quality management and protection of receiving environments</w:t>
      </w:r>
    </w:p>
    <w:p>
      <w:pPr>
        <w:spacing w:before="40" w:after="80" w:line="276" w:lineRule="auto"/>
      </w:pPr>
      <w:r>
        <w:rPr>
          <w:color w:val="334155"/>
          <w:sz w:val="19"/>
        </w:rPr>
        <w:t> Emergency access and evacuation planning</w:t>
      </w:r>
    </w:p>
    <w:p>
      <w:pPr>
        <w:spacing w:before="40" w:after="80" w:line="276" w:lineRule="auto"/>
      </w:pPr>
      <w:r>
        <w:rPr>
          <w:color w:val="334155"/>
          <w:sz w:val="19"/>
        </w:rPr>
        <w:t>While further modelling and design will be required at later stages, the assessment confirms that there is a</w:t>
      </w:r>
    </w:p>
    <w:p>
      <w:pPr>
        <w:spacing w:before="40" w:after="80" w:line="276" w:lineRule="auto"/>
      </w:pPr>
      <w:r>
        <w:rPr>
          <w:color w:val="334155"/>
          <w:sz w:val="19"/>
        </w:rPr>
        <w:t>credible and workable pathway to achieve these outcomes within future development.</w:t>
      </w:r>
    </w:p>
    <w:p>
      <w:pPr>
        <w:spacing w:before="40" w:after="80" w:line="276" w:lineRule="auto"/>
      </w:pPr>
      <w:r>
        <w:rPr>
          <w:color w:val="334155"/>
          <w:sz w:val="19"/>
        </w:rPr>
        <w:t>Future Opportunities and Sustainable Water Strategies</w:t>
      </w:r>
    </w:p>
    <w:p>
      <w:pPr>
        <w:spacing w:before="40" w:after="80" w:line="276" w:lineRule="auto"/>
      </w:pPr>
      <w:r>
        <w:rPr>
          <w:color w:val="334155"/>
          <w:sz w:val="19"/>
        </w:rPr>
        <w:t>In addition to conventional infrastructure, the Precinct presents opportunities to adopt more sustainable and</w:t>
      </w:r>
    </w:p>
    <w:p>
      <w:pPr>
        <w:spacing w:before="40" w:after="80" w:line="276" w:lineRule="auto"/>
      </w:pPr>
      <w:r>
        <w:rPr>
          <w:color w:val="334155"/>
          <w:sz w:val="19"/>
        </w:rPr>
        <w:t>integrated water cycle approaches that reduce reliance on traditional systems.</w:t>
      </w:r>
    </w:p>
    <w:p>
      <w:pPr>
        <w:spacing w:before="40" w:after="80" w:line="276" w:lineRule="auto"/>
      </w:pPr>
      <w:r>
        <w:rPr>
          <w:color w:val="334155"/>
          <w:sz w:val="19"/>
        </w:rPr>
        <w:t>`</w:t>
      </w:r>
    </w:p>
    <w:p>
      <w:pPr>
        <w:pStyle w:val="Heading3"/>
        <w:keepNext/>
        <w:spacing w:before="160" w:after="40"/>
      </w:pPr>
      <w:r>
        <w:rPr>
          <w:b/>
          <w:color w:val="334155"/>
        </w:rPr>
        <w:t>Flooding Report Page 5</w:t>
      </w:r>
    </w:p>
    <w:p>
      <w:pPr>
        <w:spacing w:before="40" w:after="80" w:line="276" w:lineRule="auto"/>
      </w:pPr>
      <w:r>
        <w:rPr>
          <w:color w:val="334155"/>
          <w:sz w:val="19"/>
        </w:rPr>
        <w:t>`</w:t>
      </w:r>
    </w:p>
    <w:p>
      <w:pPr>
        <w:spacing w:before="40" w:after="80" w:line="276" w:lineRule="auto"/>
      </w:pPr>
      <w:r>
        <w:rPr>
          <w:color w:val="334155"/>
          <w:sz w:val="19"/>
        </w:rPr>
        <w:t>Project number 531168-000  File Final Flooding &amp; WCM Engineering Report_CLEAN.docx  2026-07-01  Revision B</w:t>
      </w:r>
    </w:p>
    <w:p>
      <w:pPr>
        <w:spacing w:before="40" w:after="80" w:line="276" w:lineRule="auto"/>
      </w:pPr>
      <w:r>
        <w:rPr>
          <w:color w:val="334155"/>
          <w:sz w:val="19"/>
        </w:rPr>
        <w:t>Potential strategies include:</w:t>
      </w:r>
    </w:p>
    <w:p>
      <w:pPr>
        <w:spacing w:before="40" w:after="80" w:line="276" w:lineRule="auto"/>
      </w:pPr>
      <w:r>
        <w:rPr>
          <w:color w:val="334155"/>
          <w:sz w:val="19"/>
        </w:rPr>
        <w:t> Stormwater harvesting for non-potable reuse at lot or precinct scale</w:t>
      </w:r>
    </w:p>
    <w:p>
      <w:pPr>
        <w:spacing w:before="40" w:after="80" w:line="276" w:lineRule="auto"/>
      </w:pPr>
      <w:r>
        <w:rPr>
          <w:color w:val="334155"/>
          <w:sz w:val="19"/>
        </w:rPr>
        <w:t> Rainwater capture systems to reduce runoff volumes</w:t>
      </w:r>
    </w:p>
    <w:p>
      <w:pPr>
        <w:spacing w:before="40" w:after="80" w:line="276" w:lineRule="auto"/>
      </w:pPr>
      <w:r>
        <w:rPr>
          <w:color w:val="334155"/>
          <w:sz w:val="19"/>
        </w:rPr>
        <w:t> Passive irrigation of landscapes and green infrastructure such as through the use of street trees</w:t>
      </w:r>
    </w:p>
    <w:p>
      <w:pPr>
        <w:spacing w:before="40" w:after="80" w:line="276" w:lineRule="auto"/>
      </w:pPr>
      <w:r>
        <w:rPr>
          <w:color w:val="334155"/>
          <w:sz w:val="19"/>
        </w:rPr>
        <w:t> Distributed bioretention, detention and infiltration, where ground conditions allow</w:t>
      </w:r>
    </w:p>
    <w:p>
      <w:pPr>
        <w:spacing w:before="40" w:after="80" w:line="276" w:lineRule="auto"/>
      </w:pPr>
      <w:r>
        <w:rPr>
          <w:color w:val="334155"/>
          <w:sz w:val="19"/>
        </w:rPr>
        <w:t> Integration of water sensitive urban design (WSUD) across the development</w:t>
      </w:r>
    </w:p>
    <w:p>
      <w:pPr>
        <w:spacing w:before="40" w:after="80" w:line="276" w:lineRule="auto"/>
      </w:pPr>
      <w:r>
        <w:rPr>
          <w:color w:val="334155"/>
          <w:sz w:val="19"/>
        </w:rPr>
        <w:t>These strategies can:</w:t>
      </w:r>
    </w:p>
    <w:p>
      <w:pPr>
        <w:spacing w:before="40" w:after="80" w:line="276" w:lineRule="auto"/>
      </w:pPr>
      <w:r>
        <w:rPr>
          <w:color w:val="334155"/>
          <w:sz w:val="19"/>
        </w:rPr>
        <w:t> Reduce demand on downstream drainage infrastructure</w:t>
      </w:r>
    </w:p>
    <w:p>
      <w:pPr>
        <w:spacing w:before="40" w:after="80" w:line="276" w:lineRule="auto"/>
      </w:pPr>
      <w:r>
        <w:rPr>
          <w:color w:val="334155"/>
          <w:sz w:val="19"/>
        </w:rPr>
        <w:t> Improve water quality outcomes</w:t>
      </w:r>
    </w:p>
    <w:p>
      <w:pPr>
        <w:spacing w:before="40" w:after="80" w:line="276" w:lineRule="auto"/>
      </w:pPr>
      <w:r>
        <w:rPr>
          <w:color w:val="334155"/>
          <w:sz w:val="19"/>
        </w:rPr>
        <w:t> Enhance resilience to climate variability</w:t>
      </w:r>
    </w:p>
    <w:p>
      <w:pPr>
        <w:spacing w:before="40" w:after="80" w:line="276" w:lineRule="auto"/>
      </w:pPr>
      <w:r>
        <w:rPr>
          <w:color w:val="334155"/>
          <w:sz w:val="19"/>
        </w:rPr>
        <w:t> Support more efficient and sustainable long-term servicing</w:t>
      </w:r>
    </w:p>
    <w:p>
      <w:pPr>
        <w:spacing w:before="40" w:after="80" w:line="276" w:lineRule="auto"/>
      </w:pPr>
      <w:r>
        <w:rPr>
          <w:color w:val="334155"/>
          <w:sz w:val="19"/>
        </w:rPr>
        <w:t>Collectively, they represent a pathway toward a lower impact, more adaptive water management system for</w:t>
      </w:r>
    </w:p>
    <w:p>
      <w:pPr>
        <w:spacing w:before="40" w:after="80" w:line="276" w:lineRule="auto"/>
      </w:pPr>
      <w:r>
        <w:rPr>
          <w:color w:val="334155"/>
          <w:sz w:val="19"/>
        </w:rPr>
        <w:t>the Precinct.</w:t>
      </w:r>
    </w:p>
    <w:p>
      <w:pPr>
        <w:spacing w:before="40" w:after="80" w:line="276" w:lineRule="auto"/>
      </w:pPr>
      <w:r>
        <w:rPr>
          <w:color w:val="334155"/>
          <w:sz w:val="19"/>
        </w:rPr>
        <w:t>Conclusion</w:t>
      </w:r>
    </w:p>
    <w:p>
      <w:pPr>
        <w:spacing w:before="40" w:after="80" w:line="276" w:lineRule="auto"/>
      </w:pPr>
      <w:r>
        <w:rPr>
          <w:color w:val="334155"/>
          <w:sz w:val="19"/>
        </w:rPr>
        <w:t>Overall, the flooding and water cycle management assessment supports a master plan that is practical,</w:t>
      </w:r>
    </w:p>
    <w:p>
      <w:pPr>
        <w:spacing w:before="40" w:after="80" w:line="276" w:lineRule="auto"/>
      </w:pPr>
      <w:r>
        <w:rPr>
          <w:color w:val="334155"/>
          <w:sz w:val="19"/>
        </w:rPr>
        <w:t>flexible and environmentally responsible. It demonstrates that development within the Precinct can proceed,</w:t>
      </w:r>
    </w:p>
    <w:p>
      <w:pPr>
        <w:spacing w:before="40" w:after="80" w:line="276" w:lineRule="auto"/>
      </w:pPr>
      <w:r>
        <w:rPr>
          <w:color w:val="334155"/>
          <w:sz w:val="19"/>
        </w:rPr>
        <w:t>provided that key floodplain functions are maintained and an integrated strategy is implemented.</w:t>
      </w:r>
    </w:p>
    <w:p>
      <w:pPr>
        <w:spacing w:before="40" w:after="80" w:line="276" w:lineRule="auto"/>
      </w:pPr>
      <w:r>
        <w:rPr>
          <w:color w:val="334155"/>
          <w:sz w:val="19"/>
        </w:rPr>
        <w:t>The proposed approach protects surrounding communities and environmental systems, accommodates</w:t>
      </w:r>
    </w:p>
    <w:p>
      <w:pPr>
        <w:spacing w:before="40" w:after="80" w:line="276" w:lineRule="auto"/>
      </w:pPr>
      <w:r>
        <w:rPr>
          <w:color w:val="334155"/>
          <w:sz w:val="19"/>
        </w:rPr>
        <w:t>required mitigation within the site, and establishes a robust framework to guide future planning, design and</w:t>
      </w:r>
    </w:p>
    <w:p>
      <w:pPr>
        <w:spacing w:before="40" w:after="80" w:line="276" w:lineRule="auto"/>
      </w:pPr>
      <w:r>
        <w:rPr>
          <w:color w:val="334155"/>
          <w:sz w:val="19"/>
        </w:rPr>
        <w:t>delivery.</w:t>
      </w:r>
    </w:p>
    <w:p>
      <w:pPr>
        <w:spacing w:before="40" w:after="80" w:line="276" w:lineRule="auto"/>
      </w:pPr>
      <w:r>
        <w:rPr>
          <w:color w:val="334155"/>
          <w:sz w:val="19"/>
        </w:rPr>
        <w:t>`</w:t>
      </w:r>
    </w:p>
    <w:p>
      <w:pPr>
        <w:pStyle w:val="Heading3"/>
        <w:keepNext/>
        <w:spacing w:before="160" w:after="40"/>
      </w:pPr>
      <w:r>
        <w:rPr>
          <w:b/>
          <w:color w:val="334155"/>
        </w:rPr>
        <w:t>Flooding Report Page 6</w:t>
      </w:r>
    </w:p>
    <w:p>
      <w:pPr>
        <w:spacing w:before="40" w:after="80" w:line="276" w:lineRule="auto"/>
      </w:pPr>
      <w:r>
        <w:rPr>
          <w:color w:val="334155"/>
          <w:sz w:val="19"/>
        </w:rPr>
        <w:t>`</w:t>
      </w:r>
    </w:p>
    <w:p>
      <w:pPr>
        <w:spacing w:before="40" w:after="80" w:line="276" w:lineRule="auto"/>
      </w:pPr>
      <w:r>
        <w:rPr>
          <w:color w:val="334155"/>
          <w:sz w:val="19"/>
        </w:rPr>
        <w:t>Contents</w:t>
      </w:r>
    </w:p>
    <w:p>
      <w:pPr>
        <w:spacing w:before="40" w:after="80" w:line="276" w:lineRule="auto"/>
      </w:pPr>
      <w:r>
        <w:rPr>
          <w:color w:val="334155"/>
          <w:sz w:val="19"/>
        </w:rPr>
        <w:t>Executive summary ........................................................................................................................................... i</w:t>
      </w:r>
    </w:p>
    <w:p>
      <w:pPr>
        <w:spacing w:before="40" w:after="80" w:line="276" w:lineRule="auto"/>
      </w:pPr>
      <w:r>
        <w:rPr>
          <w:color w:val="334155"/>
          <w:sz w:val="19"/>
        </w:rPr>
        <w:t>1 Introduction .................................................................................................................................................. 1</w:t>
      </w:r>
    </w:p>
    <w:p>
      <w:pPr>
        <w:spacing w:before="40" w:after="80" w:line="276" w:lineRule="auto"/>
      </w:pPr>
      <w:r>
        <w:rPr>
          <w:color w:val="334155"/>
          <w:sz w:val="19"/>
        </w:rPr>
        <w:t>1.1</w:t>
      </w:r>
    </w:p>
    <w:p>
      <w:pPr>
        <w:spacing w:before="40" w:after="80" w:line="276" w:lineRule="auto"/>
      </w:pPr>
      <w:r>
        <w:rPr>
          <w:color w:val="334155"/>
          <w:sz w:val="19"/>
        </w:rPr>
        <w:t>Site location and context .......................................................................................................... 2</w:t>
      </w:r>
    </w:p>
    <w:p>
      <w:pPr>
        <w:spacing w:before="40" w:after="80" w:line="276" w:lineRule="auto"/>
      </w:pPr>
      <w:r>
        <w:rPr>
          <w:color w:val="334155"/>
          <w:sz w:val="19"/>
        </w:rPr>
        <w:t>1.2</w:t>
      </w:r>
    </w:p>
    <w:p>
      <w:pPr>
        <w:spacing w:before="40" w:after="80" w:line="276" w:lineRule="auto"/>
      </w:pPr>
      <w:r>
        <w:rPr>
          <w:color w:val="334155"/>
          <w:sz w:val="19"/>
        </w:rPr>
        <w:t>Purpose of this Report .............................................................................................................. 4</w:t>
      </w:r>
    </w:p>
    <w:p>
      <w:pPr>
        <w:spacing w:before="40" w:after="80" w:line="276" w:lineRule="auto"/>
      </w:pPr>
      <w:r>
        <w:rPr>
          <w:color w:val="334155"/>
          <w:sz w:val="19"/>
        </w:rPr>
        <w:t>1.3</w:t>
      </w:r>
    </w:p>
    <w:p>
      <w:pPr>
        <w:spacing w:before="40" w:after="80" w:line="276" w:lineRule="auto"/>
      </w:pPr>
      <w:r>
        <w:rPr>
          <w:color w:val="334155"/>
          <w:sz w:val="19"/>
        </w:rPr>
        <w:t>Scope ....................................................................................................................................... 4</w:t>
      </w:r>
    </w:p>
    <w:p>
      <w:pPr>
        <w:spacing w:before="40" w:after="80" w:line="276" w:lineRule="auto"/>
      </w:pPr>
      <w:r>
        <w:rPr>
          <w:color w:val="334155"/>
          <w:sz w:val="19"/>
        </w:rPr>
        <w:t>2 Information Sources, Assumptions and Limitations ............................................................................... 5</w:t>
      </w:r>
    </w:p>
    <w:p>
      <w:pPr>
        <w:spacing w:before="40" w:after="80" w:line="276" w:lineRule="auto"/>
      </w:pPr>
      <w:r>
        <w:rPr>
          <w:color w:val="334155"/>
          <w:sz w:val="19"/>
        </w:rPr>
        <w:t>2.1</w:t>
      </w:r>
    </w:p>
    <w:p>
      <w:pPr>
        <w:spacing w:before="40" w:after="80" w:line="276" w:lineRule="auto"/>
      </w:pPr>
      <w:r>
        <w:rPr>
          <w:color w:val="334155"/>
          <w:sz w:val="19"/>
        </w:rPr>
        <w:t>Data Sources Reviewed ........................................................................................................... 5</w:t>
      </w:r>
    </w:p>
    <w:p>
      <w:pPr>
        <w:spacing w:before="40" w:after="80" w:line="276" w:lineRule="auto"/>
      </w:pPr>
      <w:r>
        <w:rPr>
          <w:color w:val="334155"/>
          <w:sz w:val="19"/>
        </w:rPr>
        <w:t>2.1.1</w:t>
      </w:r>
    </w:p>
    <w:p>
      <w:pPr>
        <w:spacing w:before="40" w:after="80" w:line="276" w:lineRule="auto"/>
      </w:pPr>
      <w:r>
        <w:rPr>
          <w:color w:val="334155"/>
          <w:sz w:val="19"/>
        </w:rPr>
        <w:t>Documents and Local Study Review ......................................................................... 5</w:t>
      </w:r>
    </w:p>
    <w:p>
      <w:pPr>
        <w:spacing w:before="40" w:after="80" w:line="276" w:lineRule="auto"/>
      </w:pPr>
      <w:r>
        <w:rPr>
          <w:color w:val="334155"/>
          <w:sz w:val="19"/>
        </w:rPr>
        <w:t>2.1.2</w:t>
      </w:r>
    </w:p>
    <w:p>
      <w:pPr>
        <w:spacing w:before="40" w:after="80" w:line="276" w:lineRule="auto"/>
      </w:pPr>
      <w:r>
        <w:rPr>
          <w:color w:val="334155"/>
          <w:sz w:val="19"/>
        </w:rPr>
        <w:t>Data Collection .......................................................................................................... 6</w:t>
      </w:r>
    </w:p>
    <w:p>
      <w:pPr>
        <w:spacing w:before="40" w:after="80" w:line="276" w:lineRule="auto"/>
      </w:pPr>
      <w:r>
        <w:rPr>
          <w:color w:val="334155"/>
          <w:sz w:val="19"/>
        </w:rPr>
        <w:t>2.2</w:t>
      </w:r>
    </w:p>
    <w:p>
      <w:pPr>
        <w:spacing w:before="40" w:after="80" w:line="276" w:lineRule="auto"/>
      </w:pPr>
      <w:r>
        <w:rPr>
          <w:color w:val="334155"/>
          <w:sz w:val="19"/>
        </w:rPr>
        <w:t>Assumptions, Limitations and Dependencies .......................................................................... 6</w:t>
      </w:r>
    </w:p>
    <w:p>
      <w:pPr>
        <w:spacing w:before="40" w:after="80" w:line="276" w:lineRule="auto"/>
      </w:pPr>
      <w:r>
        <w:rPr>
          <w:color w:val="334155"/>
          <w:sz w:val="19"/>
        </w:rPr>
        <w:t>3 Site and Water Context ............................................................................................................................... 8</w:t>
      </w:r>
    </w:p>
    <w:p>
      <w:pPr>
        <w:spacing w:before="40" w:after="80" w:line="276" w:lineRule="auto"/>
      </w:pPr>
      <w:r>
        <w:rPr>
          <w:color w:val="334155"/>
          <w:sz w:val="19"/>
        </w:rPr>
        <w:t>3.1</w:t>
      </w:r>
    </w:p>
    <w:p>
      <w:pPr>
        <w:spacing w:before="40" w:after="80" w:line="276" w:lineRule="auto"/>
      </w:pPr>
      <w:r>
        <w:rPr>
          <w:color w:val="334155"/>
          <w:sz w:val="19"/>
        </w:rPr>
        <w:t>Relevant Legislations, Policy and Guidelines .......................................................................... 8</w:t>
      </w:r>
    </w:p>
    <w:p>
      <w:pPr>
        <w:spacing w:before="40" w:after="80" w:line="276" w:lineRule="auto"/>
      </w:pPr>
      <w:r>
        <w:rPr>
          <w:color w:val="334155"/>
          <w:sz w:val="19"/>
        </w:rPr>
        <w:t>3.1.1</w:t>
      </w:r>
    </w:p>
    <w:p>
      <w:pPr>
        <w:spacing w:before="40" w:after="80" w:line="276" w:lineRule="auto"/>
      </w:pPr>
      <w:r>
        <w:rPr>
          <w:color w:val="334155"/>
          <w:sz w:val="19"/>
        </w:rPr>
        <w:t>Water Quality Policy and Guidelines ....................................................................... 12</w:t>
      </w:r>
    </w:p>
    <w:p>
      <w:pPr>
        <w:spacing w:before="40" w:after="80" w:line="276" w:lineRule="auto"/>
      </w:pPr>
      <w:r>
        <w:rPr>
          <w:color w:val="334155"/>
          <w:sz w:val="19"/>
        </w:rPr>
        <w:t>3.1.2</w:t>
      </w:r>
    </w:p>
    <w:p>
      <w:pPr>
        <w:spacing w:before="40" w:after="80" w:line="276" w:lineRule="auto"/>
      </w:pPr>
      <w:r>
        <w:rPr>
          <w:color w:val="334155"/>
          <w:sz w:val="19"/>
        </w:rPr>
        <w:t>Council Onsite Detention Requirements ................................................................. 19</w:t>
      </w:r>
    </w:p>
    <w:p>
      <w:pPr>
        <w:spacing w:before="40" w:after="80" w:line="276" w:lineRule="auto"/>
      </w:pPr>
      <w:r>
        <w:rPr>
          <w:color w:val="334155"/>
          <w:sz w:val="19"/>
        </w:rPr>
        <w:t>3.1.3</w:t>
      </w:r>
    </w:p>
    <w:p>
      <w:pPr>
        <w:spacing w:before="40" w:after="80" w:line="276" w:lineRule="auto"/>
      </w:pPr>
      <w:r>
        <w:rPr>
          <w:color w:val="334155"/>
          <w:sz w:val="19"/>
        </w:rPr>
        <w:t>Controlled Activities on Waterfront Land ................................................................. 19</w:t>
      </w:r>
    </w:p>
    <w:p>
      <w:pPr>
        <w:spacing w:before="40" w:after="80" w:line="276" w:lineRule="auto"/>
      </w:pPr>
      <w:r>
        <w:rPr>
          <w:color w:val="334155"/>
          <w:sz w:val="19"/>
        </w:rPr>
        <w:t>3.2</w:t>
      </w:r>
    </w:p>
    <w:p>
      <w:pPr>
        <w:spacing w:before="40" w:after="80" w:line="276" w:lineRule="auto"/>
      </w:pPr>
      <w:r>
        <w:rPr>
          <w:color w:val="334155"/>
          <w:sz w:val="19"/>
        </w:rPr>
        <w:t>Catchment, Waterways and Receiving Environments ........................................................... 21</w:t>
      </w:r>
    </w:p>
    <w:p>
      <w:pPr>
        <w:spacing w:before="40" w:after="80" w:line="276" w:lineRule="auto"/>
      </w:pPr>
      <w:r>
        <w:rPr>
          <w:color w:val="334155"/>
          <w:sz w:val="19"/>
        </w:rPr>
        <w:t>3.2.1</w:t>
      </w:r>
    </w:p>
    <w:p>
      <w:pPr>
        <w:spacing w:before="40" w:after="80" w:line="276" w:lineRule="auto"/>
      </w:pPr>
      <w:r>
        <w:rPr>
          <w:color w:val="334155"/>
          <w:sz w:val="19"/>
        </w:rPr>
        <w:t>Climate and Rainfall ................................................................................................ 21</w:t>
      </w:r>
    </w:p>
    <w:p>
      <w:pPr>
        <w:spacing w:before="40" w:after="80" w:line="276" w:lineRule="auto"/>
      </w:pPr>
      <w:r>
        <w:rPr>
          <w:color w:val="334155"/>
          <w:sz w:val="19"/>
        </w:rPr>
        <w:t>3.2.2</w:t>
      </w:r>
    </w:p>
    <w:p>
      <w:pPr>
        <w:spacing w:before="40" w:after="80" w:line="276" w:lineRule="auto"/>
      </w:pPr>
      <w:r>
        <w:rPr>
          <w:color w:val="334155"/>
          <w:sz w:val="19"/>
        </w:rPr>
        <w:t>Catchment and local topography ............................................................................. 23</w:t>
      </w:r>
    </w:p>
    <w:p>
      <w:pPr>
        <w:spacing w:before="40" w:after="80" w:line="276" w:lineRule="auto"/>
      </w:pPr>
      <w:r>
        <w:rPr>
          <w:color w:val="334155"/>
          <w:sz w:val="19"/>
        </w:rPr>
        <w:t>3.2.3</w:t>
      </w:r>
    </w:p>
    <w:p>
      <w:pPr>
        <w:spacing w:before="40" w:after="80" w:line="276" w:lineRule="auto"/>
      </w:pPr>
      <w:r>
        <w:rPr>
          <w:color w:val="334155"/>
          <w:sz w:val="19"/>
        </w:rPr>
        <w:t>Watercourses .......................................................................................................... 24</w:t>
      </w:r>
    </w:p>
    <w:p>
      <w:pPr>
        <w:spacing w:before="40" w:after="80" w:line="276" w:lineRule="auto"/>
      </w:pPr>
      <w:r>
        <w:rPr>
          <w:color w:val="334155"/>
          <w:sz w:val="19"/>
        </w:rPr>
        <w:t>3.2.4</w:t>
      </w:r>
    </w:p>
    <w:p>
      <w:pPr>
        <w:spacing w:before="40" w:after="80" w:line="276" w:lineRule="auto"/>
      </w:pPr>
      <w:r>
        <w:rPr>
          <w:color w:val="334155"/>
          <w:sz w:val="19"/>
        </w:rPr>
        <w:t>Tidal Limits .............................................................................................................. 26</w:t>
      </w:r>
    </w:p>
    <w:p>
      <w:pPr>
        <w:spacing w:before="40" w:after="80" w:line="276" w:lineRule="auto"/>
      </w:pPr>
      <w:r>
        <w:rPr>
          <w:color w:val="334155"/>
          <w:sz w:val="19"/>
        </w:rPr>
        <w:t>3.2.5</w:t>
      </w:r>
    </w:p>
    <w:p>
      <w:pPr>
        <w:spacing w:before="40" w:after="80" w:line="276" w:lineRule="auto"/>
      </w:pPr>
      <w:r>
        <w:rPr>
          <w:color w:val="334155"/>
          <w:sz w:val="19"/>
        </w:rPr>
        <w:t>Soils ......................................................................................................................... 27</w:t>
      </w:r>
    </w:p>
    <w:p>
      <w:pPr>
        <w:spacing w:before="40" w:after="80" w:line="276" w:lineRule="auto"/>
      </w:pPr>
      <w:r>
        <w:rPr>
          <w:color w:val="334155"/>
          <w:sz w:val="19"/>
        </w:rPr>
        <w:t>3.2.6</w:t>
      </w:r>
    </w:p>
    <w:p>
      <w:pPr>
        <w:spacing w:before="40" w:after="80" w:line="276" w:lineRule="auto"/>
      </w:pPr>
      <w:r>
        <w:rPr>
          <w:color w:val="334155"/>
          <w:sz w:val="19"/>
        </w:rPr>
        <w:t>Groundwater ............................................................................................................ 29</w:t>
      </w:r>
    </w:p>
    <w:p>
      <w:pPr>
        <w:spacing w:before="40" w:after="80" w:line="276" w:lineRule="auto"/>
      </w:pPr>
      <w:r>
        <w:rPr>
          <w:color w:val="334155"/>
          <w:sz w:val="19"/>
        </w:rPr>
        <w:t>3.2.7</w:t>
      </w:r>
    </w:p>
    <w:p>
      <w:pPr>
        <w:spacing w:before="40" w:after="80" w:line="276" w:lineRule="auto"/>
      </w:pPr>
      <w:r>
        <w:rPr>
          <w:color w:val="334155"/>
          <w:sz w:val="19"/>
        </w:rPr>
        <w:t>Existing Land Zoning ............................................................................................... 30</w:t>
      </w:r>
    </w:p>
    <w:p>
      <w:pPr>
        <w:spacing w:before="40" w:after="80" w:line="276" w:lineRule="auto"/>
      </w:pPr>
      <w:r>
        <w:rPr>
          <w:color w:val="334155"/>
          <w:sz w:val="19"/>
        </w:rPr>
        <w:t>3.2.8</w:t>
      </w:r>
    </w:p>
    <w:p>
      <w:pPr>
        <w:spacing w:before="40" w:after="80" w:line="276" w:lineRule="auto"/>
      </w:pPr>
      <w:r>
        <w:rPr>
          <w:color w:val="334155"/>
          <w:sz w:val="19"/>
        </w:rPr>
        <w:t>Sensitive Receiving Environments .......................................................................... 31</w:t>
      </w:r>
    </w:p>
    <w:p>
      <w:pPr>
        <w:spacing w:before="40" w:after="80" w:line="276" w:lineRule="auto"/>
      </w:pPr>
      <w:r>
        <w:rPr>
          <w:color w:val="334155"/>
          <w:sz w:val="19"/>
        </w:rPr>
        <w:t>3.2.9</w:t>
      </w:r>
    </w:p>
    <w:p>
      <w:pPr>
        <w:spacing w:before="40" w:after="80" w:line="276" w:lineRule="auto"/>
      </w:pPr>
      <w:r>
        <w:rPr>
          <w:color w:val="334155"/>
          <w:sz w:val="19"/>
        </w:rPr>
        <w:t>Preliminary Riparian Corridor Extent ....................................................................... 34</w:t>
      </w:r>
    </w:p>
    <w:p>
      <w:pPr>
        <w:spacing w:before="40" w:after="80" w:line="276" w:lineRule="auto"/>
      </w:pPr>
      <w:r>
        <w:rPr>
          <w:color w:val="334155"/>
          <w:sz w:val="19"/>
        </w:rPr>
        <w:t>3.2.10</w:t>
      </w:r>
    </w:p>
    <w:p>
      <w:pPr>
        <w:spacing w:before="40" w:after="80" w:line="276" w:lineRule="auto"/>
      </w:pPr>
      <w:r>
        <w:rPr>
          <w:color w:val="334155"/>
          <w:sz w:val="19"/>
        </w:rPr>
        <w:t>Indigenous Values of Lake Macquarie .................................................................... 35</w:t>
      </w:r>
    </w:p>
    <w:p>
      <w:pPr>
        <w:spacing w:before="40" w:after="80" w:line="276" w:lineRule="auto"/>
      </w:pPr>
      <w:r>
        <w:rPr>
          <w:color w:val="334155"/>
          <w:sz w:val="19"/>
        </w:rPr>
        <w:t>3.3</w:t>
      </w:r>
    </w:p>
    <w:p>
      <w:pPr>
        <w:spacing w:before="40" w:after="80" w:line="276" w:lineRule="auto"/>
      </w:pPr>
      <w:r>
        <w:rPr>
          <w:color w:val="334155"/>
          <w:sz w:val="19"/>
        </w:rPr>
        <w:t>Existing Drainage and Water Management Infrastructure ..................................................... 35</w:t>
      </w:r>
    </w:p>
    <w:p>
      <w:pPr>
        <w:spacing w:before="40" w:after="80" w:line="276" w:lineRule="auto"/>
      </w:pPr>
      <w:r>
        <w:rPr>
          <w:color w:val="334155"/>
          <w:sz w:val="19"/>
        </w:rPr>
        <w:t>3.4</w:t>
      </w:r>
    </w:p>
    <w:p>
      <w:pPr>
        <w:spacing w:before="40" w:after="80" w:line="276" w:lineRule="auto"/>
      </w:pPr>
      <w:r>
        <w:rPr>
          <w:color w:val="334155"/>
          <w:sz w:val="19"/>
        </w:rPr>
        <w:t>Mine Rehabilitation and Post-Mining Water Context .............................................................. 37</w:t>
      </w:r>
    </w:p>
    <w:p>
      <w:pPr>
        <w:spacing w:before="40" w:after="80" w:line="276" w:lineRule="auto"/>
      </w:pPr>
      <w:r>
        <w:rPr>
          <w:color w:val="334155"/>
          <w:sz w:val="19"/>
        </w:rPr>
        <w:t>4 Existing Flood Risk ................................................................................................................................... 37</w:t>
      </w:r>
    </w:p>
    <w:p>
      <w:pPr>
        <w:spacing w:before="40" w:after="80" w:line="276" w:lineRule="auto"/>
      </w:pPr>
      <w:r>
        <w:rPr>
          <w:color w:val="334155"/>
          <w:sz w:val="19"/>
        </w:rPr>
        <w:t>4.1</w:t>
      </w:r>
    </w:p>
    <w:p>
      <w:pPr>
        <w:spacing w:before="40" w:after="80" w:line="276" w:lineRule="auto"/>
      </w:pPr>
      <w:r>
        <w:rPr>
          <w:color w:val="334155"/>
          <w:sz w:val="19"/>
        </w:rPr>
        <w:t>Flood Mechanisms and Flood Behaviour ............................................................................... 38</w:t>
      </w:r>
    </w:p>
    <w:p>
      <w:pPr>
        <w:spacing w:before="40" w:after="80" w:line="276" w:lineRule="auto"/>
      </w:pPr>
      <w:r>
        <w:rPr>
          <w:color w:val="334155"/>
          <w:sz w:val="19"/>
        </w:rPr>
        <w:t>4.1.1</w:t>
      </w:r>
    </w:p>
    <w:p>
      <w:pPr>
        <w:spacing w:before="40" w:after="80" w:line="276" w:lineRule="auto"/>
      </w:pPr>
      <w:r>
        <w:rPr>
          <w:color w:val="334155"/>
          <w:sz w:val="19"/>
        </w:rPr>
        <w:t>Regional Flooding .................................................................................................... 38</w:t>
      </w:r>
    </w:p>
    <w:p>
      <w:pPr>
        <w:spacing w:before="40" w:after="80" w:line="276" w:lineRule="auto"/>
      </w:pPr>
      <w:r>
        <w:rPr>
          <w:color w:val="334155"/>
          <w:sz w:val="19"/>
        </w:rPr>
        <w:t>4.1.2</w:t>
      </w:r>
    </w:p>
    <w:p>
      <w:pPr>
        <w:spacing w:before="40" w:after="80" w:line="276" w:lineRule="auto"/>
      </w:pPr>
      <w:r>
        <w:rPr>
          <w:color w:val="334155"/>
          <w:sz w:val="19"/>
        </w:rPr>
        <w:t>Local Flooding ......................................................................................................... 39</w:t>
      </w:r>
    </w:p>
    <w:p>
      <w:pPr>
        <w:spacing w:before="40" w:after="80" w:line="276" w:lineRule="auto"/>
      </w:pPr>
      <w:r>
        <w:rPr>
          <w:color w:val="334155"/>
          <w:sz w:val="19"/>
        </w:rPr>
        <w:t>4.1.3</w:t>
      </w:r>
    </w:p>
    <w:p>
      <w:pPr>
        <w:spacing w:before="40" w:after="80" w:line="276" w:lineRule="auto"/>
      </w:pPr>
      <w:r>
        <w:rPr>
          <w:color w:val="334155"/>
          <w:sz w:val="19"/>
        </w:rPr>
        <w:t>Tidal Inundation ....................................................................................................... 40</w:t>
      </w:r>
    </w:p>
    <w:p>
      <w:pPr>
        <w:spacing w:before="40" w:after="80" w:line="276" w:lineRule="auto"/>
      </w:pPr>
      <w:r>
        <w:rPr>
          <w:color w:val="334155"/>
          <w:sz w:val="19"/>
        </w:rPr>
        <w:t>4.2</w:t>
      </w:r>
    </w:p>
    <w:p>
      <w:pPr>
        <w:spacing w:before="40" w:after="80" w:line="276" w:lineRule="auto"/>
      </w:pPr>
      <w:r>
        <w:rPr>
          <w:color w:val="334155"/>
          <w:sz w:val="19"/>
        </w:rPr>
        <w:t>Hydraulic Categorisation (Flood Function) ............................................................................. 41</w:t>
      </w:r>
    </w:p>
    <w:p>
      <w:pPr>
        <w:spacing w:before="40" w:after="80" w:line="276" w:lineRule="auto"/>
      </w:pPr>
      <w:r>
        <w:rPr>
          <w:color w:val="334155"/>
          <w:sz w:val="19"/>
        </w:rPr>
        <w:t>4.3</w:t>
      </w:r>
    </w:p>
    <w:p>
      <w:pPr>
        <w:spacing w:before="40" w:after="80" w:line="276" w:lineRule="auto"/>
      </w:pPr>
      <w:r>
        <w:rPr>
          <w:color w:val="334155"/>
          <w:sz w:val="19"/>
        </w:rPr>
        <w:t>Flood Hazard, Life Safety and Land Use Compatibility .......................................................... 42</w:t>
      </w:r>
    </w:p>
    <w:p>
      <w:pPr>
        <w:spacing w:before="40" w:after="80" w:line="276" w:lineRule="auto"/>
      </w:pPr>
      <w:r>
        <w:rPr>
          <w:color w:val="334155"/>
          <w:sz w:val="19"/>
        </w:rPr>
        <w:t>4.3.1</w:t>
      </w:r>
    </w:p>
    <w:p>
      <w:pPr>
        <w:spacing w:before="40" w:after="80" w:line="276" w:lineRule="auto"/>
      </w:pPr>
      <w:r>
        <w:rPr>
          <w:color w:val="334155"/>
          <w:sz w:val="19"/>
        </w:rPr>
        <w:t>Flood Hazard and Life Safety .................................................................................. 42</w:t>
      </w:r>
    </w:p>
    <w:p>
      <w:pPr>
        <w:spacing w:before="40" w:after="80" w:line="276" w:lineRule="auto"/>
      </w:pPr>
      <w:r>
        <w:rPr>
          <w:color w:val="334155"/>
          <w:sz w:val="19"/>
        </w:rPr>
        <w:t>4.3.2</w:t>
      </w:r>
    </w:p>
    <w:p>
      <w:pPr>
        <w:spacing w:before="40" w:after="80" w:line="276" w:lineRule="auto"/>
      </w:pPr>
      <w:r>
        <w:rPr>
          <w:color w:val="334155"/>
          <w:sz w:val="19"/>
        </w:rPr>
        <w:t>Land Use Compatibility ........................................................................................... 42</w:t>
      </w:r>
    </w:p>
    <w:p>
      <w:pPr>
        <w:spacing w:before="40" w:after="80" w:line="276" w:lineRule="auto"/>
      </w:pPr>
      <w:r>
        <w:rPr>
          <w:color w:val="334155"/>
          <w:sz w:val="19"/>
        </w:rPr>
        <w:t>4.4</w:t>
      </w:r>
    </w:p>
    <w:p>
      <w:pPr>
        <w:spacing w:before="40" w:after="80" w:line="276" w:lineRule="auto"/>
      </w:pPr>
      <w:r>
        <w:rPr>
          <w:color w:val="334155"/>
          <w:sz w:val="19"/>
        </w:rPr>
        <w:t>Extreme Event Risk ................................................................................................................ 43</w:t>
      </w:r>
    </w:p>
    <w:p>
      <w:pPr>
        <w:spacing w:before="40" w:after="80" w:line="276" w:lineRule="auto"/>
      </w:pPr>
      <w:r>
        <w:rPr>
          <w:color w:val="334155"/>
          <w:sz w:val="19"/>
        </w:rPr>
        <w:t>4.4.1</w:t>
      </w:r>
    </w:p>
    <w:p>
      <w:pPr>
        <w:spacing w:before="40" w:after="80" w:line="276" w:lineRule="auto"/>
      </w:pPr>
      <w:r>
        <w:rPr>
          <w:color w:val="334155"/>
          <w:sz w:val="19"/>
        </w:rPr>
        <w:t>Probable Maximum Flood (PMF) Risk .................................................................... 43</w:t>
      </w:r>
    </w:p>
    <w:p>
      <w:pPr>
        <w:spacing w:before="40" w:after="80" w:line="276" w:lineRule="auto"/>
      </w:pPr>
      <w:r>
        <w:rPr>
          <w:color w:val="334155"/>
          <w:sz w:val="19"/>
        </w:rPr>
        <w:t>4.4.2</w:t>
      </w:r>
    </w:p>
    <w:p>
      <w:pPr>
        <w:spacing w:before="40" w:after="80" w:line="276" w:lineRule="auto"/>
      </w:pPr>
      <w:r>
        <w:rPr>
          <w:color w:val="334155"/>
          <w:sz w:val="19"/>
        </w:rPr>
        <w:t>Dam Failure Risk ..................................................................................................... 44</w:t>
      </w:r>
    </w:p>
    <w:p>
      <w:pPr>
        <w:spacing w:before="40" w:after="80" w:line="276" w:lineRule="auto"/>
      </w:pPr>
      <w:r>
        <w:rPr>
          <w:color w:val="334155"/>
          <w:sz w:val="19"/>
        </w:rPr>
        <w:t>4.5</w:t>
      </w:r>
    </w:p>
    <w:p>
      <w:pPr>
        <w:spacing w:before="40" w:after="80" w:line="276" w:lineRule="auto"/>
      </w:pPr>
      <w:r>
        <w:rPr>
          <w:color w:val="334155"/>
          <w:sz w:val="19"/>
        </w:rPr>
        <w:t>Emergency Management ....................................................................................................... 45</w:t>
      </w:r>
    </w:p>
    <w:p>
      <w:pPr>
        <w:spacing w:before="40" w:after="80" w:line="276" w:lineRule="auto"/>
      </w:pPr>
      <w:r>
        <w:rPr>
          <w:color w:val="334155"/>
          <w:sz w:val="19"/>
        </w:rPr>
        <w:t>4.5.1</w:t>
      </w:r>
    </w:p>
    <w:p>
      <w:pPr>
        <w:spacing w:before="40" w:after="80" w:line="276" w:lineRule="auto"/>
      </w:pPr>
      <w:r>
        <w:rPr>
          <w:color w:val="334155"/>
          <w:sz w:val="19"/>
        </w:rPr>
        <w:t>Emergency Management Strategy .......................................................................... 45</w:t>
      </w:r>
    </w:p>
    <w:p>
      <w:pPr>
        <w:spacing w:before="40" w:after="80" w:line="276" w:lineRule="auto"/>
      </w:pPr>
      <w:r>
        <w:rPr>
          <w:color w:val="334155"/>
          <w:sz w:val="19"/>
        </w:rPr>
        <w:t>4.5.2</w:t>
      </w:r>
    </w:p>
    <w:p>
      <w:pPr>
        <w:spacing w:before="40" w:after="80" w:line="276" w:lineRule="auto"/>
      </w:pPr>
      <w:r>
        <w:rPr>
          <w:color w:val="334155"/>
          <w:sz w:val="19"/>
        </w:rPr>
        <w:t>Flood Emergency Response Classification ............................................................. 46</w:t>
      </w:r>
    </w:p>
    <w:p>
      <w:pPr>
        <w:spacing w:before="40" w:after="80" w:line="276" w:lineRule="auto"/>
      </w:pPr>
      <w:r>
        <w:rPr>
          <w:color w:val="334155"/>
          <w:sz w:val="19"/>
        </w:rPr>
        <w:t>4.5.3</w:t>
      </w:r>
    </w:p>
    <w:p>
      <w:pPr>
        <w:spacing w:before="40" w:after="80" w:line="276" w:lineRule="auto"/>
      </w:pPr>
      <w:r>
        <w:rPr>
          <w:color w:val="334155"/>
          <w:sz w:val="19"/>
        </w:rPr>
        <w:t>Flood Sensitive Transport Links .............................................................................. 48</w:t>
      </w:r>
    </w:p>
    <w:p>
      <w:pPr>
        <w:spacing w:before="40" w:after="80" w:line="276" w:lineRule="auto"/>
      </w:pPr>
      <w:r>
        <w:rPr>
          <w:color w:val="334155"/>
          <w:sz w:val="19"/>
        </w:rPr>
        <w:t>5 Drainage Feasibility and Existing Constraints ....................................................................................... 49</w:t>
      </w:r>
    </w:p>
    <w:p>
      <w:pPr>
        <w:spacing w:before="40" w:after="80" w:line="276" w:lineRule="auto"/>
      </w:pPr>
      <w:r>
        <w:rPr>
          <w:color w:val="334155"/>
          <w:sz w:val="19"/>
        </w:rPr>
        <w:t>5.1</w:t>
      </w:r>
    </w:p>
    <w:p>
      <w:pPr>
        <w:spacing w:before="40" w:after="80" w:line="276" w:lineRule="auto"/>
      </w:pPr>
      <w:r>
        <w:rPr>
          <w:color w:val="334155"/>
          <w:sz w:val="19"/>
        </w:rPr>
        <w:t>Drainage Constraints and Development Implications ............................................................ 49</w:t>
      </w:r>
    </w:p>
    <w:p>
      <w:pPr>
        <w:spacing w:before="40" w:after="80" w:line="276" w:lineRule="auto"/>
      </w:pPr>
      <w:r>
        <w:rPr>
          <w:color w:val="334155"/>
          <w:sz w:val="19"/>
        </w:rPr>
        <w:t>`</w:t>
      </w:r>
    </w:p>
    <w:p>
      <w:pPr>
        <w:pStyle w:val="Heading3"/>
        <w:keepNext/>
        <w:spacing w:before="160" w:after="40"/>
      </w:pPr>
      <w:r>
        <w:rPr>
          <w:b/>
          <w:color w:val="334155"/>
        </w:rPr>
        <w:t>Flooding Report Page 7</w:t>
      </w:r>
    </w:p>
    <w:p>
      <w:pPr>
        <w:spacing w:before="40" w:after="80" w:line="276" w:lineRule="auto"/>
      </w:pPr>
      <w:r>
        <w:rPr>
          <w:color w:val="334155"/>
          <w:sz w:val="19"/>
        </w:rPr>
        <w:t>`</w:t>
      </w:r>
    </w:p>
    <w:p>
      <w:pPr>
        <w:spacing w:before="40" w:after="80" w:line="276" w:lineRule="auto"/>
      </w:pPr>
      <w:r>
        <w:rPr>
          <w:color w:val="334155"/>
          <w:sz w:val="19"/>
        </w:rPr>
        <w:t>5.2</w:t>
      </w:r>
    </w:p>
    <w:p>
      <w:pPr>
        <w:spacing w:before="40" w:after="80" w:line="276" w:lineRule="auto"/>
      </w:pPr>
      <w:r>
        <w:rPr>
          <w:color w:val="334155"/>
          <w:sz w:val="19"/>
        </w:rPr>
        <w:t>Overland Flow Paths and Outlet Points ................................................................................. 50</w:t>
      </w:r>
    </w:p>
    <w:p>
      <w:pPr>
        <w:spacing w:before="40" w:after="80" w:line="276" w:lineRule="auto"/>
      </w:pPr>
      <w:r>
        <w:rPr>
          <w:color w:val="334155"/>
          <w:sz w:val="19"/>
        </w:rPr>
        <w:t>5.3</w:t>
      </w:r>
    </w:p>
    <w:p>
      <w:pPr>
        <w:spacing w:before="40" w:after="80" w:line="276" w:lineRule="auto"/>
      </w:pPr>
      <w:r>
        <w:rPr>
          <w:color w:val="334155"/>
          <w:sz w:val="19"/>
        </w:rPr>
        <w:t>Groundwater, ASS and Salinity Considerations ..................................................................... 51</w:t>
      </w:r>
    </w:p>
    <w:p>
      <w:pPr>
        <w:spacing w:before="40" w:after="80" w:line="276" w:lineRule="auto"/>
      </w:pPr>
      <w:r>
        <w:rPr>
          <w:color w:val="334155"/>
          <w:sz w:val="19"/>
        </w:rPr>
        <w:t>6 Water Cycle Management Assessment .................................................................................................. 53</w:t>
      </w:r>
    </w:p>
    <w:p>
      <w:pPr>
        <w:spacing w:before="40" w:after="80" w:line="276" w:lineRule="auto"/>
      </w:pPr>
      <w:r>
        <w:rPr>
          <w:color w:val="334155"/>
          <w:sz w:val="19"/>
        </w:rPr>
        <w:t>6.1</w:t>
      </w:r>
    </w:p>
    <w:p>
      <w:pPr>
        <w:spacing w:before="40" w:after="80" w:line="276" w:lineRule="auto"/>
      </w:pPr>
      <w:r>
        <w:rPr>
          <w:color w:val="334155"/>
          <w:sz w:val="19"/>
        </w:rPr>
        <w:t>Integrated Water Cycle Management Pathway ...................................................................... 53</w:t>
      </w:r>
    </w:p>
    <w:p>
      <w:pPr>
        <w:spacing w:before="40" w:after="80" w:line="276" w:lineRule="auto"/>
      </w:pPr>
      <w:r>
        <w:rPr>
          <w:color w:val="334155"/>
          <w:sz w:val="19"/>
        </w:rPr>
        <w:t>6.2</w:t>
      </w:r>
    </w:p>
    <w:p>
      <w:pPr>
        <w:spacing w:before="40" w:after="80" w:line="276" w:lineRule="auto"/>
      </w:pPr>
      <w:r>
        <w:rPr>
          <w:color w:val="334155"/>
          <w:sz w:val="19"/>
        </w:rPr>
        <w:t>Water Cycle Management Opportunities ............................................................................... 53</w:t>
      </w:r>
    </w:p>
    <w:p>
      <w:pPr>
        <w:spacing w:before="40" w:after="80" w:line="276" w:lineRule="auto"/>
      </w:pPr>
      <w:r>
        <w:rPr>
          <w:color w:val="334155"/>
          <w:sz w:val="19"/>
        </w:rPr>
        <w:t>6.2.1</w:t>
      </w:r>
    </w:p>
    <w:p>
      <w:pPr>
        <w:spacing w:before="40" w:after="80" w:line="276" w:lineRule="auto"/>
      </w:pPr>
      <w:r>
        <w:rPr>
          <w:color w:val="334155"/>
          <w:sz w:val="19"/>
        </w:rPr>
        <w:t>Existing Infrastructure .............................................................................................. 53</w:t>
      </w:r>
    </w:p>
    <w:p>
      <w:pPr>
        <w:spacing w:before="40" w:after="80" w:line="276" w:lineRule="auto"/>
      </w:pPr>
      <w:r>
        <w:rPr>
          <w:color w:val="334155"/>
          <w:sz w:val="19"/>
        </w:rPr>
        <w:t>6.2.2</w:t>
      </w:r>
    </w:p>
    <w:p>
      <w:pPr>
        <w:spacing w:before="40" w:after="80" w:line="276" w:lineRule="auto"/>
      </w:pPr>
      <w:r>
        <w:rPr>
          <w:color w:val="334155"/>
          <w:sz w:val="19"/>
        </w:rPr>
        <w:t>Harvesting and Reuse ............................................................................................. 54</w:t>
      </w:r>
    </w:p>
    <w:p>
      <w:pPr>
        <w:spacing w:before="40" w:after="80" w:line="276" w:lineRule="auto"/>
      </w:pPr>
      <w:r>
        <w:rPr>
          <w:color w:val="334155"/>
          <w:sz w:val="19"/>
        </w:rPr>
        <w:t>6.2.3</w:t>
      </w:r>
    </w:p>
    <w:p>
      <w:pPr>
        <w:spacing w:before="40" w:after="80" w:line="276" w:lineRule="auto"/>
      </w:pPr>
      <w:r>
        <w:rPr>
          <w:color w:val="334155"/>
          <w:sz w:val="19"/>
        </w:rPr>
        <w:t>Treatment ................................................................................................................ 54</w:t>
      </w:r>
    </w:p>
    <w:p>
      <w:pPr>
        <w:spacing w:before="40" w:after="80" w:line="276" w:lineRule="auto"/>
      </w:pPr>
      <w:r>
        <w:rPr>
          <w:color w:val="334155"/>
          <w:sz w:val="19"/>
        </w:rPr>
        <w:t>6.2.4</w:t>
      </w:r>
    </w:p>
    <w:p>
      <w:pPr>
        <w:spacing w:before="40" w:after="80" w:line="276" w:lineRule="auto"/>
      </w:pPr>
      <w:r>
        <w:rPr>
          <w:color w:val="334155"/>
          <w:sz w:val="19"/>
        </w:rPr>
        <w:t>Groundwater ............................................................................................................ 54</w:t>
      </w:r>
    </w:p>
    <w:p>
      <w:pPr>
        <w:spacing w:before="40" w:after="80" w:line="276" w:lineRule="auto"/>
      </w:pPr>
      <w:r>
        <w:rPr>
          <w:color w:val="334155"/>
          <w:sz w:val="19"/>
        </w:rPr>
        <w:t>7 Structure Plan ............................................................................................................................................ 55</w:t>
      </w:r>
    </w:p>
    <w:p>
      <w:pPr>
        <w:spacing w:before="40" w:after="80" w:line="276" w:lineRule="auto"/>
      </w:pPr>
      <w:r>
        <w:rPr>
          <w:color w:val="334155"/>
          <w:sz w:val="19"/>
        </w:rPr>
        <w:t>7.1</w:t>
      </w:r>
    </w:p>
    <w:p>
      <w:pPr>
        <w:spacing w:before="40" w:after="80" w:line="276" w:lineRule="auto"/>
      </w:pPr>
      <w:r>
        <w:rPr>
          <w:color w:val="334155"/>
          <w:sz w:val="19"/>
        </w:rPr>
        <w:t>Proposed Structure Plan ........................................................................................................ 55</w:t>
      </w:r>
    </w:p>
    <w:p>
      <w:pPr>
        <w:spacing w:before="40" w:after="80" w:line="276" w:lineRule="auto"/>
      </w:pPr>
      <w:r>
        <w:rPr>
          <w:color w:val="334155"/>
          <w:sz w:val="19"/>
        </w:rPr>
        <w:t>8 Flooding and Water Cycle Management Strategy .................................................................................... 3</w:t>
      </w:r>
    </w:p>
    <w:p>
      <w:pPr>
        <w:spacing w:before="40" w:after="80" w:line="276" w:lineRule="auto"/>
      </w:pPr>
      <w:r>
        <w:rPr>
          <w:color w:val="334155"/>
          <w:sz w:val="19"/>
        </w:rPr>
        <w:t>8.1</w:t>
      </w:r>
    </w:p>
    <w:p>
      <w:pPr>
        <w:spacing w:before="40" w:after="80" w:line="276" w:lineRule="auto"/>
      </w:pPr>
      <w:r>
        <w:rPr>
          <w:color w:val="334155"/>
          <w:sz w:val="19"/>
        </w:rPr>
        <w:t>Flood Management Strategy .................................................................................................... 3</w:t>
      </w:r>
    </w:p>
    <w:p>
      <w:pPr>
        <w:spacing w:before="40" w:after="80" w:line="276" w:lineRule="auto"/>
      </w:pPr>
      <w:r>
        <w:rPr>
          <w:color w:val="334155"/>
          <w:sz w:val="19"/>
        </w:rPr>
        <w:t>8.1.1</w:t>
      </w:r>
    </w:p>
    <w:p>
      <w:pPr>
        <w:spacing w:before="40" w:after="80" w:line="276" w:lineRule="auto"/>
      </w:pPr>
      <w:r>
        <w:rPr>
          <w:color w:val="334155"/>
          <w:sz w:val="19"/>
        </w:rPr>
        <w:t>Regional Detention Basins ........................................................................................ 3</w:t>
      </w:r>
    </w:p>
    <w:p>
      <w:pPr>
        <w:spacing w:before="40" w:after="80" w:line="276" w:lineRule="auto"/>
      </w:pPr>
      <w:r>
        <w:rPr>
          <w:color w:val="334155"/>
          <w:sz w:val="19"/>
        </w:rPr>
        <w:t>8.1.2</w:t>
      </w:r>
    </w:p>
    <w:p>
      <w:pPr>
        <w:spacing w:before="40" w:after="80" w:line="276" w:lineRule="auto"/>
      </w:pPr>
      <w:r>
        <w:rPr>
          <w:color w:val="334155"/>
          <w:sz w:val="19"/>
        </w:rPr>
        <w:t>Floodway Corridors ................................................................................................... 3</w:t>
      </w:r>
    </w:p>
    <w:p>
      <w:pPr>
        <w:spacing w:before="40" w:after="80" w:line="276" w:lineRule="auto"/>
      </w:pPr>
      <w:r>
        <w:rPr>
          <w:color w:val="334155"/>
          <w:sz w:val="19"/>
        </w:rPr>
        <w:t>8.1.3</w:t>
      </w:r>
    </w:p>
    <w:p>
      <w:pPr>
        <w:spacing w:before="40" w:after="80" w:line="276" w:lineRule="auto"/>
      </w:pPr>
      <w:r>
        <w:rPr>
          <w:color w:val="334155"/>
          <w:sz w:val="19"/>
        </w:rPr>
        <w:t>Bulk Filling and Flood Storage Offsets ...................................................................... 4</w:t>
      </w:r>
    </w:p>
    <w:p>
      <w:pPr>
        <w:spacing w:before="40" w:after="80" w:line="276" w:lineRule="auto"/>
      </w:pPr>
      <w:r>
        <w:rPr>
          <w:color w:val="334155"/>
          <w:sz w:val="19"/>
        </w:rPr>
        <w:t>8.1.4</w:t>
      </w:r>
    </w:p>
    <w:p>
      <w:pPr>
        <w:spacing w:before="40" w:after="80" w:line="276" w:lineRule="auto"/>
      </w:pPr>
      <w:r>
        <w:rPr>
          <w:color w:val="334155"/>
          <w:sz w:val="19"/>
        </w:rPr>
        <w:t>Non-Structural Management Measures .................................................................... 4</w:t>
      </w:r>
    </w:p>
    <w:p>
      <w:pPr>
        <w:spacing w:before="40" w:after="80" w:line="276" w:lineRule="auto"/>
      </w:pPr>
      <w:r>
        <w:rPr>
          <w:color w:val="334155"/>
          <w:sz w:val="19"/>
        </w:rPr>
        <w:t>8.2</w:t>
      </w:r>
    </w:p>
    <w:p>
      <w:pPr>
        <w:spacing w:before="40" w:after="80" w:line="276" w:lineRule="auto"/>
      </w:pPr>
      <w:r>
        <w:rPr>
          <w:color w:val="334155"/>
          <w:sz w:val="19"/>
        </w:rPr>
        <w:t>Stormwater Management Strategy ........................................................................................... 5</w:t>
      </w:r>
    </w:p>
    <w:p>
      <w:pPr>
        <w:spacing w:before="40" w:after="80" w:line="276" w:lineRule="auto"/>
      </w:pPr>
      <w:r>
        <w:rPr>
          <w:color w:val="334155"/>
          <w:sz w:val="19"/>
        </w:rPr>
        <w:t>8.2.1</w:t>
      </w:r>
    </w:p>
    <w:p>
      <w:pPr>
        <w:spacing w:before="40" w:after="80" w:line="276" w:lineRule="auto"/>
      </w:pPr>
      <w:r>
        <w:rPr>
          <w:color w:val="334155"/>
          <w:sz w:val="19"/>
        </w:rPr>
        <w:t>Stormwater Detention ................................................................................................ 5</w:t>
      </w:r>
    </w:p>
    <w:p>
      <w:pPr>
        <w:spacing w:before="40" w:after="80" w:line="276" w:lineRule="auto"/>
      </w:pPr>
      <w:r>
        <w:rPr>
          <w:color w:val="334155"/>
          <w:sz w:val="19"/>
        </w:rPr>
        <w:t>8.2.2</w:t>
      </w:r>
    </w:p>
    <w:p>
      <w:pPr>
        <w:spacing w:before="40" w:after="80" w:line="276" w:lineRule="auto"/>
      </w:pPr>
      <w:r>
        <w:rPr>
          <w:color w:val="334155"/>
          <w:sz w:val="19"/>
        </w:rPr>
        <w:t>Stormwater Conveyance ........................................................................................... 6</w:t>
      </w:r>
    </w:p>
    <w:p>
      <w:pPr>
        <w:spacing w:before="40" w:after="80" w:line="276" w:lineRule="auto"/>
      </w:pPr>
      <w:r>
        <w:rPr>
          <w:color w:val="334155"/>
          <w:sz w:val="19"/>
        </w:rPr>
        <w:t>8.2.3</w:t>
      </w:r>
    </w:p>
    <w:p>
      <w:pPr>
        <w:spacing w:before="40" w:after="80" w:line="276" w:lineRule="auto"/>
      </w:pPr>
      <w:r>
        <w:rPr>
          <w:color w:val="334155"/>
          <w:sz w:val="19"/>
        </w:rPr>
        <w:t>Natural Water Systems ............................................................................................. 7</w:t>
      </w:r>
    </w:p>
    <w:p>
      <w:pPr>
        <w:spacing w:before="40" w:after="80" w:line="276" w:lineRule="auto"/>
      </w:pPr>
      <w:r>
        <w:rPr>
          <w:color w:val="334155"/>
          <w:sz w:val="19"/>
        </w:rPr>
        <w:t>8.3</w:t>
      </w:r>
    </w:p>
    <w:p>
      <w:pPr>
        <w:spacing w:before="40" w:after="80" w:line="276" w:lineRule="auto"/>
      </w:pPr>
      <w:r>
        <w:rPr>
          <w:color w:val="334155"/>
          <w:sz w:val="19"/>
        </w:rPr>
        <w:t>Water Quality Management Strategy ....................................................................................... 7</w:t>
      </w:r>
    </w:p>
    <w:p>
      <w:pPr>
        <w:spacing w:before="40" w:after="80" w:line="276" w:lineRule="auto"/>
      </w:pPr>
      <w:r>
        <w:rPr>
          <w:color w:val="334155"/>
          <w:sz w:val="19"/>
        </w:rPr>
        <w:t>8.3.1</w:t>
      </w:r>
    </w:p>
    <w:p>
      <w:pPr>
        <w:spacing w:before="40" w:after="80" w:line="276" w:lineRule="auto"/>
      </w:pPr>
      <w:r>
        <w:rPr>
          <w:color w:val="334155"/>
          <w:sz w:val="19"/>
        </w:rPr>
        <w:t>Water Quality Targets ................................................................................................ 7</w:t>
      </w:r>
    </w:p>
    <w:p>
      <w:pPr>
        <w:spacing w:before="40" w:after="80" w:line="276" w:lineRule="auto"/>
      </w:pPr>
      <w:r>
        <w:rPr>
          <w:color w:val="334155"/>
          <w:sz w:val="19"/>
        </w:rPr>
        <w:t>8.3.2</w:t>
      </w:r>
    </w:p>
    <w:p>
      <w:pPr>
        <w:spacing w:before="40" w:after="80" w:line="276" w:lineRule="auto"/>
      </w:pPr>
      <w:r>
        <w:rPr>
          <w:color w:val="334155"/>
          <w:sz w:val="19"/>
        </w:rPr>
        <w:t>Water Sensitive Urban Design Treatment Train ....................................................... 9</w:t>
      </w:r>
    </w:p>
    <w:p>
      <w:pPr>
        <w:spacing w:before="40" w:after="80" w:line="276" w:lineRule="auto"/>
      </w:pPr>
      <w:r>
        <w:rPr>
          <w:color w:val="334155"/>
          <w:sz w:val="19"/>
        </w:rPr>
        <w:t>8.3.3</w:t>
      </w:r>
    </w:p>
    <w:p>
      <w:pPr>
        <w:spacing w:before="40" w:after="80" w:line="276" w:lineRule="auto"/>
      </w:pPr>
      <w:r>
        <w:rPr>
          <w:color w:val="334155"/>
          <w:sz w:val="19"/>
        </w:rPr>
        <w:t>On-lot Treatment ..................................................................................................... 10</w:t>
      </w:r>
    </w:p>
    <w:p>
      <w:pPr>
        <w:spacing w:before="40" w:after="80" w:line="276" w:lineRule="auto"/>
      </w:pPr>
      <w:r>
        <w:rPr>
          <w:color w:val="334155"/>
          <w:sz w:val="19"/>
        </w:rPr>
        <w:t>8.3.4</w:t>
      </w:r>
    </w:p>
    <w:p>
      <w:pPr>
        <w:spacing w:before="40" w:after="80" w:line="276" w:lineRule="auto"/>
      </w:pPr>
      <w:r>
        <w:rPr>
          <w:color w:val="334155"/>
          <w:sz w:val="19"/>
        </w:rPr>
        <w:t>Road Treatment ....................................................................................................... 10</w:t>
      </w:r>
    </w:p>
    <w:p>
      <w:pPr>
        <w:spacing w:before="40" w:after="80" w:line="276" w:lineRule="auto"/>
      </w:pPr>
      <w:r>
        <w:rPr>
          <w:color w:val="334155"/>
          <w:sz w:val="19"/>
        </w:rPr>
        <w:t>8.3.5</w:t>
      </w:r>
    </w:p>
    <w:p>
      <w:pPr>
        <w:spacing w:before="40" w:after="80" w:line="276" w:lineRule="auto"/>
      </w:pPr>
      <w:r>
        <w:rPr>
          <w:color w:val="334155"/>
          <w:sz w:val="19"/>
        </w:rPr>
        <w:t>End of Pipe Treatment ............................................................................................ 11</w:t>
      </w:r>
    </w:p>
    <w:p>
      <w:pPr>
        <w:spacing w:before="40" w:after="80" w:line="276" w:lineRule="auto"/>
      </w:pPr>
      <w:r>
        <w:rPr>
          <w:color w:val="334155"/>
          <w:sz w:val="19"/>
        </w:rPr>
        <w:t>9 Integrated Spatial Planning Implications ................................................................................................ 12</w:t>
      </w:r>
    </w:p>
    <w:p>
      <w:pPr>
        <w:spacing w:before="40" w:after="80" w:line="276" w:lineRule="auto"/>
      </w:pPr>
      <w:r>
        <w:rPr>
          <w:color w:val="334155"/>
          <w:sz w:val="19"/>
        </w:rPr>
        <w:t>9.1</w:t>
      </w:r>
    </w:p>
    <w:p>
      <w:pPr>
        <w:spacing w:before="40" w:after="80" w:line="276" w:lineRule="auto"/>
      </w:pPr>
      <w:r>
        <w:rPr>
          <w:color w:val="334155"/>
          <w:sz w:val="19"/>
        </w:rPr>
        <w:t>Flooding Constraint Classification Framework ....................................................................... 12</w:t>
      </w:r>
    </w:p>
    <w:p>
      <w:pPr>
        <w:spacing w:before="40" w:after="80" w:line="276" w:lineRule="auto"/>
      </w:pPr>
      <w:r>
        <w:rPr>
          <w:color w:val="334155"/>
          <w:sz w:val="19"/>
        </w:rPr>
        <w:t>9.1.1</w:t>
      </w:r>
    </w:p>
    <w:p>
      <w:pPr>
        <w:spacing w:before="40" w:after="80" w:line="276" w:lineRule="auto"/>
      </w:pPr>
      <w:r>
        <w:rPr>
          <w:color w:val="334155"/>
          <w:sz w:val="19"/>
        </w:rPr>
        <w:t>High Flood Constraint Areas ................................................................................... 13</w:t>
      </w:r>
    </w:p>
    <w:p>
      <w:pPr>
        <w:spacing w:before="40" w:after="80" w:line="276" w:lineRule="auto"/>
      </w:pPr>
      <w:r>
        <w:rPr>
          <w:color w:val="334155"/>
          <w:sz w:val="19"/>
        </w:rPr>
        <w:t>9.1.2</w:t>
      </w:r>
    </w:p>
    <w:p>
      <w:pPr>
        <w:spacing w:before="40" w:after="80" w:line="276" w:lineRule="auto"/>
      </w:pPr>
      <w:r>
        <w:rPr>
          <w:color w:val="334155"/>
          <w:sz w:val="19"/>
        </w:rPr>
        <w:t>Moderate Flood Constraint Areas (Further Investigation Areas) ............................ 14</w:t>
      </w:r>
    </w:p>
    <w:p>
      <w:pPr>
        <w:spacing w:before="40" w:after="80" w:line="276" w:lineRule="auto"/>
      </w:pPr>
      <w:r>
        <w:rPr>
          <w:color w:val="334155"/>
          <w:sz w:val="19"/>
        </w:rPr>
        <w:t>9.1.3</w:t>
      </w:r>
    </w:p>
    <w:p>
      <w:pPr>
        <w:spacing w:before="40" w:after="80" w:line="276" w:lineRule="auto"/>
      </w:pPr>
      <w:r>
        <w:rPr>
          <w:color w:val="334155"/>
          <w:sz w:val="19"/>
        </w:rPr>
        <w:t>Lower Constraint Areas ........................................................................................... 14</w:t>
      </w:r>
    </w:p>
    <w:p>
      <w:pPr>
        <w:spacing w:before="40" w:after="80" w:line="276" w:lineRule="auto"/>
      </w:pPr>
      <w:r>
        <w:rPr>
          <w:color w:val="334155"/>
          <w:sz w:val="19"/>
        </w:rPr>
        <w:t>9.1.4</w:t>
      </w:r>
    </w:p>
    <w:p>
      <w:pPr>
        <w:spacing w:before="40" w:after="80" w:line="276" w:lineRule="auto"/>
      </w:pPr>
      <w:r>
        <w:rPr>
          <w:color w:val="334155"/>
          <w:sz w:val="19"/>
        </w:rPr>
        <w:t>Master Plan Implications ......................................................................................... 14</w:t>
      </w:r>
    </w:p>
    <w:p>
      <w:pPr>
        <w:spacing w:before="40" w:after="80" w:line="276" w:lineRule="auto"/>
      </w:pPr>
      <w:r>
        <w:rPr>
          <w:color w:val="334155"/>
          <w:sz w:val="19"/>
        </w:rPr>
        <w:t>9.2</w:t>
      </w:r>
    </w:p>
    <w:p>
      <w:pPr>
        <w:spacing w:before="40" w:after="80" w:line="276" w:lineRule="auto"/>
      </w:pPr>
      <w:r>
        <w:rPr>
          <w:color w:val="334155"/>
          <w:sz w:val="19"/>
        </w:rPr>
        <w:t>Integrated Water Management Strategy ................................................................................ 15</w:t>
      </w:r>
    </w:p>
    <w:p>
      <w:pPr>
        <w:spacing w:before="40" w:after="80" w:line="276" w:lineRule="auto"/>
      </w:pPr>
      <w:r>
        <w:rPr>
          <w:color w:val="334155"/>
          <w:sz w:val="19"/>
        </w:rPr>
        <w:t>9.2.1</w:t>
      </w:r>
    </w:p>
    <w:p>
      <w:pPr>
        <w:spacing w:before="40" w:after="80" w:line="276" w:lineRule="auto"/>
      </w:pPr>
      <w:r>
        <w:rPr>
          <w:color w:val="334155"/>
          <w:sz w:val="19"/>
        </w:rPr>
        <w:t>Impervious Assumption ........................................................................................... 15</w:t>
      </w:r>
    </w:p>
    <w:p>
      <w:pPr>
        <w:spacing w:before="40" w:after="80" w:line="276" w:lineRule="auto"/>
      </w:pPr>
      <w:r>
        <w:rPr>
          <w:color w:val="334155"/>
          <w:sz w:val="19"/>
        </w:rPr>
        <w:t>9.2.2</w:t>
      </w:r>
    </w:p>
    <w:p>
      <w:pPr>
        <w:spacing w:before="40" w:after="80" w:line="276" w:lineRule="auto"/>
      </w:pPr>
      <w:r>
        <w:rPr>
          <w:color w:val="334155"/>
          <w:sz w:val="19"/>
        </w:rPr>
        <w:t>Proposed Strategy ................................................................................................... 16</w:t>
      </w:r>
    </w:p>
    <w:p>
      <w:pPr>
        <w:spacing w:before="40" w:after="80" w:line="276" w:lineRule="auto"/>
      </w:pPr>
      <w:r>
        <w:rPr>
          <w:color w:val="334155"/>
          <w:sz w:val="19"/>
        </w:rPr>
        <w:t>9.3</w:t>
      </w:r>
    </w:p>
    <w:p>
      <w:pPr>
        <w:spacing w:before="40" w:after="80" w:line="276" w:lineRule="auto"/>
      </w:pPr>
      <w:r>
        <w:rPr>
          <w:color w:val="334155"/>
          <w:sz w:val="19"/>
        </w:rPr>
        <w:t>Interface With Other Disciplines ............................................................................................. 18</w:t>
      </w:r>
    </w:p>
    <w:p>
      <w:pPr>
        <w:spacing w:before="40" w:after="80" w:line="276" w:lineRule="auto"/>
      </w:pPr>
      <w:r>
        <w:rPr>
          <w:color w:val="334155"/>
          <w:sz w:val="19"/>
        </w:rPr>
        <w:t>10 Master Plan Objectives and Performance Criteria ................................................................................. 19</w:t>
      </w:r>
    </w:p>
    <w:p>
      <w:pPr>
        <w:spacing w:before="40" w:after="80" w:line="276" w:lineRule="auto"/>
      </w:pPr>
      <w:r>
        <w:rPr>
          <w:color w:val="334155"/>
          <w:sz w:val="19"/>
        </w:rPr>
        <w:t>10.1</w:t>
      </w:r>
    </w:p>
    <w:p>
      <w:pPr>
        <w:spacing w:before="40" w:after="80" w:line="276" w:lineRule="auto"/>
      </w:pPr>
      <w:r>
        <w:rPr>
          <w:color w:val="334155"/>
          <w:sz w:val="19"/>
        </w:rPr>
        <w:t>Proposed Objectives .............................................................................................................. 19</w:t>
      </w:r>
    </w:p>
    <w:p>
      <w:pPr>
        <w:spacing w:before="40" w:after="80" w:line="276" w:lineRule="auto"/>
      </w:pPr>
      <w:r>
        <w:rPr>
          <w:color w:val="334155"/>
          <w:sz w:val="19"/>
        </w:rPr>
        <w:t>10.2</w:t>
      </w:r>
    </w:p>
    <w:p>
      <w:pPr>
        <w:spacing w:before="40" w:after="80" w:line="276" w:lineRule="auto"/>
      </w:pPr>
      <w:r>
        <w:rPr>
          <w:color w:val="334155"/>
          <w:sz w:val="19"/>
        </w:rPr>
        <w:t>Proposed Performance Criteria .............................................................................................. 19</w:t>
      </w:r>
    </w:p>
    <w:p>
      <w:pPr>
        <w:spacing w:before="40" w:after="80" w:line="276" w:lineRule="auto"/>
      </w:pPr>
      <w:r>
        <w:rPr>
          <w:color w:val="334155"/>
          <w:sz w:val="19"/>
        </w:rPr>
        <w:t>11 Staging Triggers and Later-Stage Investigations .................................................................................. 20</w:t>
      </w:r>
    </w:p>
    <w:p>
      <w:pPr>
        <w:spacing w:before="40" w:after="80" w:line="276" w:lineRule="auto"/>
      </w:pPr>
      <w:r>
        <w:rPr>
          <w:color w:val="334155"/>
          <w:sz w:val="19"/>
        </w:rPr>
        <w:t>11.1</w:t>
      </w:r>
    </w:p>
    <w:p>
      <w:pPr>
        <w:spacing w:before="40" w:after="80" w:line="276" w:lineRule="auto"/>
      </w:pPr>
      <w:r>
        <w:rPr>
          <w:color w:val="334155"/>
          <w:sz w:val="19"/>
        </w:rPr>
        <w:t>Triggers Table ........................................................................................................................ 20</w:t>
      </w:r>
    </w:p>
    <w:p>
      <w:pPr>
        <w:spacing w:before="40" w:after="80" w:line="276" w:lineRule="auto"/>
      </w:pPr>
      <w:r>
        <w:rPr>
          <w:color w:val="334155"/>
          <w:sz w:val="19"/>
        </w:rPr>
        <w:t>11.2</w:t>
      </w:r>
    </w:p>
    <w:p>
      <w:pPr>
        <w:spacing w:before="40" w:after="80" w:line="276" w:lineRule="auto"/>
      </w:pPr>
      <w:r>
        <w:rPr>
          <w:color w:val="334155"/>
          <w:sz w:val="19"/>
        </w:rPr>
        <w:t>Exclusions and Deferred Items .............................................................................................. 22</w:t>
      </w:r>
    </w:p>
    <w:p>
      <w:pPr>
        <w:spacing w:before="40" w:after="80" w:line="276" w:lineRule="auto"/>
      </w:pPr>
      <w:r>
        <w:rPr>
          <w:color w:val="334155"/>
          <w:sz w:val="19"/>
        </w:rPr>
        <w:t>12 Conclusions and Recommendations ...................................................................................................... 23</w:t>
      </w:r>
    </w:p>
    <w:p>
      <w:pPr>
        <w:spacing w:before="40" w:after="80" w:line="276" w:lineRule="auto"/>
      </w:pPr>
      <w:r>
        <w:rPr>
          <w:color w:val="334155"/>
          <w:sz w:val="19"/>
        </w:rPr>
        <w:t>12.1</w:t>
      </w:r>
    </w:p>
    <w:p>
      <w:pPr>
        <w:spacing w:before="40" w:after="80" w:line="276" w:lineRule="auto"/>
      </w:pPr>
      <w:r>
        <w:rPr>
          <w:color w:val="334155"/>
          <w:sz w:val="19"/>
        </w:rPr>
        <w:t>Summary of Findings.............................................................................................................. 23</w:t>
      </w:r>
    </w:p>
    <w:p>
      <w:pPr>
        <w:spacing w:before="40" w:after="80" w:line="276" w:lineRule="auto"/>
      </w:pPr>
      <w:r>
        <w:rPr>
          <w:color w:val="334155"/>
          <w:sz w:val="19"/>
        </w:rPr>
        <w:t>12.2</w:t>
      </w:r>
    </w:p>
    <w:p>
      <w:pPr>
        <w:spacing w:before="40" w:after="80" w:line="276" w:lineRule="auto"/>
      </w:pPr>
      <w:r>
        <w:rPr>
          <w:color w:val="334155"/>
          <w:sz w:val="19"/>
        </w:rPr>
        <w:t>Recommendations for the Master Plan .................................................................................. 24</w:t>
      </w:r>
    </w:p>
    <w:p>
      <w:pPr>
        <w:spacing w:before="40" w:after="80" w:line="276" w:lineRule="auto"/>
      </w:pPr>
      <w:r>
        <w:rPr>
          <w:color w:val="334155"/>
          <w:sz w:val="19"/>
        </w:rPr>
        <w:t>`</w:t>
      </w:r>
    </w:p>
    <w:p>
      <w:pPr>
        <w:pStyle w:val="Heading3"/>
        <w:keepNext/>
        <w:spacing w:before="160" w:after="40"/>
      </w:pPr>
      <w:r>
        <w:rPr>
          <w:b/>
          <w:color w:val="334155"/>
        </w:rPr>
        <w:t>Flooding Report Page 8</w:t>
      </w:r>
    </w:p>
    <w:p>
      <w:pPr>
        <w:spacing w:before="40" w:after="80" w:line="276" w:lineRule="auto"/>
      </w:pPr>
      <w:r>
        <w:rPr>
          <w:color w:val="334155"/>
          <w:sz w:val="19"/>
        </w:rPr>
        <w:t>`</w:t>
      </w:r>
    </w:p>
    <w:p>
      <w:pPr>
        <w:spacing w:before="40" w:after="80" w:line="276" w:lineRule="auto"/>
      </w:pPr>
      <w:r>
        <w:rPr>
          <w:color w:val="334155"/>
          <w:sz w:val="19"/>
        </w:rPr>
        <w:t>13 References ................................................................................................................................................. 25</w:t>
      </w:r>
    </w:p>
    <w:p>
      <w:pPr>
        <w:spacing w:before="40" w:after="80" w:line="276" w:lineRule="auto"/>
      </w:pPr>
      <w:r>
        <w:rPr>
          <w:color w:val="334155"/>
          <w:sz w:val="19"/>
        </w:rPr>
        <w:t>Figures</w:t>
      </w:r>
    </w:p>
    <w:p>
      <w:pPr>
        <w:spacing w:before="40" w:after="80" w:line="276" w:lineRule="auto"/>
      </w:pPr>
      <w:r>
        <w:rPr>
          <w:color w:val="334155"/>
          <w:sz w:val="19"/>
        </w:rPr>
        <w:t>Figure 1-1 Regional context and connectivity from GHD Macquarie Coal Complex Pilot Project Master Plan</w:t>
      </w:r>
    </w:p>
    <w:p>
      <w:pPr>
        <w:spacing w:before="40" w:after="80" w:line="276" w:lineRule="auto"/>
      </w:pPr>
      <w:r>
        <w:rPr>
          <w:color w:val="334155"/>
          <w:sz w:val="19"/>
        </w:rPr>
        <w:t>2026</w:t>
      </w:r>
    </w:p>
    <w:p>
      <w:pPr>
        <w:spacing w:before="40" w:after="80" w:line="276" w:lineRule="auto"/>
      </w:pPr>
      <w:r>
        <w:rPr>
          <w:color w:val="334155"/>
          <w:sz w:val="19"/>
        </w:rPr>
        <w:t>Figure 3-1 Risk of impact to Lake Macquarie Estuary</w:t>
      </w:r>
    </w:p>
    <w:p>
      <w:pPr>
        <w:spacing w:before="40" w:after="80" w:line="276" w:lineRule="auto"/>
      </w:pPr>
      <w:r>
        <w:rPr>
          <w:color w:val="334155"/>
          <w:sz w:val="19"/>
        </w:rPr>
        <w:t>Figure 3-2 NSW Water Quality Objectives – Lake Macquarie and Tuggerah Lakes</w:t>
      </w:r>
    </w:p>
    <w:p>
      <w:pPr>
        <w:spacing w:before="40" w:after="80" w:line="276" w:lineRule="auto"/>
      </w:pPr>
      <w:r>
        <w:rPr>
          <w:color w:val="334155"/>
          <w:sz w:val="19"/>
        </w:rPr>
        <w:t>Figure 3-3 NSW Water Quality Objective Zones for Precinct (indicative location marked in red)</w:t>
      </w:r>
    </w:p>
    <w:p>
      <w:pPr>
        <w:spacing w:before="40" w:after="80" w:line="276" w:lineRule="auto"/>
      </w:pPr>
      <w:r>
        <w:rPr>
          <w:color w:val="334155"/>
          <w:sz w:val="19"/>
        </w:rPr>
        <w:t>Figure 3-4 Strahler order system (DPE, 2022a)</w:t>
      </w:r>
    </w:p>
    <w:p>
      <w:pPr>
        <w:spacing w:before="40" w:after="80" w:line="276" w:lineRule="auto"/>
      </w:pPr>
      <w:r>
        <w:rPr>
          <w:color w:val="334155"/>
          <w:sz w:val="19"/>
        </w:rPr>
        <w:t>Figure 3-5 Riparian corridor (DPE, 2022b)</w:t>
      </w:r>
    </w:p>
    <w:p>
      <w:pPr>
        <w:spacing w:before="40" w:after="80" w:line="276" w:lineRule="auto"/>
      </w:pPr>
      <w:r>
        <w:rPr>
          <w:color w:val="334155"/>
          <w:sz w:val="19"/>
        </w:rPr>
        <w:t>Figure 3-6 Evaporation and rainfall climate data</w:t>
      </w:r>
    </w:p>
    <w:p>
      <w:pPr>
        <w:spacing w:before="40" w:after="80" w:line="276" w:lineRule="auto"/>
      </w:pPr>
      <w:r>
        <w:rPr>
          <w:color w:val="334155"/>
          <w:sz w:val="19"/>
        </w:rPr>
        <w:t>Figure 3-7 Average monthly maximum and minimum temperature data</w:t>
      </w:r>
    </w:p>
    <w:p>
      <w:pPr>
        <w:spacing w:before="40" w:after="80" w:line="276" w:lineRule="auto"/>
      </w:pPr>
      <w:r>
        <w:rPr>
          <w:color w:val="334155"/>
          <w:sz w:val="19"/>
        </w:rPr>
        <w:t>Figure 3-8: Catchment and topography</w:t>
      </w:r>
    </w:p>
    <w:p>
      <w:pPr>
        <w:spacing w:before="40" w:after="80" w:line="276" w:lineRule="auto"/>
      </w:pPr>
      <w:r>
        <w:rPr>
          <w:color w:val="334155"/>
          <w:sz w:val="19"/>
        </w:rPr>
        <w:t>Figure 3-9 Slope of site</w:t>
      </w:r>
    </w:p>
    <w:p>
      <w:pPr>
        <w:spacing w:before="40" w:after="80" w:line="276" w:lineRule="auto"/>
      </w:pPr>
      <w:r>
        <w:rPr>
          <w:color w:val="334155"/>
          <w:sz w:val="19"/>
        </w:rPr>
        <w:t>Figure 3-10 Tidal Limits</w:t>
      </w:r>
    </w:p>
    <w:p>
      <w:pPr>
        <w:spacing w:before="40" w:after="80" w:line="276" w:lineRule="auto"/>
      </w:pPr>
      <w:r>
        <w:rPr>
          <w:color w:val="334155"/>
          <w:sz w:val="19"/>
        </w:rPr>
        <w:t>Figure 3-11 Geomorphology, river condition and soils</w:t>
      </w:r>
    </w:p>
    <w:p>
      <w:pPr>
        <w:spacing w:before="40" w:after="80" w:line="276" w:lineRule="auto"/>
      </w:pPr>
      <w:r>
        <w:rPr>
          <w:color w:val="334155"/>
          <w:sz w:val="19"/>
        </w:rPr>
        <w:t>Figure 3-12 Soil landscapes</w:t>
      </w:r>
    </w:p>
    <w:p>
      <w:pPr>
        <w:spacing w:before="40" w:after="80" w:line="276" w:lineRule="auto"/>
      </w:pPr>
      <w:r>
        <w:rPr>
          <w:color w:val="334155"/>
          <w:sz w:val="19"/>
        </w:rPr>
        <w:t>Figure 3-13 Available ground investigation locations</w:t>
      </w:r>
    </w:p>
    <w:p>
      <w:pPr>
        <w:spacing w:before="40" w:after="80" w:line="276" w:lineRule="auto"/>
      </w:pPr>
      <w:r>
        <w:rPr>
          <w:color w:val="334155"/>
          <w:sz w:val="19"/>
        </w:rPr>
        <w:t>Figure 3-14 Existing land zoning</w:t>
      </w:r>
    </w:p>
    <w:p>
      <w:pPr>
        <w:spacing w:before="40" w:after="80" w:line="276" w:lineRule="auto"/>
      </w:pPr>
      <w:r>
        <w:rPr>
          <w:color w:val="334155"/>
          <w:sz w:val="19"/>
        </w:rPr>
        <w:t>Figure 3-15 Groundwater dependant ecosystems</w:t>
      </w:r>
    </w:p>
    <w:p>
      <w:pPr>
        <w:spacing w:before="40" w:after="80" w:line="276" w:lineRule="auto"/>
      </w:pPr>
      <w:r>
        <w:rPr>
          <w:color w:val="334155"/>
          <w:sz w:val="19"/>
        </w:rPr>
        <w:t>Figure 3-16 Sensitive receiving environments</w:t>
      </w:r>
    </w:p>
    <w:p>
      <w:pPr>
        <w:spacing w:before="40" w:after="80" w:line="276" w:lineRule="auto"/>
      </w:pPr>
      <w:r>
        <w:rPr>
          <w:color w:val="334155"/>
          <w:sz w:val="19"/>
        </w:rPr>
        <w:t>Figure 3-17 Preliminary vegetated riparian zone</w:t>
      </w:r>
    </w:p>
    <w:p>
      <w:pPr>
        <w:spacing w:before="40" w:after="80" w:line="276" w:lineRule="auto"/>
      </w:pPr>
      <w:r>
        <w:rPr>
          <w:color w:val="334155"/>
          <w:sz w:val="19"/>
        </w:rPr>
        <w:t>Figure 3-18 Existing water management infrastructure</w:t>
      </w:r>
    </w:p>
    <w:p>
      <w:pPr>
        <w:spacing w:before="40" w:after="80" w:line="276" w:lineRule="auto"/>
      </w:pPr>
      <w:r>
        <w:rPr>
          <w:color w:val="334155"/>
          <w:sz w:val="19"/>
        </w:rPr>
        <w:t>Figure 4-1 PMF and 1% AEP Flood extents map</w:t>
      </w:r>
    </w:p>
    <w:p>
      <w:pPr>
        <w:spacing w:before="40" w:after="80" w:line="276" w:lineRule="auto"/>
      </w:pPr>
      <w:r>
        <w:rPr>
          <w:color w:val="334155"/>
          <w:sz w:val="19"/>
        </w:rPr>
        <w:t>Figure 4-2 Local overland flow paths</w:t>
      </w:r>
    </w:p>
    <w:p>
      <w:pPr>
        <w:spacing w:before="40" w:after="80" w:line="276" w:lineRule="auto"/>
      </w:pPr>
      <w:r>
        <w:rPr>
          <w:color w:val="334155"/>
          <w:sz w:val="19"/>
        </w:rPr>
        <w:t>Figure 4-3 Coastal hazards</w:t>
      </w:r>
    </w:p>
    <w:p>
      <w:pPr>
        <w:spacing w:before="40" w:after="80" w:line="276" w:lineRule="auto"/>
      </w:pPr>
      <w:r>
        <w:rPr>
          <w:color w:val="334155"/>
          <w:sz w:val="19"/>
        </w:rPr>
        <w:t>Figure 4-4: Land use compatibility in flood prone areas</w:t>
      </w:r>
    </w:p>
    <w:p>
      <w:pPr>
        <w:spacing w:before="40" w:after="80" w:line="276" w:lineRule="auto"/>
      </w:pPr>
      <w:r>
        <w:rPr>
          <w:color w:val="334155"/>
          <w:sz w:val="19"/>
        </w:rPr>
        <w:t>Figure 4-5: Dam failure inundation area with PMF flood hazard</w:t>
      </w:r>
    </w:p>
    <w:p>
      <w:pPr>
        <w:spacing w:before="40" w:after="80" w:line="276" w:lineRule="auto"/>
      </w:pPr>
      <w:r>
        <w:rPr>
          <w:color w:val="334155"/>
          <w:sz w:val="19"/>
        </w:rPr>
        <w:t>Figure 4-6 Flood emergency response classification map of the development area</w:t>
      </w:r>
    </w:p>
    <w:p>
      <w:pPr>
        <w:spacing w:before="40" w:after="80" w:line="276" w:lineRule="auto"/>
      </w:pPr>
      <w:r>
        <w:rPr>
          <w:color w:val="334155"/>
          <w:sz w:val="19"/>
        </w:rPr>
        <w:t>Figure 5-1: Indicative Drainage Constraints</w:t>
      </w:r>
    </w:p>
    <w:p>
      <w:pPr>
        <w:spacing w:before="40" w:after="80" w:line="276" w:lineRule="auto"/>
      </w:pPr>
      <w:r>
        <w:rPr>
          <w:color w:val="334155"/>
          <w:sz w:val="19"/>
        </w:rPr>
        <w:t>Figure 5-2: Indicative Existing Overland Flow Paths</w:t>
      </w:r>
    </w:p>
    <w:p>
      <w:pPr>
        <w:spacing w:before="40" w:after="80" w:line="276" w:lineRule="auto"/>
      </w:pPr>
      <w:r>
        <w:rPr>
          <w:color w:val="334155"/>
          <w:sz w:val="19"/>
        </w:rPr>
        <w:t>Figure 7-1 Structure plan</w:t>
      </w:r>
    </w:p>
    <w:p>
      <w:pPr>
        <w:spacing w:before="40" w:after="80" w:line="276" w:lineRule="auto"/>
      </w:pPr>
      <w:r>
        <w:rPr>
          <w:color w:val="334155"/>
          <w:sz w:val="19"/>
        </w:rPr>
        <w:t>Figure 7-2 Structure Plan with sub-precincts</w:t>
      </w:r>
    </w:p>
    <w:p>
      <w:pPr>
        <w:spacing w:before="40" w:after="80" w:line="276" w:lineRule="auto"/>
      </w:pPr>
      <w:r>
        <w:rPr>
          <w:color w:val="334155"/>
          <w:sz w:val="19"/>
        </w:rPr>
        <w:t>Figure 8-1: Typical floodway corridor example</w:t>
      </w:r>
    </w:p>
    <w:p>
      <w:pPr>
        <w:spacing w:before="40" w:after="80" w:line="276" w:lineRule="auto"/>
      </w:pPr>
      <w:r>
        <w:rPr>
          <w:color w:val="334155"/>
          <w:sz w:val="19"/>
        </w:rPr>
        <w:t>Figure 8-2: Conceptual Floodplain Filling and Flood Storage Offset Arrangement</w:t>
      </w:r>
    </w:p>
    <w:p>
      <w:pPr>
        <w:spacing w:before="40" w:after="80" w:line="276" w:lineRule="auto"/>
      </w:pPr>
      <w:r>
        <w:rPr>
          <w:color w:val="334155"/>
          <w:sz w:val="19"/>
        </w:rPr>
        <w:t>Figure 8-3 Percentage impervious surfaces of each sub-precinct and 1% AEP flood extent.</w:t>
      </w:r>
    </w:p>
    <w:p>
      <w:pPr>
        <w:spacing w:before="40" w:after="80" w:line="276" w:lineRule="auto"/>
      </w:pPr>
      <w:r>
        <w:rPr>
          <w:color w:val="334155"/>
          <w:sz w:val="19"/>
        </w:rPr>
        <w:t>Figure 8-4 Developable areas requiring NorBE</w:t>
      </w:r>
    </w:p>
    <w:p>
      <w:pPr>
        <w:spacing w:before="40" w:after="80" w:line="276" w:lineRule="auto"/>
      </w:pPr>
      <w:r>
        <w:rPr>
          <w:color w:val="334155"/>
          <w:sz w:val="19"/>
        </w:rPr>
        <w:t>Figure 8-5 Indicative WSUD treatment train proposed for the Precinct</w:t>
      </w:r>
    </w:p>
    <w:p>
      <w:pPr>
        <w:spacing w:before="40" w:after="80" w:line="276" w:lineRule="auto"/>
      </w:pPr>
      <w:r>
        <w:rPr>
          <w:color w:val="334155"/>
          <w:sz w:val="19"/>
        </w:rPr>
        <w:t>Figure 8-7 Example of bioretention street tree (Blacktown City Council, 2026)</w:t>
      </w:r>
    </w:p>
    <w:p>
      <w:pPr>
        <w:spacing w:before="40" w:after="80" w:line="276" w:lineRule="auto"/>
      </w:pPr>
      <w:r>
        <w:rPr>
          <w:color w:val="334155"/>
          <w:sz w:val="19"/>
        </w:rPr>
        <w:t>Figure 9-1 Land Use Compatibility Constraints</w:t>
      </w:r>
    </w:p>
    <w:p>
      <w:pPr>
        <w:spacing w:before="40" w:after="80" w:line="276" w:lineRule="auto"/>
      </w:pPr>
      <w:r>
        <w:rPr>
          <w:color w:val="334155"/>
          <w:sz w:val="19"/>
        </w:rPr>
        <w:t>Figure 9-2 Land Use Compatibility Constraints – Master Plan overlay</w:t>
      </w:r>
    </w:p>
    <w:p>
      <w:pPr>
        <w:spacing w:before="40" w:after="80" w:line="276" w:lineRule="auto"/>
      </w:pPr>
      <w:r>
        <w:rPr>
          <w:color w:val="334155"/>
          <w:sz w:val="19"/>
        </w:rPr>
        <w:t>Tables</w:t>
      </w:r>
    </w:p>
    <w:p>
      <w:pPr>
        <w:spacing w:before="40" w:after="80" w:line="276" w:lineRule="auto"/>
      </w:pPr>
      <w:r>
        <w:rPr>
          <w:color w:val="334155"/>
          <w:sz w:val="19"/>
        </w:rPr>
        <w:t>Table 2-1 Documents, Developments and Local Study Review</w:t>
      </w:r>
    </w:p>
    <w:p>
      <w:pPr>
        <w:spacing w:before="40" w:after="80" w:line="276" w:lineRule="auto"/>
      </w:pPr>
      <w:r>
        <w:rPr>
          <w:color w:val="334155"/>
          <w:sz w:val="19"/>
        </w:rPr>
        <w:t>Table 2-2 Summary of the data supplied for review</w:t>
      </w:r>
    </w:p>
    <w:p>
      <w:pPr>
        <w:spacing w:before="40" w:after="80" w:line="276" w:lineRule="auto"/>
      </w:pPr>
      <w:r>
        <w:rPr>
          <w:color w:val="334155"/>
          <w:sz w:val="19"/>
        </w:rPr>
        <w:t>Table 2-3: Summary of assumptions, limitations and dependencies</w:t>
      </w:r>
    </w:p>
    <w:p>
      <w:pPr>
        <w:spacing w:before="40" w:after="80" w:line="276" w:lineRule="auto"/>
      </w:pPr>
      <w:r>
        <w:rPr>
          <w:color w:val="334155"/>
          <w:sz w:val="19"/>
        </w:rPr>
        <w:t>Table 3-1 Relevant legislation</w:t>
      </w:r>
    </w:p>
    <w:p>
      <w:pPr>
        <w:spacing w:before="40" w:after="80" w:line="276" w:lineRule="auto"/>
      </w:pPr>
      <w:r>
        <w:rPr>
          <w:color w:val="334155"/>
          <w:sz w:val="19"/>
        </w:rPr>
        <w:t>Table 3-2 Relevant policies and guidelines</w:t>
      </w:r>
    </w:p>
    <w:p>
      <w:pPr>
        <w:spacing w:before="40" w:after="80" w:line="276" w:lineRule="auto"/>
      </w:pPr>
      <w:r>
        <w:rPr>
          <w:color w:val="334155"/>
          <w:sz w:val="19"/>
        </w:rPr>
        <w:t>Table 3-3 Nutrient loading limits for Lake Macquarie Estuary</w:t>
      </w:r>
    </w:p>
    <w:p>
      <w:pPr>
        <w:spacing w:before="40" w:after="80" w:line="276" w:lineRule="auto"/>
      </w:pPr>
      <w:r>
        <w:rPr>
          <w:color w:val="334155"/>
          <w:sz w:val="19"/>
        </w:rPr>
        <w:t>Table 3-4 Lake Macquarie City Council DCP stormwater management targets</w:t>
      </w:r>
    </w:p>
    <w:p>
      <w:pPr>
        <w:spacing w:before="40" w:after="80" w:line="276" w:lineRule="auto"/>
      </w:pPr>
      <w:r>
        <w:rPr>
          <w:color w:val="334155"/>
          <w:sz w:val="19"/>
        </w:rPr>
        <w:t>`</w:t>
      </w:r>
    </w:p>
    <w:p>
      <w:pPr>
        <w:pStyle w:val="Heading3"/>
        <w:keepNext/>
        <w:spacing w:before="160" w:after="40"/>
      </w:pPr>
      <w:r>
        <w:rPr>
          <w:b/>
          <w:color w:val="334155"/>
        </w:rPr>
        <w:t>Flooding Report Page 9</w:t>
      </w:r>
    </w:p>
    <w:p>
      <w:pPr>
        <w:spacing w:before="40" w:after="80" w:line="276" w:lineRule="auto"/>
      </w:pPr>
      <w:r>
        <w:rPr>
          <w:color w:val="334155"/>
          <w:sz w:val="19"/>
        </w:rPr>
        <w:t>`</w:t>
      </w:r>
    </w:p>
    <w:p>
      <w:pPr>
        <w:spacing w:before="40" w:after="80" w:line="276" w:lineRule="auto"/>
      </w:pPr>
      <w:r>
        <w:rPr>
          <w:color w:val="334155"/>
          <w:sz w:val="19"/>
        </w:rPr>
        <w:t>Table 3-5 Water quality objectives for the Lake Macquarie and Tuggerah Lakes catchment</w:t>
      </w:r>
    </w:p>
    <w:p>
      <w:pPr>
        <w:spacing w:before="40" w:after="80" w:line="276" w:lineRule="auto"/>
      </w:pPr>
      <w:r>
        <w:rPr>
          <w:color w:val="334155"/>
          <w:sz w:val="19"/>
        </w:rPr>
        <w:t>Table 3-6 Riparian corridor widths (DPE, 2022b)</w:t>
      </w:r>
    </w:p>
    <w:p>
      <w:pPr>
        <w:spacing w:before="40" w:after="80" w:line="276" w:lineRule="auto"/>
      </w:pPr>
      <w:r>
        <w:rPr>
          <w:color w:val="334155"/>
          <w:sz w:val="19"/>
        </w:rPr>
        <w:t>Table 3-7 Riparian corridor matrix (DPE, 2022b)</w:t>
      </w:r>
    </w:p>
    <w:p>
      <w:pPr>
        <w:spacing w:before="40" w:after="80" w:line="276" w:lineRule="auto"/>
      </w:pPr>
      <w:r>
        <w:rPr>
          <w:color w:val="334155"/>
          <w:sz w:val="19"/>
        </w:rPr>
        <w:t>Table 3-8 Rainfall and evaporation data statistics</w:t>
      </w:r>
    </w:p>
    <w:p>
      <w:pPr>
        <w:spacing w:before="40" w:after="80" w:line="276" w:lineRule="auto"/>
      </w:pPr>
      <w:r>
        <w:rPr>
          <w:color w:val="334155"/>
          <w:sz w:val="19"/>
        </w:rPr>
        <w:t>Table 3-9 Summary of water quality for Council data</w:t>
      </w:r>
    </w:p>
    <w:p>
      <w:pPr>
        <w:spacing w:before="40" w:after="80" w:line="276" w:lineRule="auto"/>
      </w:pPr>
      <w:r>
        <w:rPr>
          <w:color w:val="334155"/>
          <w:sz w:val="19"/>
        </w:rPr>
        <w:t>Table 3-10 Summary of water quality data from Glencore monitoring</w:t>
      </w:r>
    </w:p>
    <w:p>
      <w:pPr>
        <w:spacing w:before="40" w:after="80" w:line="276" w:lineRule="auto"/>
      </w:pPr>
      <w:r>
        <w:rPr>
          <w:color w:val="334155"/>
          <w:sz w:val="19"/>
        </w:rPr>
        <w:t>Table 3-11 Tidal planes for Lake Macquarie at Marmong Point (211460) (MHL 2025)</w:t>
      </w:r>
    </w:p>
    <w:p>
      <w:pPr>
        <w:spacing w:before="40" w:after="80" w:line="276" w:lineRule="auto"/>
      </w:pPr>
      <w:r>
        <w:rPr>
          <w:color w:val="334155"/>
          <w:sz w:val="19"/>
        </w:rPr>
        <w:t>Table 3-12 Soil landscapes of the Precinct</w:t>
      </w:r>
    </w:p>
    <w:p>
      <w:pPr>
        <w:spacing w:before="40" w:after="80" w:line="276" w:lineRule="auto"/>
      </w:pPr>
      <w:r>
        <w:rPr>
          <w:color w:val="334155"/>
          <w:sz w:val="19"/>
        </w:rPr>
        <w:t>Table 3-13 Groundwater wells summary (WaterNSW, 2025)</w:t>
      </w:r>
    </w:p>
    <w:p>
      <w:pPr>
        <w:spacing w:before="40" w:after="80" w:line="276" w:lineRule="auto"/>
      </w:pPr>
      <w:r>
        <w:rPr>
          <w:color w:val="334155"/>
          <w:sz w:val="19"/>
        </w:rPr>
        <w:t>Table 3-14 Groundwater Dependent Ecosystems in Precinct</w:t>
      </w:r>
    </w:p>
    <w:p>
      <w:pPr>
        <w:spacing w:before="40" w:after="80" w:line="276" w:lineRule="auto"/>
      </w:pPr>
      <w:r>
        <w:rPr>
          <w:color w:val="334155"/>
          <w:sz w:val="19"/>
        </w:rPr>
        <w:t>Table 5-1 Drainage implications based on slope constraints</w:t>
      </w:r>
    </w:p>
    <w:p>
      <w:pPr>
        <w:spacing w:before="40" w:after="80" w:line="276" w:lineRule="auto"/>
      </w:pPr>
      <w:r>
        <w:rPr>
          <w:color w:val="334155"/>
          <w:sz w:val="19"/>
        </w:rPr>
        <w:t>Table 6-1 Examples of treatment trains and scales</w:t>
      </w:r>
    </w:p>
    <w:p>
      <w:pPr>
        <w:spacing w:before="40" w:after="80" w:line="276" w:lineRule="auto"/>
      </w:pPr>
      <w:r>
        <w:rPr>
          <w:color w:val="334155"/>
          <w:sz w:val="19"/>
        </w:rPr>
        <w:t>Table 7-1 Land Use Analysis</w:t>
      </w:r>
    </w:p>
    <w:p>
      <w:pPr>
        <w:spacing w:before="40" w:after="80" w:line="276" w:lineRule="auto"/>
      </w:pPr>
      <w:r>
        <w:rPr>
          <w:color w:val="334155"/>
          <w:sz w:val="19"/>
        </w:rPr>
        <w:t>Table 8-1 Developable area</w:t>
      </w:r>
    </w:p>
    <w:p>
      <w:pPr>
        <w:spacing w:before="40" w:after="80" w:line="276" w:lineRule="auto"/>
      </w:pPr>
      <w:r>
        <w:rPr>
          <w:color w:val="334155"/>
          <w:sz w:val="19"/>
        </w:rPr>
        <w:t>Table 8-2 Preliminary pre-development pollutant loads for 1hectare greenfield areas based on two example</w:t>
      </w:r>
    </w:p>
    <w:p>
      <w:pPr>
        <w:spacing w:before="40" w:after="80" w:line="276" w:lineRule="auto"/>
      </w:pPr>
      <w:r>
        <w:rPr>
          <w:color w:val="334155"/>
          <w:sz w:val="19"/>
        </w:rPr>
        <w:t>soil types</w:t>
      </w:r>
    </w:p>
    <w:p>
      <w:pPr>
        <w:spacing w:before="40" w:after="80" w:line="276" w:lineRule="auto"/>
      </w:pPr>
      <w:r>
        <w:rPr>
          <w:color w:val="334155"/>
          <w:sz w:val="19"/>
        </w:rPr>
        <w:t>Table 8-3 WSUD Measures proposed</w:t>
      </w:r>
    </w:p>
    <w:p>
      <w:pPr>
        <w:spacing w:before="40" w:after="80" w:line="276" w:lineRule="auto"/>
      </w:pPr>
      <w:r>
        <w:rPr>
          <w:color w:val="334155"/>
          <w:sz w:val="19"/>
        </w:rPr>
        <w:t>Table 9-1: Constraint and developability levels</w:t>
      </w:r>
    </w:p>
    <w:p>
      <w:pPr>
        <w:spacing w:before="40" w:after="80" w:line="276" w:lineRule="auto"/>
      </w:pPr>
      <w:r>
        <w:rPr>
          <w:color w:val="334155"/>
          <w:sz w:val="19"/>
        </w:rPr>
        <w:t>Table 9-2 Impervious % from DCP</w:t>
      </w:r>
    </w:p>
    <w:p>
      <w:pPr>
        <w:spacing w:before="40" w:after="80" w:line="276" w:lineRule="auto"/>
      </w:pPr>
      <w:r>
        <w:rPr>
          <w:color w:val="334155"/>
          <w:sz w:val="19"/>
        </w:rPr>
        <w:t>Table 9-3 Impervious % based on land use</w:t>
      </w:r>
    </w:p>
    <w:p>
      <w:pPr>
        <w:spacing w:before="40" w:after="80" w:line="276" w:lineRule="auto"/>
      </w:pPr>
      <w:r>
        <w:rPr>
          <w:color w:val="334155"/>
          <w:sz w:val="19"/>
        </w:rPr>
        <w:t>Table 9-4 Integrated Water Management Strategy for each sub- precinct</w:t>
      </w:r>
    </w:p>
    <w:p>
      <w:pPr>
        <w:spacing w:before="40" w:after="80" w:line="276" w:lineRule="auto"/>
      </w:pPr>
      <w:r>
        <w:rPr>
          <w:color w:val="334155"/>
          <w:sz w:val="19"/>
        </w:rPr>
        <w:t>Table 11-1 Trigger framework</w:t>
      </w:r>
    </w:p>
    <w:p>
      <w:pPr>
        <w:spacing w:before="40" w:after="80" w:line="276" w:lineRule="auto"/>
      </w:pPr>
      <w:r>
        <w:rPr>
          <w:color w:val="334155"/>
          <w:sz w:val="19"/>
        </w:rPr>
        <w:t>`</w:t>
      </w:r>
    </w:p>
    <w:p>
      <w:pPr>
        <w:pStyle w:val="Heading3"/>
        <w:keepNext/>
        <w:spacing w:before="160" w:after="40"/>
      </w:pPr>
      <w:r>
        <w:rPr>
          <w:b/>
          <w:color w:val="334155"/>
        </w:rPr>
        <w:t>Flooding Report Page 11</w:t>
      </w:r>
    </w:p>
    <w:p>
      <w:pPr>
        <w:spacing w:before="40" w:after="80" w:line="276" w:lineRule="auto"/>
      </w:pPr>
      <w:r>
        <w:rPr>
          <w:color w:val="334155"/>
          <w:sz w:val="19"/>
        </w:rPr>
        <w:t>`</w:t>
      </w:r>
    </w:p>
    <w:p>
      <w:pPr>
        <w:spacing w:before="40" w:after="80" w:line="276" w:lineRule="auto"/>
      </w:pPr>
      <w:r>
        <w:rPr>
          <w:color w:val="334155"/>
          <w:sz w:val="19"/>
        </w:rPr>
        <w:t>Project number 531168-000  File Flood &amp; WCM Report  2026-07-01  Revision B           1</w:t>
      </w:r>
    </w:p>
    <w:p>
      <w:pPr>
        <w:spacing w:before="40" w:after="80" w:line="276" w:lineRule="auto"/>
      </w:pPr>
      <w:r>
        <w:rPr>
          <w:color w:val="334155"/>
          <w:sz w:val="19"/>
        </w:rPr>
        <w:t>1</w:t>
      </w:r>
    </w:p>
    <w:p>
      <w:pPr>
        <w:spacing w:before="40" w:after="80" w:line="276" w:lineRule="auto"/>
      </w:pPr>
      <w:r>
        <w:rPr>
          <w:color w:val="334155"/>
          <w:sz w:val="19"/>
        </w:rPr>
        <w:t>Introduction</w:t>
      </w:r>
    </w:p>
    <w:p>
      <w:pPr>
        <w:spacing w:before="40" w:after="80" w:line="276" w:lineRule="auto"/>
      </w:pPr>
      <w:r>
        <w:rPr>
          <w:color w:val="334155"/>
          <w:sz w:val="19"/>
        </w:rPr>
        <w:t>This report confirms that the Precinct can be planned with a practical and achievable flooding and water cycle</w:t>
      </w:r>
    </w:p>
    <w:p>
      <w:pPr>
        <w:spacing w:before="40" w:after="80" w:line="276" w:lineRule="auto"/>
      </w:pPr>
      <w:r>
        <w:rPr>
          <w:color w:val="334155"/>
          <w:sz w:val="19"/>
        </w:rPr>
        <w:t>management strategy that supports future development while protecting people, property, infrastructure and the</w:t>
      </w:r>
    </w:p>
    <w:p>
      <w:pPr>
        <w:spacing w:before="40" w:after="80" w:line="276" w:lineRule="auto"/>
      </w:pPr>
      <w:r>
        <w:rPr>
          <w:color w:val="334155"/>
          <w:sz w:val="19"/>
        </w:rPr>
        <w:t>surrounding environment. The assessment has been undertaken at a strategic master planning level and is based</w:t>
      </w:r>
    </w:p>
    <w:p>
      <w:pPr>
        <w:spacing w:before="40" w:after="80" w:line="276" w:lineRule="auto"/>
      </w:pPr>
      <w:r>
        <w:rPr>
          <w:color w:val="334155"/>
          <w:sz w:val="19"/>
        </w:rPr>
        <w:t>on a review of the site, available flood studies, water cycle management information, topography, waterways,</w:t>
      </w:r>
    </w:p>
    <w:p>
      <w:pPr>
        <w:spacing w:before="40" w:after="80" w:line="276" w:lineRule="auto"/>
      </w:pPr>
      <w:r>
        <w:rPr>
          <w:color w:val="334155"/>
          <w:sz w:val="19"/>
        </w:rPr>
        <w:t>receiving environments and existing infrastructure. On that basis, the overall conclusion is that the key flooding,</w:t>
      </w:r>
    </w:p>
    <w:p>
      <w:pPr>
        <w:spacing w:before="40" w:after="80" w:line="276" w:lineRule="auto"/>
      </w:pPr>
      <w:r>
        <w:rPr>
          <w:color w:val="334155"/>
          <w:sz w:val="19"/>
        </w:rPr>
        <w:t>stormwater, water quality and evacuation outcomes for the Precinct are capable of being achieved through a</w:t>
      </w:r>
    </w:p>
    <w:p>
      <w:pPr>
        <w:spacing w:before="40" w:after="80" w:line="276" w:lineRule="auto"/>
      </w:pPr>
      <w:r>
        <w:rPr>
          <w:color w:val="334155"/>
          <w:sz w:val="19"/>
        </w:rPr>
        <w:t>coordinated precinct-scale approach, subject to detailed design in later phases.</w:t>
      </w:r>
    </w:p>
    <w:p>
      <w:pPr>
        <w:spacing w:before="40" w:after="80" w:line="276" w:lineRule="auto"/>
      </w:pPr>
      <w:r>
        <w:rPr>
          <w:color w:val="334155"/>
          <w:sz w:val="19"/>
        </w:rPr>
        <w:t>Flooding is a defining consideration for the Precinct, particularly in relation to Cockle Creek, its tributaries, local</w:t>
      </w:r>
    </w:p>
    <w:p>
      <w:pPr>
        <w:spacing w:before="40" w:after="80" w:line="276" w:lineRule="auto"/>
      </w:pPr>
      <w:r>
        <w:rPr>
          <w:color w:val="334155"/>
          <w:sz w:val="19"/>
        </w:rPr>
        <w:t>overland flow paths and downstream tailwater influences. However, the report demonstrates that these constraints</w:t>
      </w:r>
    </w:p>
    <w:p>
      <w:pPr>
        <w:spacing w:before="40" w:after="80" w:line="276" w:lineRule="auto"/>
      </w:pPr>
      <w:r>
        <w:rPr>
          <w:color w:val="334155"/>
          <w:sz w:val="19"/>
        </w:rPr>
        <w:t>do not preclude future land use planning. Rather, they establish a clear framework for where development should</w:t>
      </w:r>
    </w:p>
    <w:p>
      <w:pPr>
        <w:spacing w:before="40" w:after="80" w:line="276" w:lineRule="auto"/>
      </w:pPr>
      <w:r>
        <w:rPr>
          <w:color w:val="334155"/>
          <w:sz w:val="19"/>
        </w:rPr>
        <w:t>occur, where flood conveyance and storage should be maintained, and where supporting mitigation is required.</w:t>
      </w:r>
    </w:p>
    <w:p>
      <w:pPr>
        <w:spacing w:before="40" w:after="80" w:line="276" w:lineRule="auto"/>
      </w:pPr>
      <w:r>
        <w:rPr>
          <w:color w:val="334155"/>
          <w:sz w:val="19"/>
        </w:rPr>
        <w:t>The proposed flooding strategy is built around preserving key floodways, accommodating regional flow paths,</w:t>
      </w:r>
    </w:p>
    <w:p>
      <w:pPr>
        <w:spacing w:before="40" w:after="80" w:line="276" w:lineRule="auto"/>
      </w:pPr>
      <w:r>
        <w:rPr>
          <w:color w:val="334155"/>
          <w:sz w:val="19"/>
        </w:rPr>
        <w:t>providing detention and storage where necessary, and locating future development in areas that can achieve an</w:t>
      </w:r>
    </w:p>
    <w:p>
      <w:pPr>
        <w:spacing w:before="40" w:after="80" w:line="276" w:lineRule="auto"/>
      </w:pPr>
      <w:r>
        <w:rPr>
          <w:color w:val="334155"/>
          <w:sz w:val="19"/>
        </w:rPr>
        <w:t>acceptable level of flood risk management. This creates a structure for growth that responds to the floodplain rather</w:t>
      </w:r>
    </w:p>
    <w:p>
      <w:pPr>
        <w:spacing w:before="40" w:after="80" w:line="276" w:lineRule="auto"/>
      </w:pPr>
      <w:r>
        <w:rPr>
          <w:color w:val="334155"/>
          <w:sz w:val="19"/>
        </w:rPr>
        <w:t>than working against it.</w:t>
      </w:r>
    </w:p>
    <w:p>
      <w:pPr>
        <w:spacing w:before="40" w:after="80" w:line="276" w:lineRule="auto"/>
      </w:pPr>
      <w:r>
        <w:rPr>
          <w:color w:val="334155"/>
          <w:sz w:val="19"/>
        </w:rPr>
        <w:t>A key message of the assessment is that the proposed strategy protects the environmental values of the site and</w:t>
      </w:r>
    </w:p>
    <w:p>
      <w:pPr>
        <w:spacing w:before="40" w:after="80" w:line="276" w:lineRule="auto"/>
      </w:pPr>
      <w:r>
        <w:rPr>
          <w:color w:val="334155"/>
          <w:sz w:val="19"/>
        </w:rPr>
        <w:t>the surrounding catchment, while also avoiding the transfer of flood impacts to neighbouring landholdings. The</w:t>
      </w:r>
    </w:p>
    <w:p>
      <w:pPr>
        <w:spacing w:before="40" w:after="80" w:line="276" w:lineRule="auto"/>
      </w:pPr>
      <w:r>
        <w:rPr>
          <w:color w:val="334155"/>
          <w:sz w:val="19"/>
        </w:rPr>
        <w:t>Precinct contains and drains to sensitive receiving environments, including Cockle Creek, Burkes Creek, Diega</w:t>
      </w:r>
    </w:p>
    <w:p>
      <w:pPr>
        <w:spacing w:before="40" w:after="80" w:line="276" w:lineRule="auto"/>
      </w:pPr>
      <w:r>
        <w:rPr>
          <w:color w:val="334155"/>
          <w:sz w:val="19"/>
        </w:rPr>
        <w:t>Creek and Lake Macquarie. It also contains riparian corridors, wetlands, key fish habitat and other ecological</w:t>
      </w:r>
    </w:p>
    <w:p>
      <w:pPr>
        <w:spacing w:before="40" w:after="80" w:line="276" w:lineRule="auto"/>
      </w:pPr>
      <w:r>
        <w:rPr>
          <w:color w:val="334155"/>
          <w:sz w:val="19"/>
        </w:rPr>
        <w:t>values that require protection. The recommended approach maintains these systems as important components of</w:t>
      </w:r>
    </w:p>
    <w:p>
      <w:pPr>
        <w:spacing w:before="40" w:after="80" w:line="276" w:lineRule="auto"/>
      </w:pPr>
      <w:r>
        <w:rPr>
          <w:color w:val="334155"/>
          <w:sz w:val="19"/>
        </w:rPr>
        <w:t>the masterplan, allowing them to continue functioning as flood conveyance corridors, ecological buffers and water</w:t>
      </w:r>
    </w:p>
    <w:p>
      <w:pPr>
        <w:spacing w:before="40" w:after="80" w:line="276" w:lineRule="auto"/>
      </w:pPr>
      <w:r>
        <w:rPr>
          <w:color w:val="334155"/>
          <w:sz w:val="19"/>
        </w:rPr>
        <w:t>quality protection features. In this way, the strategy is not only about making development possible, but about</w:t>
      </w:r>
    </w:p>
    <w:p>
      <w:pPr>
        <w:spacing w:before="40" w:after="80" w:line="276" w:lineRule="auto"/>
      </w:pPr>
      <w:r>
        <w:rPr>
          <w:color w:val="334155"/>
          <w:sz w:val="19"/>
        </w:rPr>
        <w:t>ensuring that the surrounding environment and adjoining properties remain protected from increased flood risk,</w:t>
      </w:r>
    </w:p>
    <w:p>
      <w:pPr>
        <w:spacing w:before="40" w:after="80" w:line="276" w:lineRule="auto"/>
      </w:pPr>
      <w:r>
        <w:rPr>
          <w:color w:val="334155"/>
          <w:sz w:val="19"/>
        </w:rPr>
        <w:t>water quality decline or inappropriate drainage outcomes.</w:t>
      </w:r>
    </w:p>
    <w:p>
      <w:pPr>
        <w:spacing w:before="40" w:after="80" w:line="276" w:lineRule="auto"/>
      </w:pPr>
      <w:r>
        <w:rPr>
          <w:color w:val="334155"/>
          <w:sz w:val="19"/>
        </w:rPr>
        <w:t>Importantly, the report finds that many of the mitigation measures needed to support future development can be</w:t>
      </w:r>
    </w:p>
    <w:p>
      <w:pPr>
        <w:spacing w:before="40" w:after="80" w:line="276" w:lineRule="auto"/>
      </w:pPr>
      <w:r>
        <w:rPr>
          <w:color w:val="334155"/>
          <w:sz w:val="19"/>
        </w:rPr>
        <w:t>accommodated within the Precinct footprint. This includes the retention of floodway corridors, provision of regional</w:t>
      </w:r>
    </w:p>
    <w:p>
      <w:pPr>
        <w:spacing w:before="40" w:after="80" w:line="276" w:lineRule="auto"/>
      </w:pPr>
      <w:r>
        <w:rPr>
          <w:color w:val="334155"/>
          <w:sz w:val="19"/>
        </w:rPr>
        <w:t>or local detention, integration of stormwater conveyance pathways, on-site detention, water quality treatment</w:t>
      </w:r>
    </w:p>
    <w:p>
      <w:pPr>
        <w:spacing w:before="40" w:after="80" w:line="276" w:lineRule="auto"/>
      </w:pPr>
      <w:r>
        <w:rPr>
          <w:color w:val="334155"/>
          <w:sz w:val="19"/>
        </w:rPr>
        <w:t>systems and landform responses that work with the site’s natural drainage patterns. While detailed sizing and</w:t>
      </w:r>
    </w:p>
    <w:p>
      <w:pPr>
        <w:spacing w:before="40" w:after="80" w:line="276" w:lineRule="auto"/>
      </w:pPr>
      <w:r>
        <w:rPr>
          <w:color w:val="334155"/>
          <w:sz w:val="19"/>
        </w:rPr>
        <w:t>alignment of infrastructure will need to be resolved by future proponents, the strategic assessment demonstrates</w:t>
      </w:r>
    </w:p>
    <w:p>
      <w:pPr>
        <w:spacing w:before="40" w:after="80" w:line="276" w:lineRule="auto"/>
      </w:pPr>
      <w:r>
        <w:rPr>
          <w:color w:val="334155"/>
          <w:sz w:val="19"/>
        </w:rPr>
        <w:t>that sufficient opportunities exist within the Precinct to embed these measures into future development layouts.</w:t>
      </w:r>
    </w:p>
    <w:p>
      <w:pPr>
        <w:spacing w:before="40" w:after="80" w:line="276" w:lineRule="auto"/>
      </w:pPr>
      <w:r>
        <w:rPr>
          <w:color w:val="334155"/>
          <w:sz w:val="19"/>
        </w:rPr>
        <w:t>This is a significant outcome because it shows that the masterplan can establish a viable pathway forward without</w:t>
      </w:r>
    </w:p>
    <w:p>
      <w:pPr>
        <w:spacing w:before="40" w:after="80" w:line="276" w:lineRule="auto"/>
      </w:pPr>
      <w:r>
        <w:rPr>
          <w:color w:val="334155"/>
          <w:sz w:val="19"/>
        </w:rPr>
        <w:t>relying on unreasonable off-site intervention or unacceptable impacts to external land.</w:t>
      </w:r>
    </w:p>
    <w:p>
      <w:pPr>
        <w:spacing w:before="40" w:after="80" w:line="276" w:lineRule="auto"/>
      </w:pPr>
      <w:r>
        <w:rPr>
          <w:color w:val="334155"/>
          <w:sz w:val="19"/>
        </w:rPr>
        <w:t>The intent of the masterplan is therefore to set an achievable and defensible strategy at a precinct scale, rather</w:t>
      </w:r>
    </w:p>
    <w:p>
      <w:pPr>
        <w:spacing w:before="40" w:after="80" w:line="276" w:lineRule="auto"/>
      </w:pPr>
      <w:r>
        <w:rPr>
          <w:color w:val="334155"/>
          <w:sz w:val="19"/>
        </w:rPr>
        <w:t>than prescribe a single fixed engineering outcome. The report makes clear that future proponents may modify</w:t>
      </w:r>
    </w:p>
    <w:p>
      <w:pPr>
        <w:spacing w:before="40" w:after="80" w:line="276" w:lineRule="auto"/>
      </w:pPr>
      <w:r>
        <w:rPr>
          <w:color w:val="334155"/>
          <w:sz w:val="19"/>
        </w:rPr>
        <w:t>elements of the ultimate flooding and water cycle response as individual development proposals evolve, provided</w:t>
      </w:r>
    </w:p>
    <w:p>
      <w:pPr>
        <w:spacing w:before="40" w:after="80" w:line="276" w:lineRule="auto"/>
      </w:pPr>
      <w:r>
        <w:rPr>
          <w:color w:val="334155"/>
          <w:sz w:val="19"/>
        </w:rPr>
        <w:t>the overall objectives of the masterplan are maintained and all relevant legislation, policy and performance criteria</w:t>
      </w:r>
    </w:p>
    <w:p>
      <w:pPr>
        <w:spacing w:before="40" w:after="80" w:line="276" w:lineRule="auto"/>
      </w:pPr>
      <w:r>
        <w:rPr>
          <w:color w:val="334155"/>
          <w:sz w:val="19"/>
        </w:rPr>
        <w:t>are met. This is an important distinction. The report does not seek to lock in detailed design at rezoning stage.</w:t>
      </w:r>
    </w:p>
    <w:p>
      <w:pPr>
        <w:spacing w:before="40" w:after="80" w:line="276" w:lineRule="auto"/>
      </w:pPr>
      <w:r>
        <w:rPr>
          <w:color w:val="334155"/>
          <w:sz w:val="19"/>
        </w:rPr>
        <w:t>Instead, it establishes the spatial logic, technical principles and performance expectations needed to guide future</w:t>
      </w:r>
    </w:p>
    <w:p>
      <w:pPr>
        <w:spacing w:before="40" w:after="80" w:line="276" w:lineRule="auto"/>
      </w:pPr>
      <w:r>
        <w:rPr>
          <w:color w:val="334155"/>
          <w:sz w:val="19"/>
        </w:rPr>
        <w:t>planning, design and approvals in a consistent way.</w:t>
      </w:r>
    </w:p>
    <w:p>
      <w:pPr>
        <w:spacing w:before="40" w:after="80" w:line="276" w:lineRule="auto"/>
      </w:pPr>
      <w:r>
        <w:rPr>
          <w:color w:val="334155"/>
          <w:sz w:val="19"/>
        </w:rPr>
        <w:t>Based on the site review and high-level strategic assessment completed for this report, all core aspects of</w:t>
      </w:r>
    </w:p>
    <w:p>
      <w:pPr>
        <w:spacing w:before="40" w:after="80" w:line="276" w:lineRule="auto"/>
      </w:pPr>
      <w:r>
        <w:rPr>
          <w:color w:val="334155"/>
          <w:sz w:val="19"/>
        </w:rPr>
        <w:t>stormwater management, flooding response, water quality management and emergency evacuation are considered</w:t>
      </w:r>
    </w:p>
    <w:p>
      <w:pPr>
        <w:spacing w:before="40" w:after="80" w:line="276" w:lineRule="auto"/>
      </w:pPr>
      <w:r>
        <w:rPr>
          <w:color w:val="334155"/>
          <w:sz w:val="19"/>
        </w:rPr>
        <w:t>practically achievable across the Precinct. This does not remove the need for future modelling, detailed design,</w:t>
      </w:r>
    </w:p>
    <w:p>
      <w:pPr>
        <w:spacing w:before="40" w:after="80" w:line="276" w:lineRule="auto"/>
      </w:pPr>
      <w:r>
        <w:rPr>
          <w:color w:val="334155"/>
          <w:sz w:val="19"/>
        </w:rPr>
        <w:t>staging reviews and approval pathways. However, it does confirm that there is a credible and workable route to</w:t>
      </w:r>
    </w:p>
    <w:p>
      <w:pPr>
        <w:spacing w:before="40" w:after="80" w:line="276" w:lineRule="auto"/>
      </w:pPr>
      <w:r>
        <w:rPr>
          <w:color w:val="334155"/>
          <w:sz w:val="19"/>
        </w:rPr>
        <w:t>resolving these matters through later project phases. In particular, the report shows that flood-compatible land use</w:t>
      </w:r>
    </w:p>
    <w:p>
      <w:pPr>
        <w:spacing w:before="40" w:after="80" w:line="276" w:lineRule="auto"/>
      </w:pPr>
      <w:r>
        <w:rPr>
          <w:color w:val="334155"/>
          <w:sz w:val="19"/>
        </w:rPr>
        <w:t>planning, structured drainage networks, protection of overland flow paths, water quality treatment trains and future</w:t>
      </w:r>
    </w:p>
    <w:p>
      <w:pPr>
        <w:spacing w:before="40" w:after="80" w:line="276" w:lineRule="auto"/>
      </w:pPr>
      <w:r>
        <w:rPr>
          <w:color w:val="334155"/>
          <w:sz w:val="19"/>
        </w:rPr>
        <w:t>emergency access planning can all be integrated into the development of the Precinct in a practical manner.</w:t>
      </w:r>
    </w:p>
    <w:p>
      <w:pPr>
        <w:spacing w:before="40" w:after="80" w:line="276" w:lineRule="auto"/>
      </w:pPr>
      <w:r>
        <w:rPr>
          <w:color w:val="334155"/>
          <w:sz w:val="19"/>
        </w:rPr>
        <w:t>Looking ahead, there is also an opportunity to reduce demand on conventional water cycle management</w:t>
      </w:r>
    </w:p>
    <w:p>
      <w:pPr>
        <w:spacing w:before="40" w:after="80" w:line="276" w:lineRule="auto"/>
      </w:pPr>
      <w:r>
        <w:rPr>
          <w:color w:val="334155"/>
          <w:sz w:val="19"/>
        </w:rPr>
        <w:t>infrastructure by exploring more sustainable and integrated servicing strategies as the Precinct develops. These</w:t>
      </w:r>
    </w:p>
    <w:p>
      <w:pPr>
        <w:spacing w:before="40" w:after="80" w:line="276" w:lineRule="auto"/>
      </w:pPr>
      <w:r>
        <w:rPr>
          <w:color w:val="334155"/>
          <w:sz w:val="19"/>
        </w:rPr>
        <w:t>`</w:t>
      </w:r>
    </w:p>
    <w:p>
      <w:pPr>
        <w:pStyle w:val="Heading3"/>
        <w:keepNext/>
        <w:spacing w:before="160" w:after="40"/>
      </w:pPr>
      <w:r>
        <w:rPr>
          <w:b/>
          <w:color w:val="334155"/>
        </w:rPr>
        <w:t>Page 11</w:t>
      </w:r>
    </w:p>
    <w:p>
      <w:pPr>
        <w:spacing w:before="40" w:after="80" w:line="276" w:lineRule="auto"/>
      </w:pPr>
      <w:r>
        <w:rPr>
          <w:color w:val="334155"/>
          <w:sz w:val="19"/>
        </w:rPr>
        <w:t>Precinct constraints</w:t>
      </w:r>
    </w:p>
    <w:p>
      <w:pPr>
        <w:spacing w:before="40" w:after="80" w:line="276" w:lineRule="auto"/>
      </w:pPr>
      <w:r>
        <w:rPr>
          <w:color w:val="334155"/>
          <w:sz w:val="19"/>
        </w:rPr>
        <w:t>The Precinct presents a range of environmental, physical and infrastructure</w:t>
      </w:r>
    </w:p>
    <w:p>
      <w:pPr>
        <w:spacing w:before="40" w:after="80" w:line="276" w:lineRule="auto"/>
      </w:pPr>
      <w:r>
        <w:rPr>
          <w:color w:val="334155"/>
          <w:sz w:val="19"/>
        </w:rPr>
        <w:t>constraints that are managed through the structure plan and addressed</w:t>
      </w:r>
    </w:p>
    <w:p>
      <w:pPr>
        <w:spacing w:before="40" w:after="80" w:line="276" w:lineRule="auto"/>
      </w:pPr>
      <w:r>
        <w:rPr>
          <w:color w:val="334155"/>
          <w:sz w:val="19"/>
        </w:rPr>
        <w:t>progressively through staged development and site-specific assessment at the</w:t>
      </w:r>
    </w:p>
    <w:p>
      <w:pPr>
        <w:spacing w:before="40" w:after="80" w:line="276" w:lineRule="auto"/>
      </w:pPr>
      <w:r>
        <w:rPr>
          <w:color w:val="334155"/>
          <w:sz w:val="19"/>
        </w:rPr>
        <w:t>development application stage.</w:t>
      </w:r>
    </w:p>
    <w:p>
      <w:pPr>
        <w:spacing w:before="40" w:after="80" w:line="276" w:lineRule="auto"/>
      </w:pPr>
      <w:r>
        <w:rPr>
          <w:color w:val="334155"/>
          <w:sz w:val="19"/>
        </w:rPr>
        <w:t>Geotechnical stability and risk management – Development on the TSF and the</w:t>
      </w:r>
    </w:p>
    <w:p>
      <w:pPr>
        <w:spacing w:before="40" w:after="80" w:line="276" w:lineRule="auto"/>
      </w:pPr>
      <w:r>
        <w:rPr>
          <w:color w:val="334155"/>
          <w:sz w:val="19"/>
        </w:rPr>
        <w:t>land located in the dam break inundation zone to the north is currently limited.</w:t>
      </w:r>
    </w:p>
    <w:p>
      <w:pPr>
        <w:spacing w:before="40" w:after="80" w:line="276" w:lineRule="auto"/>
      </w:pPr>
      <w:r>
        <w:rPr>
          <w:color w:val="334155"/>
          <w:sz w:val="19"/>
        </w:rPr>
        <w:t>Soft alluvial soils located around the coastal wetlands in the north of the site</w:t>
      </w:r>
    </w:p>
    <w:p>
      <w:pPr>
        <w:spacing w:before="40" w:after="80" w:line="276" w:lineRule="auto"/>
      </w:pPr>
      <w:r>
        <w:rPr>
          <w:color w:val="334155"/>
          <w:sz w:val="19"/>
        </w:rPr>
        <w:t>influence construction methods.</w:t>
      </w:r>
    </w:p>
    <w:p>
      <w:pPr>
        <w:spacing w:before="40" w:after="80" w:line="276" w:lineRule="auto"/>
      </w:pPr>
      <w:r>
        <w:rPr>
          <w:color w:val="334155"/>
          <w:sz w:val="19"/>
        </w:rPr>
        <w:t>Environmental – Existing areas of high biodiversity values, high bush fire risk</w:t>
      </w:r>
    </w:p>
    <w:p>
      <w:pPr>
        <w:spacing w:before="40" w:after="80" w:line="276" w:lineRule="auto"/>
      </w:pPr>
      <w:r>
        <w:rPr>
          <w:color w:val="334155"/>
          <w:sz w:val="19"/>
        </w:rPr>
        <w:t>and flood affected areas require further investigation to inform development</w:t>
      </w:r>
    </w:p>
    <w:p>
      <w:pPr>
        <w:spacing w:before="40" w:after="80" w:line="276" w:lineRule="auto"/>
      </w:pPr>
      <w:r>
        <w:rPr>
          <w:color w:val="334155"/>
          <w:sz w:val="19"/>
        </w:rPr>
        <w:t>siting and design.</w:t>
      </w:r>
    </w:p>
    <w:p>
      <w:pPr>
        <w:spacing w:before="40" w:after="80" w:line="276" w:lineRule="auto"/>
      </w:pPr>
      <w:r>
        <w:rPr>
          <w:color w:val="334155"/>
          <w:sz w:val="19"/>
        </w:rPr>
        <w:t>Sensitive uses – Interfaces between existing land uses, including residential</w:t>
      </w:r>
    </w:p>
    <w:p>
      <w:pPr>
        <w:spacing w:before="40" w:after="80" w:line="276" w:lineRule="auto"/>
      </w:pPr>
      <w:r>
        <w:rPr>
          <w:color w:val="334155"/>
          <w:sz w:val="19"/>
        </w:rPr>
        <w:t>receivers and potential future industrial land uses will need to be managed to</w:t>
      </w:r>
    </w:p>
    <w:p>
      <w:pPr>
        <w:spacing w:before="40" w:after="80" w:line="276" w:lineRule="auto"/>
      </w:pPr>
      <w:r>
        <w:rPr>
          <w:color w:val="334155"/>
          <w:sz w:val="19"/>
        </w:rPr>
        <w:t>mitigate negative noise, odour and visual impacts.</w:t>
      </w:r>
    </w:p>
    <w:p>
      <w:pPr>
        <w:spacing w:before="40" w:after="80" w:line="276" w:lineRule="auto"/>
      </w:pPr>
      <w:r>
        <w:rPr>
          <w:color w:val="334155"/>
          <w:sz w:val="19"/>
        </w:rPr>
        <w:t>Infrastructure – Heavy vehicle access to parts of the site is currently limited</w:t>
      </w:r>
    </w:p>
    <w:p>
      <w:pPr>
        <w:spacing w:before="40" w:after="80" w:line="276" w:lineRule="auto"/>
      </w:pPr>
      <w:r>
        <w:rPr>
          <w:color w:val="334155"/>
          <w:sz w:val="19"/>
        </w:rPr>
        <w:t>due to steep gradients, access through local residential areas and existing rail</w:t>
      </w:r>
    </w:p>
    <w:p>
      <w:pPr>
        <w:spacing w:before="40" w:after="80" w:line="276" w:lineRule="auto"/>
      </w:pPr>
      <w:r>
        <w:rPr>
          <w:color w:val="334155"/>
          <w:sz w:val="19"/>
        </w:rPr>
        <w:t>crossings. The location of the existing oil pipeline, electrical transmission lines</w:t>
      </w:r>
    </w:p>
    <w:p>
      <w:pPr>
        <w:spacing w:before="40" w:after="80" w:line="276" w:lineRule="auto"/>
      </w:pPr>
      <w:r>
        <w:rPr>
          <w:color w:val="334155"/>
          <w:sz w:val="19"/>
        </w:rPr>
        <w:t>and their associated easements, setbacks and design measures will need to be</w:t>
      </w:r>
    </w:p>
    <w:p>
      <w:pPr>
        <w:spacing w:before="40" w:after="80" w:line="276" w:lineRule="auto"/>
      </w:pPr>
      <w:r>
        <w:rPr>
          <w:color w:val="334155"/>
          <w:sz w:val="19"/>
        </w:rPr>
        <w:t>considered.</w:t>
      </w:r>
    </w:p>
    <w:p>
      <w:pPr>
        <w:spacing w:before="40" w:after="80" w:line="276" w:lineRule="auto"/>
      </w:pPr>
      <w:r>
        <w:rPr>
          <w:color w:val="334155"/>
          <w:sz w:val="19"/>
        </w:rPr>
        <w:t>Utility infrastructure – Viability and sequencing of the provision of utilities,</w:t>
      </w:r>
    </w:p>
    <w:p>
      <w:pPr>
        <w:spacing w:before="40" w:after="80" w:line="276" w:lineRule="auto"/>
      </w:pPr>
      <w:r>
        <w:rPr>
          <w:color w:val="334155"/>
          <w:sz w:val="19"/>
        </w:rPr>
        <w:t>particularly to the West Lake sub-precinct, will need further investigation.</w:t>
      </w:r>
    </w:p>
    <w:p>
      <w:pPr>
        <w:spacing w:before="40" w:after="80" w:line="276" w:lineRule="auto"/>
      </w:pPr>
      <w:r>
        <w:rPr>
          <w:color w:val="334155"/>
          <w:sz w:val="19"/>
        </w:rPr>
        <w:t>11</w:t>
      </w:r>
    </w:p>
    <w:p>
      <w:pPr>
        <w:spacing w:before="40" w:after="80" w:line="276" w:lineRule="auto"/>
      </w:pPr>
      <w:r>
        <w:rPr>
          <w:color w:val="334155"/>
          <w:sz w:val="19"/>
        </w:rPr>
        <w:t>2  Strategic context</w:t>
      </w:r>
    </w:p>
    <w:p>
      <w:pPr>
        <w:spacing w:before="40" w:after="80" w:line="276" w:lineRule="auto"/>
      </w:pPr>
      <w:r>
        <w:rPr>
          <w:color w:val="334155"/>
          <w:sz w:val="19"/>
        </w:rPr>
        <w:t>-</w:t>
      </w:r>
    </w:p>
    <w:p>
      <w:pPr>
        <w:pStyle w:val="Heading3"/>
        <w:keepNext/>
        <w:spacing w:before="160" w:after="40"/>
      </w:pPr>
      <w:r>
        <w:rPr>
          <w:b/>
          <w:color w:val="334155"/>
        </w:rPr>
        <w:t>Page 12</w:t>
      </w:r>
    </w:p>
    <w:p>
      <w:pPr>
        <w:spacing w:before="40" w:after="80" w:line="276" w:lineRule="auto"/>
      </w:pPr>
      <w:r>
        <w:rPr>
          <w:color w:val="334155"/>
          <w:sz w:val="19"/>
        </w:rPr>
        <w:t>Precinct vision</w:t>
      </w:r>
    </w:p>
    <w:p>
      <w:pPr>
        <w:spacing w:before="40" w:after="80" w:line="276" w:lineRule="auto"/>
      </w:pPr>
      <w:r>
        <w:rPr>
          <w:color w:val="334155"/>
          <w:sz w:val="19"/>
        </w:rPr>
        <w:t>3</w:t>
        <w:tab/>
        <w:t xml:space="preserve"> Macquarie Coal</w:t>
      </w:r>
    </w:p>
    <w:p>
      <w:pPr>
        <w:spacing w:before="40" w:after="80" w:line="276" w:lineRule="auto"/>
      </w:pPr>
      <w:r>
        <w:rPr>
          <w:color w:val="334155"/>
          <w:sz w:val="19"/>
        </w:rPr>
        <w:t>Complex Precinct</w:t>
      </w:r>
    </w:p>
    <w:p>
      <w:pPr>
        <w:spacing w:before="40" w:after="80" w:line="276" w:lineRule="auto"/>
      </w:pPr>
      <w:r>
        <w:rPr>
          <w:color w:val="334155"/>
          <w:sz w:val="19"/>
        </w:rPr>
        <w:t>Figure 6: Vision: A new generational-scale employment precinct for the Hunter</w:t>
      </w:r>
    </w:p>
    <w:p>
      <w:pPr>
        <w:spacing w:before="40" w:after="80" w:line="276" w:lineRule="auto"/>
      </w:pPr>
      <w:r>
        <w:rPr>
          <w:color w:val="334155"/>
          <w:sz w:val="19"/>
        </w:rPr>
        <w:t>12</w:t>
      </w:r>
    </w:p>
    <w:p>
      <w:pPr>
        <w:pStyle w:val="Heading3"/>
        <w:keepNext/>
        <w:spacing w:before="160" w:after="40"/>
      </w:pPr>
      <w:r>
        <w:rPr>
          <w:b/>
          <w:color w:val="334155"/>
        </w:rPr>
        <w:t>Page 13</w:t>
      </w:r>
    </w:p>
    <w:p>
      <w:pPr>
        <w:spacing w:before="40" w:after="80" w:line="276" w:lineRule="auto"/>
      </w:pPr>
      <w:r>
        <w:rPr>
          <w:color w:val="334155"/>
          <w:sz w:val="19"/>
        </w:rPr>
        <w:t>Economic diversification and employment</w:t>
      </w:r>
    </w:p>
    <w:p>
      <w:pPr>
        <w:spacing w:before="40" w:after="80" w:line="276" w:lineRule="auto"/>
      </w:pPr>
      <w:r>
        <w:rPr>
          <w:color w:val="334155"/>
          <w:sz w:val="19"/>
        </w:rPr>
        <w:t>•</w:t>
      </w:r>
    </w:p>
    <w:p>
      <w:pPr>
        <w:spacing w:before="40" w:after="80" w:line="276" w:lineRule="auto"/>
      </w:pPr>
      <w:r>
        <w:rPr>
          <w:color w:val="334155"/>
          <w:sz w:val="19"/>
        </w:rPr>
        <w:t>A generational-scale opportunity to transform</w:t>
      </w:r>
    </w:p>
    <w:p>
      <w:pPr>
        <w:spacing w:before="40" w:after="80" w:line="276" w:lineRule="auto"/>
      </w:pPr>
      <w:r>
        <w:rPr>
          <w:color w:val="334155"/>
          <w:sz w:val="19"/>
        </w:rPr>
        <w:t>former mining land into the Lower Hunter’s</w:t>
      </w:r>
    </w:p>
    <w:p>
      <w:pPr>
        <w:spacing w:before="40" w:after="80" w:line="276" w:lineRule="auto"/>
      </w:pPr>
      <w:r>
        <w:rPr>
          <w:color w:val="334155"/>
          <w:sz w:val="19"/>
        </w:rPr>
        <w:t>premier employment precinct, delivering diverse</w:t>
      </w:r>
    </w:p>
    <w:p>
      <w:pPr>
        <w:spacing w:before="40" w:after="80" w:line="276" w:lineRule="auto"/>
      </w:pPr>
      <w:r>
        <w:rPr>
          <w:color w:val="334155"/>
          <w:sz w:val="19"/>
        </w:rPr>
        <w:t>jobs and well-located employment land at a</w:t>
      </w:r>
    </w:p>
    <w:p>
      <w:pPr>
        <w:spacing w:before="40" w:after="80" w:line="276" w:lineRule="auto"/>
      </w:pPr>
      <w:r>
        <w:rPr>
          <w:color w:val="334155"/>
          <w:sz w:val="19"/>
        </w:rPr>
        <w:t>regionally significant scale.</w:t>
      </w:r>
    </w:p>
    <w:p>
      <w:pPr>
        <w:spacing w:before="40" w:after="80" w:line="276" w:lineRule="auto"/>
      </w:pPr>
      <w:r>
        <w:rPr>
          <w:color w:val="334155"/>
          <w:sz w:val="19"/>
        </w:rPr>
        <w:t>•</w:t>
      </w:r>
    </w:p>
    <w:p>
      <w:pPr>
        <w:spacing w:before="40" w:after="80" w:line="276" w:lineRule="auto"/>
      </w:pPr>
      <w:r>
        <w:rPr>
          <w:color w:val="334155"/>
          <w:sz w:val="19"/>
        </w:rPr>
        <w:t>Enable a diversity of employment-generating</w:t>
      </w:r>
    </w:p>
    <w:p>
      <w:pPr>
        <w:spacing w:before="40" w:after="80" w:line="276" w:lineRule="auto"/>
      </w:pPr>
      <w:r>
        <w:rPr>
          <w:color w:val="334155"/>
          <w:sz w:val="19"/>
        </w:rPr>
        <w:t>land uses that support regional economic</w:t>
      </w:r>
    </w:p>
    <w:p>
      <w:pPr>
        <w:spacing w:before="40" w:after="80" w:line="276" w:lineRule="auto"/>
      </w:pPr>
      <w:r>
        <w:rPr>
          <w:color w:val="334155"/>
          <w:sz w:val="19"/>
        </w:rPr>
        <w:t>diversification, attract investment and create</w:t>
      </w:r>
    </w:p>
    <w:p>
      <w:pPr>
        <w:spacing w:before="40" w:after="80" w:line="276" w:lineRule="auto"/>
      </w:pPr>
      <w:r>
        <w:rPr>
          <w:color w:val="334155"/>
          <w:sz w:val="19"/>
        </w:rPr>
        <w:t>local jobs.</w:t>
      </w:r>
    </w:p>
    <w:p>
      <w:pPr>
        <w:spacing w:before="40" w:after="80" w:line="276" w:lineRule="auto"/>
      </w:pPr>
      <w:r>
        <w:rPr>
          <w:color w:val="334155"/>
          <w:sz w:val="19"/>
        </w:rPr>
        <w:t>•</w:t>
      </w:r>
    </w:p>
    <w:p>
      <w:pPr>
        <w:spacing w:before="40" w:after="80" w:line="276" w:lineRule="auto"/>
      </w:pPr>
      <w:r>
        <w:rPr>
          <w:color w:val="334155"/>
          <w:sz w:val="19"/>
        </w:rPr>
        <w:t>A master planned, single-ownership Precinct</w:t>
      </w:r>
    </w:p>
    <w:p>
      <w:pPr>
        <w:spacing w:before="40" w:after="80" w:line="276" w:lineRule="auto"/>
      </w:pPr>
      <w:r>
        <w:rPr>
          <w:color w:val="334155"/>
          <w:sz w:val="19"/>
        </w:rPr>
        <w:t>that attracts investment through flexible lot</w:t>
      </w:r>
    </w:p>
    <w:p>
      <w:pPr>
        <w:spacing w:before="40" w:after="80" w:line="276" w:lineRule="auto"/>
      </w:pPr>
      <w:r>
        <w:rPr>
          <w:color w:val="334155"/>
          <w:sz w:val="19"/>
        </w:rPr>
        <w:t>configurations, co-location of complementary</w:t>
      </w:r>
    </w:p>
    <w:p>
      <w:pPr>
        <w:spacing w:before="40" w:after="80" w:line="276" w:lineRule="auto"/>
      </w:pPr>
      <w:r>
        <w:rPr>
          <w:color w:val="334155"/>
          <w:sz w:val="19"/>
        </w:rPr>
        <w:t>industries and accommodation of large-footprint</w:t>
      </w:r>
    </w:p>
    <w:p>
      <w:pPr>
        <w:spacing w:before="40" w:after="80" w:line="276" w:lineRule="auto"/>
      </w:pPr>
      <w:r>
        <w:rPr>
          <w:color w:val="334155"/>
          <w:sz w:val="19"/>
        </w:rPr>
        <w:t>uses.</w:t>
      </w:r>
    </w:p>
    <w:p>
      <w:pPr>
        <w:spacing w:before="40" w:after="80" w:line="276" w:lineRule="auto"/>
      </w:pPr>
      <w:r>
        <w:rPr>
          <w:color w:val="334155"/>
          <w:sz w:val="19"/>
        </w:rPr>
        <w:t>•</w:t>
      </w:r>
    </w:p>
    <w:p>
      <w:pPr>
        <w:spacing w:before="40" w:after="80" w:line="276" w:lineRule="auto"/>
      </w:pPr>
      <w:r>
        <w:rPr>
          <w:color w:val="334155"/>
          <w:sz w:val="19"/>
        </w:rPr>
        <w:t>A flexible, staged delivery framework that</w:t>
      </w:r>
    </w:p>
    <w:p>
      <w:pPr>
        <w:spacing w:before="40" w:after="80" w:line="276" w:lineRule="auto"/>
      </w:pPr>
      <w:r>
        <w:rPr>
          <w:color w:val="334155"/>
          <w:sz w:val="19"/>
        </w:rPr>
        <w:t>aligns with mine closure commitments,</w:t>
      </w:r>
    </w:p>
    <w:p>
      <w:pPr>
        <w:spacing w:before="40" w:after="80" w:line="276" w:lineRule="auto"/>
      </w:pPr>
      <w:r>
        <w:rPr>
          <w:color w:val="334155"/>
          <w:sz w:val="19"/>
        </w:rPr>
        <w:t>infrastructure capacity and changing economic,</w:t>
      </w:r>
    </w:p>
    <w:p>
      <w:pPr>
        <w:spacing w:before="40" w:after="80" w:line="276" w:lineRule="auto"/>
      </w:pPr>
      <w:r>
        <w:rPr>
          <w:color w:val="334155"/>
          <w:sz w:val="19"/>
        </w:rPr>
        <w:t>social and market conditions, for the orderly</w:t>
      </w:r>
    </w:p>
    <w:p>
      <w:pPr>
        <w:spacing w:before="40" w:after="80" w:line="276" w:lineRule="auto"/>
      </w:pPr>
      <w:r>
        <w:rPr>
          <w:color w:val="334155"/>
          <w:sz w:val="19"/>
        </w:rPr>
        <w:t>transformation from rehabilitation to productive</w:t>
      </w:r>
    </w:p>
    <w:p>
      <w:pPr>
        <w:spacing w:before="40" w:after="80" w:line="276" w:lineRule="auto"/>
      </w:pPr>
      <w:r>
        <w:rPr>
          <w:color w:val="334155"/>
          <w:sz w:val="19"/>
        </w:rPr>
        <w:t>post mining uses.</w:t>
      </w:r>
    </w:p>
    <w:p>
      <w:pPr>
        <w:spacing w:before="40" w:after="80" w:line="276" w:lineRule="auto"/>
      </w:pPr>
      <w:r>
        <w:rPr>
          <w:color w:val="334155"/>
          <w:sz w:val="19"/>
        </w:rPr>
        <w:t>Infrastructure and mobility</w:t>
      </w:r>
    </w:p>
    <w:p>
      <w:pPr>
        <w:spacing w:before="40" w:after="80" w:line="276" w:lineRule="auto"/>
      </w:pPr>
      <w:r>
        <w:rPr>
          <w:color w:val="334155"/>
          <w:sz w:val="19"/>
        </w:rPr>
        <w:t>•</w:t>
      </w:r>
    </w:p>
    <w:p>
      <w:pPr>
        <w:spacing w:before="40" w:after="80" w:line="276" w:lineRule="auto"/>
      </w:pPr>
      <w:r>
        <w:rPr>
          <w:color w:val="334155"/>
          <w:sz w:val="19"/>
        </w:rPr>
        <w:t>Leveraging existing transport connections to</w:t>
      </w:r>
    </w:p>
    <w:p>
      <w:pPr>
        <w:spacing w:before="40" w:after="80" w:line="276" w:lineRule="auto"/>
      </w:pPr>
      <w:r>
        <w:rPr>
          <w:color w:val="334155"/>
          <w:sz w:val="19"/>
        </w:rPr>
        <w:t>deliver an efficient, well-serviced employment</w:t>
      </w:r>
    </w:p>
    <w:p>
      <w:pPr>
        <w:spacing w:before="40" w:after="80" w:line="276" w:lineRule="auto"/>
      </w:pPr>
      <w:r>
        <w:rPr>
          <w:color w:val="334155"/>
          <w:sz w:val="19"/>
        </w:rPr>
        <w:t>precinct, with a legible internal road hierarchy</w:t>
      </w:r>
    </w:p>
    <w:p>
      <w:pPr>
        <w:spacing w:before="40" w:after="80" w:line="276" w:lineRule="auto"/>
      </w:pPr>
      <w:r>
        <w:rPr>
          <w:color w:val="334155"/>
          <w:sz w:val="19"/>
        </w:rPr>
        <w:t>that supports safe and equitable access for</w:t>
      </w:r>
    </w:p>
    <w:p>
      <w:pPr>
        <w:spacing w:before="40" w:after="80" w:line="276" w:lineRule="auto"/>
      </w:pPr>
      <w:r>
        <w:rPr>
          <w:color w:val="334155"/>
          <w:sz w:val="19"/>
        </w:rPr>
        <w:t>freight, workforce, public transport and active</w:t>
      </w:r>
    </w:p>
    <w:p>
      <w:pPr>
        <w:spacing w:before="40" w:after="80" w:line="276" w:lineRule="auto"/>
      </w:pPr>
      <w:r>
        <w:rPr>
          <w:color w:val="334155"/>
          <w:sz w:val="19"/>
        </w:rPr>
        <w:t>transport users.</w:t>
      </w:r>
    </w:p>
    <w:p>
      <w:pPr>
        <w:spacing w:before="40" w:after="80" w:line="276" w:lineRule="auto"/>
      </w:pPr>
      <w:r>
        <w:rPr>
          <w:color w:val="334155"/>
          <w:sz w:val="19"/>
        </w:rPr>
        <w:t>•</w:t>
      </w:r>
    </w:p>
    <w:p>
      <w:pPr>
        <w:spacing w:before="40" w:after="80" w:line="276" w:lineRule="auto"/>
      </w:pPr>
      <w:r>
        <w:rPr>
          <w:color w:val="334155"/>
          <w:sz w:val="19"/>
        </w:rPr>
        <w:t>Utilities and services that meet the current</w:t>
      </w:r>
    </w:p>
    <w:p>
      <w:pPr>
        <w:spacing w:before="40" w:after="80" w:line="276" w:lineRule="auto"/>
      </w:pPr>
      <w:r>
        <w:rPr>
          <w:color w:val="334155"/>
          <w:sz w:val="19"/>
        </w:rPr>
        <w:t>and future servicing needs of the Precinct,</w:t>
      </w:r>
    </w:p>
    <w:p>
      <w:pPr>
        <w:spacing w:before="40" w:after="80" w:line="276" w:lineRule="auto"/>
      </w:pPr>
      <w:r>
        <w:rPr>
          <w:color w:val="334155"/>
          <w:sz w:val="19"/>
        </w:rPr>
        <w:t>whilst minimising land impacts and maximising</w:t>
      </w:r>
    </w:p>
    <w:p>
      <w:pPr>
        <w:spacing w:before="40" w:after="80" w:line="276" w:lineRule="auto"/>
      </w:pPr>
      <w:r>
        <w:rPr>
          <w:color w:val="334155"/>
          <w:sz w:val="19"/>
        </w:rPr>
        <w:t>reliability, efficiency and sustainability.</w:t>
      </w:r>
    </w:p>
    <w:p>
      <w:pPr>
        <w:spacing w:before="40" w:after="80" w:line="276" w:lineRule="auto"/>
      </w:pPr>
      <w:r>
        <w:rPr>
          <w:color w:val="334155"/>
          <w:sz w:val="19"/>
        </w:rPr>
        <w:t>Guiding principles</w:t>
      </w:r>
    </w:p>
    <w:p>
      <w:pPr>
        <w:spacing w:before="40" w:after="80" w:line="276" w:lineRule="auto"/>
      </w:pPr>
      <w:r>
        <w:rPr>
          <w:color w:val="334155"/>
          <w:sz w:val="19"/>
        </w:rPr>
        <w:t>The guiding principles establish the Precinct-wide directions for land use, infrastructure, environmental</w:t>
      </w:r>
    </w:p>
    <w:p>
      <w:pPr>
        <w:spacing w:before="40" w:after="80" w:line="276" w:lineRule="auto"/>
      </w:pPr>
      <w:r>
        <w:rPr>
          <w:color w:val="334155"/>
          <w:sz w:val="19"/>
        </w:rPr>
        <w:t>management, design quality and community benefit. They are to guide future planning, development</w:t>
      </w:r>
    </w:p>
    <w:p>
      <w:pPr>
        <w:spacing w:before="40" w:after="80" w:line="276" w:lineRule="auto"/>
      </w:pPr>
      <w:r>
        <w:rPr>
          <w:color w:val="334155"/>
          <w:sz w:val="19"/>
        </w:rPr>
        <w:t>assessment, addenda to the draft Master Plan and staged implementation.</w:t>
      </w:r>
    </w:p>
    <w:p>
      <w:pPr>
        <w:spacing w:before="40" w:after="80" w:line="276" w:lineRule="auto"/>
      </w:pPr>
      <w:r>
        <w:rPr>
          <w:color w:val="334155"/>
          <w:sz w:val="19"/>
        </w:rPr>
        <w:t>13</w:t>
      </w:r>
    </w:p>
    <w:p>
      <w:pPr>
        <w:spacing w:before="40" w:after="80" w:line="276" w:lineRule="auto"/>
      </w:pPr>
      <w:r>
        <w:rPr>
          <w:color w:val="334155"/>
          <w:sz w:val="19"/>
        </w:rPr>
        <w:t>3  Macquarie Coal Complex Precinct</w:t>
      </w:r>
    </w:p>
    <w:p>
      <w:pPr>
        <w:pStyle w:val="Heading3"/>
        <w:keepNext/>
        <w:spacing w:before="160" w:after="40"/>
      </w:pPr>
      <w:r>
        <w:rPr>
          <w:b/>
          <w:color w:val="334155"/>
        </w:rPr>
        <w:t>Page 14</w:t>
      </w:r>
    </w:p>
    <w:p>
      <w:pPr>
        <w:spacing w:before="40" w:after="80" w:line="276" w:lineRule="auto"/>
      </w:pPr>
      <w:r>
        <w:rPr>
          <w:color w:val="334155"/>
          <w:sz w:val="19"/>
        </w:rPr>
        <w:t>Environment and resilience</w:t>
      </w:r>
    </w:p>
    <w:p>
      <w:pPr>
        <w:spacing w:before="40" w:after="80" w:line="276" w:lineRule="auto"/>
      </w:pPr>
      <w:r>
        <w:rPr>
          <w:color w:val="334155"/>
          <w:sz w:val="19"/>
        </w:rPr>
        <w:t>•</w:t>
      </w:r>
    </w:p>
    <w:p>
      <w:pPr>
        <w:spacing w:before="40" w:after="80" w:line="276" w:lineRule="auto"/>
      </w:pPr>
      <w:r>
        <w:rPr>
          <w:color w:val="334155"/>
          <w:sz w:val="19"/>
        </w:rPr>
        <w:t>A connected network of high-value biodiversity,</w:t>
      </w:r>
    </w:p>
    <w:p>
      <w:pPr>
        <w:spacing w:before="40" w:after="80" w:line="276" w:lineRule="auto"/>
      </w:pPr>
      <w:r>
        <w:rPr>
          <w:color w:val="334155"/>
          <w:sz w:val="19"/>
        </w:rPr>
        <w:t>wetlands and riparian corridors retained as</w:t>
      </w:r>
    </w:p>
    <w:p>
      <w:pPr>
        <w:spacing w:before="40" w:after="80" w:line="276" w:lineRule="auto"/>
      </w:pPr>
      <w:r>
        <w:rPr>
          <w:color w:val="334155"/>
          <w:sz w:val="19"/>
        </w:rPr>
        <w:t>integral elements of the Precinct.</w:t>
      </w:r>
    </w:p>
    <w:p>
      <w:pPr>
        <w:spacing w:before="40" w:after="80" w:line="276" w:lineRule="auto"/>
      </w:pPr>
      <w:r>
        <w:rPr>
          <w:color w:val="334155"/>
          <w:sz w:val="19"/>
        </w:rPr>
        <w:t>•</w:t>
      </w:r>
    </w:p>
    <w:p>
      <w:pPr>
        <w:spacing w:before="40" w:after="80" w:line="276" w:lineRule="auto"/>
      </w:pPr>
      <w:r>
        <w:rPr>
          <w:color w:val="334155"/>
          <w:sz w:val="19"/>
        </w:rPr>
        <w:t>Encourage restorative and resilient development</w:t>
      </w:r>
    </w:p>
    <w:p>
      <w:pPr>
        <w:spacing w:before="40" w:after="80" w:line="276" w:lineRule="auto"/>
      </w:pPr>
      <w:r>
        <w:rPr>
          <w:color w:val="334155"/>
          <w:sz w:val="19"/>
        </w:rPr>
        <w:t>that responds to biodiversity values, flood-prone</w:t>
      </w:r>
    </w:p>
    <w:p>
      <w:pPr>
        <w:spacing w:before="40" w:after="80" w:line="276" w:lineRule="auto"/>
      </w:pPr>
      <w:r>
        <w:rPr>
          <w:color w:val="334155"/>
          <w:sz w:val="19"/>
        </w:rPr>
        <w:t>areas, drainage systems and minimises</w:t>
      </w:r>
    </w:p>
    <w:p>
      <w:pPr>
        <w:spacing w:before="40" w:after="80" w:line="276" w:lineRule="auto"/>
      </w:pPr>
      <w:r>
        <w:rPr>
          <w:color w:val="334155"/>
          <w:sz w:val="19"/>
        </w:rPr>
        <w:t>cumulative impact.</w:t>
      </w:r>
    </w:p>
    <w:p>
      <w:pPr>
        <w:spacing w:before="40" w:after="80" w:line="276" w:lineRule="auto"/>
      </w:pPr>
      <w:r>
        <w:rPr>
          <w:color w:val="334155"/>
          <w:sz w:val="19"/>
        </w:rPr>
        <w:t>•</w:t>
      </w:r>
    </w:p>
    <w:p>
      <w:pPr>
        <w:spacing w:before="40" w:after="80" w:line="276" w:lineRule="auto"/>
      </w:pPr>
      <w:r>
        <w:rPr>
          <w:color w:val="334155"/>
          <w:sz w:val="19"/>
        </w:rPr>
        <w:t>Land use and development enable a coordinated</w:t>
      </w:r>
    </w:p>
    <w:p>
      <w:pPr>
        <w:spacing w:before="40" w:after="80" w:line="276" w:lineRule="auto"/>
      </w:pPr>
      <w:r>
        <w:rPr>
          <w:color w:val="334155"/>
          <w:sz w:val="19"/>
        </w:rPr>
        <w:t>transformation to net-zero emissions.</w:t>
      </w:r>
    </w:p>
    <w:p>
      <w:pPr>
        <w:spacing w:before="40" w:after="80" w:line="276" w:lineRule="auto"/>
      </w:pPr>
      <w:r>
        <w:rPr>
          <w:color w:val="334155"/>
          <w:sz w:val="19"/>
        </w:rPr>
        <w:t>•</w:t>
      </w:r>
    </w:p>
    <w:p>
      <w:pPr>
        <w:spacing w:before="40" w:after="80" w:line="276" w:lineRule="auto"/>
      </w:pPr>
      <w:r>
        <w:rPr>
          <w:color w:val="334155"/>
          <w:sz w:val="19"/>
        </w:rPr>
        <w:t>A precinct-scale approach to managing post</w:t>
      </w:r>
    </w:p>
    <w:p>
      <w:pPr>
        <w:spacing w:before="40" w:after="80" w:line="276" w:lineRule="auto"/>
      </w:pPr>
      <w:r>
        <w:rPr>
          <w:color w:val="334155"/>
          <w:sz w:val="19"/>
        </w:rPr>
        <w:t>mining constraints through a staged, risk-</w:t>
      </w:r>
    </w:p>
    <w:p>
      <w:pPr>
        <w:spacing w:before="40" w:after="80" w:line="276" w:lineRule="auto"/>
      </w:pPr>
      <w:r>
        <w:rPr>
          <w:color w:val="334155"/>
          <w:sz w:val="19"/>
        </w:rPr>
        <w:t>informed framework that progressively develops</w:t>
      </w:r>
    </w:p>
    <w:p>
      <w:pPr>
        <w:spacing w:before="40" w:after="80" w:line="276" w:lineRule="auto"/>
      </w:pPr>
      <w:r>
        <w:rPr>
          <w:color w:val="334155"/>
          <w:sz w:val="19"/>
        </w:rPr>
        <w:t>land as conditions mature.</w:t>
      </w:r>
    </w:p>
    <w:p>
      <w:pPr>
        <w:spacing w:before="40" w:after="80" w:line="276" w:lineRule="auto"/>
      </w:pPr>
      <w:r>
        <w:rPr>
          <w:color w:val="334155"/>
          <w:sz w:val="19"/>
        </w:rPr>
        <w:t>•</w:t>
      </w:r>
    </w:p>
    <w:p>
      <w:pPr>
        <w:spacing w:before="40" w:after="80" w:line="276" w:lineRule="auto"/>
      </w:pPr>
      <w:r>
        <w:rPr>
          <w:color w:val="334155"/>
          <w:sz w:val="19"/>
        </w:rPr>
        <w:t>Support circular economy models through</w:t>
      </w:r>
    </w:p>
    <w:p>
      <w:pPr>
        <w:spacing w:before="40" w:after="80" w:line="276" w:lineRule="auto"/>
      </w:pPr>
      <w:r>
        <w:rPr>
          <w:color w:val="334155"/>
          <w:sz w:val="19"/>
        </w:rPr>
        <w:t>the co-location of complementary industries that</w:t>
      </w:r>
    </w:p>
    <w:p>
      <w:pPr>
        <w:spacing w:before="40" w:after="80" w:line="276" w:lineRule="auto"/>
      </w:pPr>
      <w:r>
        <w:rPr>
          <w:color w:val="334155"/>
          <w:sz w:val="19"/>
        </w:rPr>
        <w:t>can share resources, infrastructure</w:t>
      </w:r>
    </w:p>
    <w:p>
      <w:pPr>
        <w:spacing w:before="40" w:after="80" w:line="276" w:lineRule="auto"/>
      </w:pPr>
      <w:r>
        <w:rPr>
          <w:color w:val="334155"/>
          <w:sz w:val="19"/>
        </w:rPr>
        <w:t>and services, reducing waste and improving</w:t>
      </w:r>
    </w:p>
    <w:p>
      <w:pPr>
        <w:spacing w:before="40" w:after="80" w:line="276" w:lineRule="auto"/>
      </w:pPr>
      <w:r>
        <w:rPr>
          <w:color w:val="334155"/>
          <w:sz w:val="19"/>
        </w:rPr>
        <w:t>resource efficiency.</w:t>
      </w:r>
    </w:p>
    <w:p>
      <w:pPr>
        <w:spacing w:before="40" w:after="80" w:line="276" w:lineRule="auto"/>
      </w:pPr>
      <w:r>
        <w:rPr>
          <w:color w:val="334155"/>
          <w:sz w:val="19"/>
        </w:rPr>
        <w:t>Place and community benefits</w:t>
      </w:r>
    </w:p>
    <w:p>
      <w:pPr>
        <w:spacing w:before="40" w:after="80" w:line="276" w:lineRule="auto"/>
      </w:pPr>
      <w:r>
        <w:rPr>
          <w:color w:val="334155"/>
          <w:sz w:val="19"/>
        </w:rPr>
        <w:t>•</w:t>
      </w:r>
    </w:p>
    <w:p>
      <w:pPr>
        <w:spacing w:before="40" w:after="80" w:line="276" w:lineRule="auto"/>
      </w:pPr>
      <w:r>
        <w:rPr>
          <w:color w:val="334155"/>
          <w:sz w:val="19"/>
        </w:rPr>
        <w:t>A distinctive post mining landscape identity,</w:t>
      </w:r>
    </w:p>
    <w:p>
      <w:pPr>
        <w:spacing w:before="40" w:after="80" w:line="276" w:lineRule="auto"/>
      </w:pPr>
      <w:r>
        <w:rPr>
          <w:color w:val="334155"/>
          <w:sz w:val="19"/>
        </w:rPr>
        <w:t>where rehabilitating landforms, remnant native</w:t>
      </w:r>
    </w:p>
    <w:p>
      <w:pPr>
        <w:spacing w:before="40" w:after="80" w:line="276" w:lineRule="auto"/>
      </w:pPr>
      <w:r>
        <w:rPr>
          <w:color w:val="334155"/>
          <w:sz w:val="19"/>
        </w:rPr>
        <w:t>bushland, waterways and ecological corridors</w:t>
      </w:r>
    </w:p>
    <w:p>
      <w:pPr>
        <w:spacing w:before="40" w:after="80" w:line="276" w:lineRule="auto"/>
      </w:pPr>
      <w:r>
        <w:rPr>
          <w:color w:val="334155"/>
          <w:sz w:val="19"/>
        </w:rPr>
        <w:t>shape the Precinct’s character and sense of</w:t>
      </w:r>
    </w:p>
    <w:p>
      <w:pPr>
        <w:spacing w:before="40" w:after="80" w:line="276" w:lineRule="auto"/>
      </w:pPr>
      <w:r>
        <w:rPr>
          <w:color w:val="334155"/>
          <w:sz w:val="19"/>
        </w:rPr>
        <w:t>place.</w:t>
      </w:r>
    </w:p>
    <w:p>
      <w:pPr>
        <w:spacing w:before="40" w:after="80" w:line="276" w:lineRule="auto"/>
      </w:pPr>
      <w:r>
        <w:rPr>
          <w:color w:val="334155"/>
          <w:sz w:val="19"/>
        </w:rPr>
        <w:t>•</w:t>
      </w:r>
    </w:p>
    <w:p>
      <w:pPr>
        <w:spacing w:before="40" w:after="80" w:line="276" w:lineRule="auto"/>
      </w:pPr>
      <w:r>
        <w:rPr>
          <w:color w:val="334155"/>
          <w:sz w:val="19"/>
        </w:rPr>
        <w:t>High-quality urban design and public realm</w:t>
      </w:r>
    </w:p>
    <w:p>
      <w:pPr>
        <w:spacing w:before="40" w:after="80" w:line="276" w:lineRule="auto"/>
      </w:pPr>
      <w:r>
        <w:rPr>
          <w:color w:val="334155"/>
          <w:sz w:val="19"/>
        </w:rPr>
        <w:t>outcomes with built form, subdivision</w:t>
      </w:r>
    </w:p>
    <w:p>
      <w:pPr>
        <w:spacing w:before="40" w:after="80" w:line="276" w:lineRule="auto"/>
      </w:pPr>
      <w:r>
        <w:rPr>
          <w:color w:val="334155"/>
          <w:sz w:val="19"/>
        </w:rPr>
        <w:t>and interface treatments that respond to</w:t>
      </w:r>
    </w:p>
    <w:p>
      <w:pPr>
        <w:spacing w:before="40" w:after="80" w:line="276" w:lineRule="auto"/>
      </w:pPr>
      <w:r>
        <w:rPr>
          <w:color w:val="334155"/>
          <w:sz w:val="19"/>
        </w:rPr>
        <w:t>topography, rehabilitated landforms and the</w:t>
      </w:r>
    </w:p>
    <w:p>
      <w:pPr>
        <w:spacing w:before="40" w:after="80" w:line="276" w:lineRule="auto"/>
      </w:pPr>
      <w:r>
        <w:rPr>
          <w:color w:val="334155"/>
          <w:sz w:val="19"/>
        </w:rPr>
        <w:t>broader environmental and cultural setting.</w:t>
      </w:r>
    </w:p>
    <w:p>
      <w:pPr>
        <w:spacing w:before="40" w:after="80" w:line="276" w:lineRule="auto"/>
      </w:pPr>
      <w:r>
        <w:rPr>
          <w:color w:val="334155"/>
          <w:sz w:val="19"/>
        </w:rPr>
        <w:t>•</w:t>
      </w:r>
    </w:p>
    <w:p>
      <w:pPr>
        <w:spacing w:before="40" w:after="80" w:line="276" w:lineRule="auto"/>
      </w:pPr>
      <w:r>
        <w:rPr>
          <w:color w:val="334155"/>
          <w:sz w:val="19"/>
        </w:rPr>
        <w:t>Integrated community-supporting facilities co-</w:t>
      </w:r>
    </w:p>
    <w:p>
      <w:pPr>
        <w:spacing w:before="40" w:after="80" w:line="276" w:lineRule="auto"/>
      </w:pPr>
      <w:r>
        <w:rPr>
          <w:color w:val="334155"/>
          <w:sz w:val="19"/>
        </w:rPr>
        <w:t>located with employment areas and public open</w:t>
      </w:r>
    </w:p>
    <w:p>
      <w:pPr>
        <w:spacing w:before="40" w:after="80" w:line="276" w:lineRule="auto"/>
      </w:pPr>
      <w:r>
        <w:rPr>
          <w:color w:val="334155"/>
          <w:sz w:val="19"/>
        </w:rPr>
        <w:t>space, delivering tangible community and public</w:t>
      </w:r>
    </w:p>
    <w:p>
      <w:pPr>
        <w:spacing w:before="40" w:after="80" w:line="276" w:lineRule="auto"/>
      </w:pPr>
      <w:r>
        <w:rPr>
          <w:color w:val="334155"/>
          <w:sz w:val="19"/>
        </w:rPr>
        <w:t>benefit at a scale that complements the</w:t>
      </w:r>
    </w:p>
    <w:p>
      <w:pPr>
        <w:spacing w:before="40" w:after="80" w:line="276" w:lineRule="auto"/>
      </w:pPr>
      <w:r>
        <w:rPr>
          <w:color w:val="334155"/>
          <w:sz w:val="19"/>
        </w:rPr>
        <w:t>Precinct’s primary employment function.</w:t>
      </w:r>
    </w:p>
    <w:p>
      <w:pPr>
        <w:spacing w:before="40" w:after="80" w:line="276" w:lineRule="auto"/>
      </w:pPr>
      <w:r>
        <w:rPr>
          <w:color w:val="334155"/>
          <w:sz w:val="19"/>
        </w:rPr>
        <w:t>•</w:t>
      </w:r>
    </w:p>
    <w:p>
      <w:pPr>
        <w:spacing w:before="40" w:after="80" w:line="276" w:lineRule="auto"/>
      </w:pPr>
      <w:r>
        <w:rPr>
          <w:color w:val="334155"/>
          <w:sz w:val="19"/>
        </w:rPr>
        <w:t>Leveraging West Lake and environmentally</w:t>
      </w:r>
    </w:p>
    <w:p>
      <w:pPr>
        <w:spacing w:before="40" w:after="80" w:line="276" w:lineRule="auto"/>
      </w:pPr>
      <w:r>
        <w:rPr>
          <w:color w:val="334155"/>
          <w:sz w:val="19"/>
        </w:rPr>
        <w:t>constrained areas to provide accessible</w:t>
      </w:r>
    </w:p>
    <w:p>
      <w:pPr>
        <w:spacing w:before="40" w:after="80" w:line="276" w:lineRule="auto"/>
      </w:pPr>
      <w:r>
        <w:rPr>
          <w:color w:val="334155"/>
          <w:sz w:val="19"/>
        </w:rPr>
        <w:t>recreation, nature-based tourism and connected</w:t>
      </w:r>
    </w:p>
    <w:p>
      <w:pPr>
        <w:spacing w:before="40" w:after="80" w:line="276" w:lineRule="auto"/>
      </w:pPr>
      <w:r>
        <w:rPr>
          <w:color w:val="334155"/>
          <w:sz w:val="19"/>
        </w:rPr>
        <w:t>trail and active transport network for workers,</w:t>
      </w:r>
    </w:p>
    <w:p>
      <w:pPr>
        <w:spacing w:before="40" w:after="80" w:line="276" w:lineRule="auto"/>
      </w:pPr>
      <w:r>
        <w:rPr>
          <w:color w:val="334155"/>
          <w:sz w:val="19"/>
        </w:rPr>
        <w:t>surrounding communities and visitors.</w:t>
      </w:r>
    </w:p>
    <w:p>
      <w:pPr>
        <w:spacing w:before="40" w:after="80" w:line="276" w:lineRule="auto"/>
      </w:pPr>
      <w:r>
        <w:rPr>
          <w:color w:val="334155"/>
          <w:sz w:val="19"/>
        </w:rPr>
        <w:t>14</w:t>
      </w:r>
    </w:p>
    <w:p>
      <w:pPr>
        <w:spacing w:before="40" w:after="80" w:line="276" w:lineRule="auto"/>
      </w:pPr>
      <w:r>
        <w:rPr>
          <w:color w:val="334155"/>
          <w:sz w:val="19"/>
        </w:rPr>
        <w:t>3  Macquarie Coal Complex Precinct</w:t>
      </w:r>
    </w:p>
    <w:p>
      <w:pPr>
        <w:pStyle w:val="Heading3"/>
        <w:keepNext/>
        <w:spacing w:before="160" w:after="40"/>
      </w:pPr>
      <w:r>
        <w:rPr>
          <w:b/>
          <w:color w:val="334155"/>
        </w:rPr>
        <w:t>Page 15</w:t>
      </w:r>
    </w:p>
    <w:p>
      <w:pPr>
        <w:spacing w:before="40" w:after="80" w:line="276" w:lineRule="auto"/>
      </w:pPr>
      <w:r>
        <w:rPr>
          <w:color w:val="334155"/>
          <w:sz w:val="19"/>
        </w:rPr>
        <w:t>mining land uses. It establishes the foundation for</w:t>
      </w:r>
    </w:p>
    <w:p>
      <w:pPr>
        <w:spacing w:before="40" w:after="80" w:line="276" w:lineRule="auto"/>
      </w:pPr>
      <w:r>
        <w:rPr>
          <w:color w:val="334155"/>
          <w:sz w:val="19"/>
        </w:rPr>
        <w:t>planning, design and development to be guided by</w:t>
      </w:r>
    </w:p>
    <w:p>
      <w:pPr>
        <w:spacing w:before="40" w:after="80" w:line="276" w:lineRule="auto"/>
      </w:pPr>
      <w:r>
        <w:rPr>
          <w:color w:val="334155"/>
          <w:sz w:val="19"/>
        </w:rPr>
        <w:t>the principles of the Government Architect NSW</w:t>
      </w:r>
    </w:p>
    <w:p>
      <w:pPr>
        <w:spacing w:before="40" w:after="80" w:line="276" w:lineRule="auto"/>
      </w:pPr>
      <w:r>
        <w:rPr>
          <w:color w:val="334155"/>
          <w:sz w:val="19"/>
        </w:rPr>
        <w:t>Connecting with Country Framework.</w:t>
      </w:r>
    </w:p>
    <w:p>
      <w:pPr>
        <w:spacing w:before="40" w:after="80" w:line="276" w:lineRule="auto"/>
      </w:pPr>
      <w:r>
        <w:rPr>
          <w:color w:val="334155"/>
          <w:sz w:val="19"/>
        </w:rPr>
        <w:t>As the draft Master Plan is exhibited and refined,</w:t>
      </w:r>
    </w:p>
    <w:p>
      <w:pPr>
        <w:spacing w:before="40" w:after="80" w:line="276" w:lineRule="auto"/>
      </w:pPr>
      <w:r>
        <w:rPr>
          <w:color w:val="334155"/>
          <w:sz w:val="19"/>
        </w:rPr>
        <w:t>meaningful engagement with Lake Macquarie</w:t>
      </w:r>
    </w:p>
    <w:p>
      <w:pPr>
        <w:spacing w:before="40" w:after="80" w:line="276" w:lineRule="auto"/>
      </w:pPr>
      <w:r>
        <w:rPr>
          <w:color w:val="334155"/>
          <w:sz w:val="19"/>
        </w:rPr>
        <w:t>Aboriginal community stakeholders will form</w:t>
      </w:r>
    </w:p>
    <w:p>
      <w:pPr>
        <w:spacing w:before="40" w:after="80" w:line="276" w:lineRule="auto"/>
      </w:pPr>
      <w:r>
        <w:rPr>
          <w:color w:val="334155"/>
          <w:sz w:val="19"/>
        </w:rPr>
        <w:t>an important part of the process to refine and</w:t>
      </w:r>
    </w:p>
    <w:p>
      <w:pPr>
        <w:spacing w:before="40" w:after="80" w:line="276" w:lineRule="auto"/>
      </w:pPr>
      <w:r>
        <w:rPr>
          <w:color w:val="334155"/>
          <w:sz w:val="19"/>
        </w:rPr>
        <w:t>finalise the draft Master Plan. This should include</w:t>
      </w:r>
    </w:p>
    <w:p>
      <w:pPr>
        <w:spacing w:before="40" w:after="80" w:line="276" w:lineRule="auto"/>
      </w:pPr>
      <w:r>
        <w:rPr>
          <w:color w:val="334155"/>
          <w:sz w:val="19"/>
        </w:rPr>
        <w:t>engagement with Traditional Custodians, Aboriginal</w:t>
      </w:r>
    </w:p>
    <w:p>
      <w:pPr>
        <w:spacing w:before="40" w:after="80" w:line="276" w:lineRule="auto"/>
      </w:pPr>
      <w:r>
        <w:rPr>
          <w:color w:val="334155"/>
          <w:sz w:val="19"/>
        </w:rPr>
        <w:t>knowledge holders, the Awabakal Local Aboriginal</w:t>
      </w:r>
    </w:p>
    <w:p>
      <w:pPr>
        <w:spacing w:before="40" w:after="80" w:line="276" w:lineRule="auto"/>
      </w:pPr>
      <w:r>
        <w:rPr>
          <w:color w:val="334155"/>
          <w:sz w:val="19"/>
        </w:rPr>
        <w:t>Land Council, the Biraban Local Aboriginal Land</w:t>
      </w:r>
    </w:p>
    <w:p>
      <w:pPr>
        <w:spacing w:before="40" w:after="80" w:line="276" w:lineRule="auto"/>
      </w:pPr>
      <w:r>
        <w:rPr>
          <w:color w:val="334155"/>
          <w:sz w:val="19"/>
        </w:rPr>
        <w:t>Council and other Aboriginal organisations or</w:t>
      </w:r>
    </w:p>
    <w:p>
      <w:pPr>
        <w:spacing w:before="40" w:after="80" w:line="276" w:lineRule="auto"/>
      </w:pPr>
      <w:r>
        <w:rPr>
          <w:color w:val="334155"/>
          <w:sz w:val="19"/>
        </w:rPr>
        <w:t>representatives identified through the engagement</w:t>
      </w:r>
    </w:p>
    <w:p>
      <w:pPr>
        <w:spacing w:before="40" w:after="80" w:line="276" w:lineRule="auto"/>
      </w:pPr>
      <w:r>
        <w:rPr>
          <w:color w:val="334155"/>
          <w:sz w:val="19"/>
        </w:rPr>
        <w:t>process.</w:t>
      </w:r>
    </w:p>
    <w:p>
      <w:pPr>
        <w:spacing w:before="40" w:after="80" w:line="276" w:lineRule="auto"/>
      </w:pPr>
      <w:r>
        <w:rPr>
          <w:color w:val="334155"/>
          <w:sz w:val="19"/>
        </w:rPr>
        <w:t>Connecting with Country</w:t>
      </w:r>
    </w:p>
    <w:p>
      <w:pPr>
        <w:spacing w:before="40" w:after="80" w:line="276" w:lineRule="auto"/>
      </w:pPr>
      <w:r>
        <w:rPr>
          <w:color w:val="334155"/>
          <w:sz w:val="19"/>
        </w:rPr>
        <w:t>The Precinct is located on Awabakal Country,</w:t>
      </w:r>
    </w:p>
    <w:p>
      <w:pPr>
        <w:spacing w:before="40" w:after="80" w:line="276" w:lineRule="auto"/>
      </w:pPr>
      <w:r>
        <w:rPr>
          <w:color w:val="334155"/>
          <w:sz w:val="19"/>
        </w:rPr>
        <w:t>adjacent to the shores of Cockle Bay in the north</w:t>
      </w:r>
    </w:p>
    <w:p>
      <w:pPr>
        <w:spacing w:before="40" w:after="80" w:line="276" w:lineRule="auto"/>
      </w:pPr>
      <w:r>
        <w:rPr>
          <w:color w:val="334155"/>
          <w:sz w:val="19"/>
        </w:rPr>
        <w:t>of Lake Macquarie. The draft Master Plan</w:t>
      </w:r>
    </w:p>
    <w:p>
      <w:pPr>
        <w:spacing w:before="40" w:after="80" w:line="276" w:lineRule="auto"/>
      </w:pPr>
      <w:r>
        <w:rPr>
          <w:color w:val="334155"/>
          <w:sz w:val="19"/>
        </w:rPr>
        <w:t>recognises Country as a living system of</w:t>
      </w:r>
    </w:p>
    <w:p>
      <w:pPr>
        <w:spacing w:before="40" w:after="80" w:line="276" w:lineRule="auto"/>
      </w:pPr>
      <w:r>
        <w:rPr>
          <w:color w:val="334155"/>
          <w:sz w:val="19"/>
        </w:rPr>
        <w:t>interconnected cultural, ecological and physical</w:t>
      </w:r>
    </w:p>
    <w:p>
      <w:pPr>
        <w:spacing w:before="40" w:after="80" w:line="276" w:lineRule="auto"/>
      </w:pPr>
      <w:r>
        <w:rPr>
          <w:color w:val="334155"/>
          <w:sz w:val="19"/>
        </w:rPr>
        <w:t>relationships, including land, waters, skies, plants,</w:t>
      </w:r>
    </w:p>
    <w:p>
      <w:pPr>
        <w:spacing w:before="40" w:after="80" w:line="276" w:lineRule="auto"/>
      </w:pPr>
      <w:r>
        <w:rPr>
          <w:color w:val="334155"/>
          <w:sz w:val="19"/>
        </w:rPr>
        <w:t>animals, cultural practices, stories and community.</w:t>
      </w:r>
    </w:p>
    <w:p>
      <w:pPr>
        <w:spacing w:before="40" w:after="80" w:line="276" w:lineRule="auto"/>
      </w:pPr>
      <w:r>
        <w:rPr>
          <w:color w:val="334155"/>
          <w:sz w:val="19"/>
        </w:rPr>
        <w:t>It also recognises that planning for the</w:t>
      </w:r>
    </w:p>
    <w:p>
      <w:pPr>
        <w:spacing w:before="40" w:after="80" w:line="276" w:lineRule="auto"/>
      </w:pPr>
      <w:r>
        <w:rPr>
          <w:color w:val="334155"/>
          <w:sz w:val="19"/>
        </w:rPr>
        <w:t>transformation of a former mining landscape must</w:t>
      </w:r>
    </w:p>
    <w:p>
      <w:pPr>
        <w:spacing w:before="40" w:after="80" w:line="276" w:lineRule="auto"/>
      </w:pPr>
      <w:r>
        <w:rPr>
          <w:color w:val="334155"/>
          <w:sz w:val="19"/>
        </w:rPr>
        <w:t>be informed by an understanding of Country and</w:t>
      </w:r>
    </w:p>
    <w:p>
      <w:pPr>
        <w:spacing w:before="40" w:after="80" w:line="276" w:lineRule="auto"/>
      </w:pPr>
      <w:r>
        <w:rPr>
          <w:color w:val="334155"/>
          <w:sz w:val="19"/>
        </w:rPr>
        <w:t>respectful engagement with Aboriginal people</w:t>
      </w:r>
    </w:p>
    <w:p>
      <w:pPr>
        <w:spacing w:before="40" w:after="80" w:line="276" w:lineRule="auto"/>
      </w:pPr>
      <w:r>
        <w:rPr>
          <w:color w:val="334155"/>
          <w:sz w:val="19"/>
        </w:rPr>
        <w:t>who hold cultural knowledge, rights and</w:t>
      </w:r>
    </w:p>
    <w:p>
      <w:pPr>
        <w:spacing w:before="40" w:after="80" w:line="276" w:lineRule="auto"/>
      </w:pPr>
      <w:r>
        <w:rPr>
          <w:color w:val="334155"/>
          <w:sz w:val="19"/>
        </w:rPr>
        <w:t>responsibilities for the area.</w:t>
      </w:r>
    </w:p>
    <w:p>
      <w:pPr>
        <w:spacing w:before="40" w:after="80" w:line="276" w:lineRule="auto"/>
      </w:pPr>
      <w:r>
        <w:rPr>
          <w:color w:val="334155"/>
          <w:sz w:val="19"/>
        </w:rPr>
        <w:t>The draft Master Plan has been prepared as an</w:t>
      </w:r>
    </w:p>
    <w:p>
      <w:pPr>
        <w:spacing w:before="40" w:after="80" w:line="276" w:lineRule="auto"/>
      </w:pPr>
      <w:r>
        <w:rPr>
          <w:color w:val="334155"/>
          <w:sz w:val="19"/>
        </w:rPr>
        <w:t>early framework for the transformation of the</w:t>
      </w:r>
    </w:p>
    <w:p>
      <w:pPr>
        <w:spacing w:before="40" w:after="80" w:line="276" w:lineRule="auto"/>
      </w:pPr>
      <w:r>
        <w:rPr>
          <w:color w:val="334155"/>
          <w:sz w:val="19"/>
        </w:rPr>
        <w:t>Precinct from mining to sustainable and</w:t>
      </w:r>
    </w:p>
    <w:p>
      <w:pPr>
        <w:spacing w:before="40" w:after="80" w:line="276" w:lineRule="auto"/>
      </w:pPr>
      <w:r>
        <w:rPr>
          <w:color w:val="334155"/>
          <w:sz w:val="19"/>
        </w:rPr>
        <w:t>productive post</w:t>
      </w:r>
    </w:p>
    <w:p>
      <w:pPr>
        <w:spacing w:before="40" w:after="80" w:line="276" w:lineRule="auto"/>
      </w:pPr>
      <w:r>
        <w:rPr>
          <w:color w:val="334155"/>
          <w:sz w:val="19"/>
        </w:rPr>
        <w:t>Credit: Glencore</w:t>
      </w:r>
    </w:p>
    <w:p>
      <w:pPr>
        <w:spacing w:before="40" w:after="80" w:line="276" w:lineRule="auto"/>
      </w:pPr>
      <w:r>
        <w:rPr>
          <w:color w:val="334155"/>
          <w:sz w:val="19"/>
        </w:rPr>
        <w:t>15</w:t>
      </w:r>
    </w:p>
    <w:p>
      <w:pPr>
        <w:spacing w:before="40" w:after="80" w:line="276" w:lineRule="auto"/>
      </w:pPr>
      <w:r>
        <w:rPr>
          <w:color w:val="334155"/>
          <w:sz w:val="19"/>
        </w:rPr>
        <w:t>3  Macquarie Coal Complex Precinct</w:t>
      </w:r>
    </w:p>
    <w:p>
      <w:pPr>
        <w:pStyle w:val="Heading3"/>
        <w:keepNext/>
        <w:spacing w:before="160" w:after="40"/>
      </w:pPr>
      <w:r>
        <w:rPr>
          <w:b/>
          <w:color w:val="334155"/>
        </w:rPr>
        <w:t>Page 16</w:t>
      </w:r>
    </w:p>
    <w:p>
      <w:pPr>
        <w:spacing w:before="40" w:after="80" w:line="276" w:lineRule="auto"/>
      </w:pPr>
      <w:r>
        <w:rPr>
          <w:color w:val="334155"/>
          <w:sz w:val="19"/>
        </w:rPr>
        <w:t>Structure plan</w:t>
      </w:r>
    </w:p>
    <w:p>
      <w:pPr>
        <w:spacing w:before="40" w:after="80" w:line="276" w:lineRule="auto"/>
      </w:pPr>
      <w:r>
        <w:rPr>
          <w:color w:val="334155"/>
          <w:sz w:val="19"/>
        </w:rPr>
        <w:t>The structure plan (Figure 9) is the principal</w:t>
      </w:r>
    </w:p>
    <w:p>
      <w:pPr>
        <w:spacing w:before="40" w:after="80" w:line="276" w:lineRule="auto"/>
      </w:pPr>
      <w:r>
        <w:rPr>
          <w:color w:val="334155"/>
          <w:sz w:val="19"/>
        </w:rPr>
        <w:t>spatial framework for the draft Master Plan. It</w:t>
      </w:r>
    </w:p>
    <w:p>
      <w:pPr>
        <w:spacing w:before="40" w:after="80" w:line="276" w:lineRule="auto"/>
      </w:pPr>
      <w:r>
        <w:rPr>
          <w:color w:val="334155"/>
          <w:sz w:val="19"/>
        </w:rPr>
        <w:t>identifies the arrangement of developable areas,</w:t>
      </w:r>
    </w:p>
    <w:p>
      <w:pPr>
        <w:spacing w:before="40" w:after="80" w:line="276" w:lineRule="auto"/>
      </w:pPr>
      <w:r>
        <w:rPr>
          <w:color w:val="334155"/>
          <w:sz w:val="19"/>
        </w:rPr>
        <w:t>environmentally constrained areas, recreational</w:t>
      </w:r>
    </w:p>
    <w:p>
      <w:pPr>
        <w:spacing w:before="40" w:after="80" w:line="276" w:lineRule="auto"/>
      </w:pPr>
      <w:r>
        <w:rPr>
          <w:color w:val="334155"/>
          <w:sz w:val="19"/>
        </w:rPr>
        <w:t>areas, movement networks and key constraints</w:t>
      </w:r>
    </w:p>
    <w:p>
      <w:pPr>
        <w:spacing w:before="40" w:after="80" w:line="276" w:lineRule="auto"/>
      </w:pPr>
      <w:r>
        <w:rPr>
          <w:color w:val="334155"/>
          <w:sz w:val="19"/>
        </w:rPr>
        <w:t>across the Precinct to guide development.</w:t>
      </w:r>
    </w:p>
    <w:p>
      <w:pPr>
        <w:spacing w:before="40" w:after="80" w:line="276" w:lineRule="auto"/>
      </w:pPr>
      <w:r>
        <w:rPr>
          <w:color w:val="334155"/>
          <w:sz w:val="19"/>
        </w:rPr>
        <w:t>The structure plan outlines the spatial logic for</w:t>
      </w:r>
    </w:p>
    <w:p>
      <w:pPr>
        <w:spacing w:before="40" w:after="80" w:line="276" w:lineRule="auto"/>
      </w:pPr>
      <w:r>
        <w:rPr>
          <w:color w:val="334155"/>
          <w:sz w:val="19"/>
        </w:rPr>
        <w:t>future development at a precinct scale, providing</w:t>
      </w:r>
    </w:p>
    <w:p>
      <w:pPr>
        <w:spacing w:before="40" w:after="80" w:line="276" w:lineRule="auto"/>
      </w:pPr>
      <w:r>
        <w:rPr>
          <w:color w:val="334155"/>
          <w:sz w:val="19"/>
        </w:rPr>
        <w:t>a framework within which detailed design,</w:t>
      </w:r>
    </w:p>
    <w:p>
      <w:pPr>
        <w:spacing w:before="40" w:after="80" w:line="276" w:lineRule="auto"/>
      </w:pPr>
      <w:r>
        <w:rPr>
          <w:color w:val="334155"/>
          <w:sz w:val="19"/>
        </w:rPr>
        <w:t>subdivision and development assessment will</w:t>
      </w:r>
    </w:p>
    <w:p>
      <w:pPr>
        <w:spacing w:before="40" w:after="80" w:line="276" w:lineRule="auto"/>
      </w:pPr>
      <w:r>
        <w:rPr>
          <w:color w:val="334155"/>
          <w:sz w:val="19"/>
        </w:rPr>
        <w:t>occur. The structure plan is supported by technical</w:t>
      </w:r>
    </w:p>
    <w:p>
      <w:pPr>
        <w:spacing w:before="40" w:after="80" w:line="276" w:lineRule="auto"/>
      </w:pPr>
      <w:r>
        <w:rPr>
          <w:color w:val="334155"/>
          <w:sz w:val="19"/>
        </w:rPr>
        <w:t>studies.</w:t>
      </w:r>
    </w:p>
    <w:p>
      <w:pPr>
        <w:spacing w:before="40" w:after="80" w:line="276" w:lineRule="auto"/>
      </w:pPr>
      <w:r>
        <w:rPr>
          <w:color w:val="334155"/>
          <w:sz w:val="19"/>
        </w:rPr>
        <w:t>The following categories are used to describe land</w:t>
      </w:r>
    </w:p>
    <w:p>
      <w:pPr>
        <w:spacing w:before="40" w:after="80" w:line="276" w:lineRule="auto"/>
      </w:pPr>
      <w:r>
        <w:rPr>
          <w:color w:val="334155"/>
          <w:sz w:val="19"/>
        </w:rPr>
        <w:t>within the structure plan:</w:t>
      </w:r>
    </w:p>
    <w:p>
      <w:pPr>
        <w:spacing w:before="40" w:after="80" w:line="276" w:lineRule="auto"/>
      </w:pPr>
      <w:r>
        <w:rPr>
          <w:color w:val="334155"/>
          <w:sz w:val="19"/>
        </w:rPr>
        <w:t>•</w:t>
      </w:r>
    </w:p>
    <w:p>
      <w:pPr>
        <w:spacing w:before="40" w:after="80" w:line="276" w:lineRule="auto"/>
      </w:pPr>
      <w:r>
        <w:rPr>
          <w:color w:val="334155"/>
          <w:sz w:val="19"/>
        </w:rPr>
        <w:t>Developable areas – Land that is potentially</w:t>
      </w:r>
    </w:p>
    <w:p>
      <w:pPr>
        <w:spacing w:before="40" w:after="80" w:line="276" w:lineRule="auto"/>
      </w:pPr>
      <w:r>
        <w:rPr>
          <w:color w:val="334155"/>
          <w:sz w:val="19"/>
        </w:rPr>
        <w:t>suitable for development, subject to further</w:t>
      </w:r>
    </w:p>
    <w:p>
      <w:pPr>
        <w:spacing w:before="40" w:after="80" w:line="276" w:lineRule="auto"/>
      </w:pPr>
      <w:r>
        <w:rPr>
          <w:color w:val="334155"/>
          <w:sz w:val="19"/>
        </w:rPr>
        <w:t>technical investigation and site-specific</w:t>
      </w:r>
    </w:p>
    <w:p>
      <w:pPr>
        <w:spacing w:before="40" w:after="80" w:line="276" w:lineRule="auto"/>
      </w:pPr>
      <w:r>
        <w:rPr>
          <w:color w:val="334155"/>
          <w:sz w:val="19"/>
        </w:rPr>
        <w:t>assessment at the development application</w:t>
      </w:r>
    </w:p>
    <w:p>
      <w:pPr>
        <w:spacing w:before="40" w:after="80" w:line="276" w:lineRule="auto"/>
      </w:pPr>
      <w:r>
        <w:rPr>
          <w:color w:val="334155"/>
          <w:sz w:val="19"/>
        </w:rPr>
        <w:t>stage.</w:t>
      </w:r>
    </w:p>
    <w:p>
      <w:pPr>
        <w:spacing w:before="40" w:after="80" w:line="276" w:lineRule="auto"/>
      </w:pPr>
      <w:r>
        <w:rPr>
          <w:color w:val="334155"/>
          <w:sz w:val="19"/>
        </w:rPr>
        <w:t>•</w:t>
      </w:r>
    </w:p>
    <w:p>
      <w:pPr>
        <w:spacing w:before="40" w:after="80" w:line="276" w:lineRule="auto"/>
      </w:pPr>
      <w:r>
        <w:rPr>
          <w:color w:val="334155"/>
          <w:sz w:val="19"/>
        </w:rPr>
        <w:t>Environmentally constrained areas – Land</w:t>
      </w:r>
    </w:p>
    <w:p>
      <w:pPr>
        <w:spacing w:before="40" w:after="80" w:line="276" w:lineRule="auto"/>
      </w:pPr>
      <w:r>
        <w:rPr>
          <w:color w:val="334155"/>
          <w:sz w:val="19"/>
        </w:rPr>
        <w:t>identified as having biodiversity values or where</w:t>
      </w:r>
    </w:p>
    <w:p>
      <w:pPr>
        <w:spacing w:before="40" w:after="80" w:line="276" w:lineRule="auto"/>
      </w:pPr>
      <w:r>
        <w:rPr>
          <w:color w:val="334155"/>
          <w:sz w:val="19"/>
        </w:rPr>
        <w:t>natural features (watercourses, wetlands, steep</w:t>
      </w:r>
    </w:p>
    <w:p>
      <w:pPr>
        <w:spacing w:before="40" w:after="80" w:line="276" w:lineRule="auto"/>
      </w:pPr>
      <w:r>
        <w:rPr>
          <w:color w:val="334155"/>
          <w:sz w:val="19"/>
        </w:rPr>
        <w:t>slope, flooding) constrain development.</w:t>
      </w:r>
    </w:p>
    <w:p>
      <w:pPr>
        <w:spacing w:before="40" w:after="80" w:line="276" w:lineRule="auto"/>
      </w:pPr>
      <w:r>
        <w:rPr>
          <w:color w:val="334155"/>
          <w:sz w:val="19"/>
        </w:rPr>
        <w:t>•</w:t>
      </w:r>
    </w:p>
    <w:p>
      <w:pPr>
        <w:spacing w:before="40" w:after="80" w:line="276" w:lineRule="auto"/>
      </w:pPr>
      <w:r>
        <w:rPr>
          <w:color w:val="334155"/>
          <w:sz w:val="19"/>
        </w:rPr>
        <w:t>Recreation areas – Land potentially suitable for</w:t>
      </w:r>
    </w:p>
    <w:p>
      <w:pPr>
        <w:spacing w:before="40" w:after="80" w:line="276" w:lineRule="auto"/>
      </w:pPr>
      <w:r>
        <w:rPr>
          <w:color w:val="334155"/>
          <w:sz w:val="19"/>
        </w:rPr>
        <w:t>active and passive recreation facilities,</w:t>
      </w:r>
    </w:p>
    <w:p>
      <w:pPr>
        <w:spacing w:before="40" w:after="80" w:line="276" w:lineRule="auto"/>
      </w:pPr>
      <w:r>
        <w:rPr>
          <w:color w:val="334155"/>
          <w:sz w:val="19"/>
        </w:rPr>
        <w:t>balanced with protecting biodiversity and</w:t>
      </w:r>
    </w:p>
    <w:p>
      <w:pPr>
        <w:spacing w:before="40" w:after="80" w:line="276" w:lineRule="auto"/>
      </w:pPr>
      <w:r>
        <w:rPr>
          <w:color w:val="334155"/>
          <w:sz w:val="19"/>
        </w:rPr>
        <w:t>cultural values.</w:t>
      </w:r>
    </w:p>
    <w:p>
      <w:pPr>
        <w:spacing w:before="40" w:after="80" w:line="276" w:lineRule="auto"/>
      </w:pPr>
      <w:r>
        <w:rPr>
          <w:color w:val="334155"/>
          <w:sz w:val="19"/>
        </w:rPr>
        <w:t>•</w:t>
      </w:r>
    </w:p>
    <w:p>
      <w:pPr>
        <w:spacing w:before="40" w:after="80" w:line="276" w:lineRule="auto"/>
      </w:pPr>
      <w:r>
        <w:rPr>
          <w:color w:val="334155"/>
          <w:sz w:val="19"/>
        </w:rPr>
        <w:t>Further investigation – Potentially developable</w:t>
      </w:r>
    </w:p>
    <w:p>
      <w:pPr>
        <w:spacing w:before="40" w:after="80" w:line="276" w:lineRule="auto"/>
      </w:pPr>
      <w:r>
        <w:rPr>
          <w:color w:val="334155"/>
          <w:sz w:val="19"/>
        </w:rPr>
        <w:t>land that is constrained in the short to medium</w:t>
      </w:r>
    </w:p>
    <w:p>
      <w:pPr>
        <w:spacing w:before="40" w:after="80" w:line="276" w:lineRule="auto"/>
      </w:pPr>
      <w:r>
        <w:rPr>
          <w:color w:val="334155"/>
          <w:sz w:val="19"/>
        </w:rPr>
        <w:t>term by geotechnical, dam safety, biodiversity</w:t>
      </w:r>
    </w:p>
    <w:p>
      <w:pPr>
        <w:spacing w:before="40" w:after="80" w:line="276" w:lineRule="auto"/>
      </w:pPr>
      <w:r>
        <w:rPr>
          <w:color w:val="334155"/>
          <w:sz w:val="19"/>
        </w:rPr>
        <w:t>or flood risk factors, requiring resolution before</w:t>
      </w:r>
    </w:p>
    <w:p>
      <w:pPr>
        <w:spacing w:before="40" w:after="80" w:line="276" w:lineRule="auto"/>
      </w:pPr>
      <w:r>
        <w:rPr>
          <w:color w:val="334155"/>
          <w:sz w:val="19"/>
        </w:rPr>
        <w:t>development can proceed. Development of this</w:t>
      </w:r>
    </w:p>
    <w:p>
      <w:pPr>
        <w:spacing w:before="40" w:after="80" w:line="276" w:lineRule="auto"/>
      </w:pPr>
      <w:r>
        <w:rPr>
          <w:color w:val="334155"/>
          <w:sz w:val="19"/>
        </w:rPr>
        <w:t>land is contingent upon the completion</w:t>
      </w:r>
    </w:p>
    <w:p>
      <w:pPr>
        <w:spacing w:before="40" w:after="80" w:line="276" w:lineRule="auto"/>
      </w:pPr>
      <w:r>
        <w:rPr>
          <w:color w:val="334155"/>
          <w:sz w:val="19"/>
        </w:rPr>
        <w:t>of relevant technical investigations and the</w:t>
      </w:r>
    </w:p>
    <w:p>
      <w:pPr>
        <w:spacing w:before="40" w:after="80" w:line="276" w:lineRule="auto"/>
      </w:pPr>
      <w:r>
        <w:rPr>
          <w:color w:val="334155"/>
          <w:sz w:val="19"/>
        </w:rPr>
        <w:t>achievement of applicable staging triggers.</w:t>
      </w:r>
    </w:p>
    <w:p>
      <w:pPr>
        <w:spacing w:before="40" w:after="80" w:line="276" w:lineRule="auto"/>
      </w:pPr>
      <w:r>
        <w:rPr>
          <w:color w:val="334155"/>
          <w:sz w:val="19"/>
        </w:rPr>
        <w:t>4</w:t>
        <w:tab/>
        <w:t xml:space="preserve"> Structure plan and</w:t>
      </w:r>
    </w:p>
    <w:p>
      <w:pPr>
        <w:spacing w:before="40" w:after="80" w:line="276" w:lineRule="auto"/>
      </w:pPr>
      <w:r>
        <w:rPr>
          <w:color w:val="334155"/>
          <w:sz w:val="19"/>
        </w:rPr>
        <w:t>sub-precinct framework</w:t>
      </w:r>
    </w:p>
    <w:p>
      <w:pPr>
        <w:spacing w:before="40" w:after="80" w:line="276" w:lineRule="auto"/>
      </w:pPr>
      <w:r>
        <w:rPr>
          <w:color w:val="334155"/>
          <w:sz w:val="19"/>
        </w:rPr>
        <w:t>Figure 7: Indicative visualisation east over</w:t>
      </w:r>
    </w:p>
    <w:p>
      <w:pPr>
        <w:spacing w:before="40" w:after="80" w:line="276" w:lineRule="auto"/>
      </w:pPr>
      <w:r>
        <w:rPr>
          <w:color w:val="334155"/>
          <w:sz w:val="19"/>
        </w:rPr>
        <w:t>Macquarie Coal Complex Precinct</w:t>
      </w:r>
    </w:p>
    <w:p>
      <w:pPr>
        <w:spacing w:before="40" w:after="80" w:line="276" w:lineRule="auto"/>
      </w:pPr>
      <w:r>
        <w:rPr>
          <w:color w:val="334155"/>
          <w:sz w:val="19"/>
        </w:rPr>
        <w:t>Figure 8: Indicative visualisation west over</w:t>
      </w:r>
    </w:p>
    <w:p>
      <w:pPr>
        <w:spacing w:before="40" w:after="80" w:line="276" w:lineRule="auto"/>
      </w:pPr>
      <w:r>
        <w:rPr>
          <w:color w:val="334155"/>
          <w:sz w:val="19"/>
        </w:rPr>
        <w:t>Macquarie Coal Complex Precinct</w:t>
      </w:r>
    </w:p>
    <w:p>
      <w:pPr>
        <w:spacing w:before="40" w:after="80" w:line="276" w:lineRule="auto"/>
      </w:pPr>
      <w:r>
        <w:rPr>
          <w:color w:val="334155"/>
          <w:sz w:val="19"/>
        </w:rPr>
        <w:t>16</w:t>
      </w:r>
    </w:p>
    <w:p>
      <w:pPr>
        <w:pStyle w:val="Heading3"/>
        <w:keepNext/>
        <w:spacing w:before="160" w:after="40"/>
      </w:pPr>
      <w:r>
        <w:rPr>
          <w:b/>
          <w:color w:val="334155"/>
        </w:rPr>
        <w:t>Page 17</w:t>
      </w:r>
    </w:p>
    <w:p>
      <w:pPr>
        <w:spacing w:before="40" w:after="80" w:line="276" w:lineRule="auto"/>
      </w:pPr>
      <w:r>
        <w:rPr>
          <w:color w:val="334155"/>
          <w:sz w:val="19"/>
        </w:rPr>
        <w:t>Figure 9: Macquarie Coal Complex Precinct Structure Plan</w:t>
      </w:r>
    </w:p>
    <w:p>
      <w:pPr>
        <w:spacing w:before="40" w:after="80" w:line="276" w:lineRule="auto"/>
      </w:pPr>
      <w:r>
        <w:rPr>
          <w:color w:val="334155"/>
          <w:sz w:val="19"/>
        </w:rPr>
        <w:t>17</w:t>
      </w:r>
    </w:p>
    <w:p>
      <w:pPr>
        <w:spacing w:before="40" w:after="80" w:line="276" w:lineRule="auto"/>
      </w:pPr>
      <w:r>
        <w:rPr>
          <w:color w:val="334155"/>
          <w:sz w:val="19"/>
        </w:rPr>
        <w:t>4  Structure plan and sub-precinct framework</w:t>
      </w:r>
    </w:p>
    <w:p>
      <w:pPr>
        <w:pStyle w:val="Heading3"/>
        <w:keepNext/>
        <w:spacing w:before="160" w:after="40"/>
      </w:pPr>
      <w:r>
        <w:rPr>
          <w:b/>
          <w:color w:val="334155"/>
        </w:rPr>
        <w:t>Page 18</w:t>
      </w:r>
    </w:p>
    <w:p>
      <w:pPr>
        <w:spacing w:before="40" w:after="80" w:line="276" w:lineRule="auto"/>
      </w:pPr>
      <w:r>
        <w:rPr>
          <w:color w:val="334155"/>
          <w:sz w:val="19"/>
        </w:rPr>
        <w:t>Sub-precinct framework</w:t>
      </w:r>
    </w:p>
    <w:p>
      <w:pPr>
        <w:spacing w:before="40" w:after="80" w:line="276" w:lineRule="auto"/>
      </w:pPr>
      <w:r>
        <w:rPr>
          <w:color w:val="334155"/>
          <w:sz w:val="19"/>
        </w:rPr>
        <w:t>The structure plan organises the Precinct into</w:t>
      </w:r>
    </w:p>
    <w:p>
      <w:pPr>
        <w:spacing w:before="40" w:after="80" w:line="276" w:lineRule="auto"/>
      </w:pPr>
      <w:r>
        <w:rPr>
          <w:color w:val="334155"/>
          <w:sz w:val="19"/>
        </w:rPr>
        <w:t>five development sub-precincts (Figure 10), set</w:t>
      </w:r>
    </w:p>
    <w:p>
      <w:pPr>
        <w:spacing w:before="40" w:after="80" w:line="276" w:lineRule="auto"/>
      </w:pPr>
      <w:r>
        <w:rPr>
          <w:color w:val="334155"/>
          <w:sz w:val="19"/>
        </w:rPr>
        <w:t>within a connected network of environmentally</w:t>
      </w:r>
    </w:p>
    <w:p>
      <w:pPr>
        <w:spacing w:before="40" w:after="80" w:line="276" w:lineRule="auto"/>
      </w:pPr>
      <w:r>
        <w:rPr>
          <w:color w:val="334155"/>
          <w:sz w:val="19"/>
        </w:rPr>
        <w:t>constrained areas that define the Precinct’s</w:t>
      </w:r>
    </w:p>
    <w:p>
      <w:pPr>
        <w:spacing w:before="40" w:after="80" w:line="276" w:lineRule="auto"/>
      </w:pPr>
      <w:r>
        <w:rPr>
          <w:color w:val="334155"/>
          <w:sz w:val="19"/>
        </w:rPr>
        <w:t>landscape framework. Each sub-precinct presents</w:t>
      </w:r>
    </w:p>
    <w:p>
      <w:pPr>
        <w:spacing w:before="40" w:after="80" w:line="276" w:lineRule="auto"/>
      </w:pPr>
      <w:r>
        <w:rPr>
          <w:color w:val="334155"/>
          <w:sz w:val="19"/>
        </w:rPr>
        <w:t>a distinctive opportunity, shaped by its topography,</w:t>
      </w:r>
    </w:p>
    <w:p>
      <w:pPr>
        <w:spacing w:before="40" w:after="80" w:line="276" w:lineRule="auto"/>
      </w:pPr>
      <w:r>
        <w:rPr>
          <w:color w:val="334155"/>
          <w:sz w:val="19"/>
        </w:rPr>
        <w:t>legacy mining features, environmental values,</w:t>
      </w:r>
    </w:p>
    <w:p>
      <w:pPr>
        <w:spacing w:before="40" w:after="80" w:line="276" w:lineRule="auto"/>
      </w:pPr>
      <w:r>
        <w:rPr>
          <w:color w:val="334155"/>
          <w:sz w:val="19"/>
        </w:rPr>
        <w:t>access and proximity to existing communities and</w:t>
      </w:r>
    </w:p>
    <w:p>
      <w:pPr>
        <w:spacing w:before="40" w:after="80" w:line="276" w:lineRule="auto"/>
      </w:pPr>
      <w:r>
        <w:rPr>
          <w:color w:val="334155"/>
          <w:sz w:val="19"/>
        </w:rPr>
        <w:t>infrastructure.</w:t>
      </w:r>
    </w:p>
    <w:p>
      <w:pPr>
        <w:spacing w:before="40" w:after="80" w:line="276" w:lineRule="auto"/>
      </w:pPr>
      <w:r>
        <w:rPr>
          <w:color w:val="334155"/>
          <w:sz w:val="19"/>
        </w:rPr>
        <w:t>Together the sub-precincts enable a coordinated,</w:t>
      </w:r>
    </w:p>
    <w:p>
      <w:pPr>
        <w:spacing w:before="40" w:after="80" w:line="276" w:lineRule="auto"/>
      </w:pPr>
      <w:r>
        <w:rPr>
          <w:color w:val="334155"/>
          <w:sz w:val="19"/>
        </w:rPr>
        <w:t>staged transformation of the Precinct that</w:t>
      </w:r>
    </w:p>
    <w:p>
      <w:pPr>
        <w:spacing w:before="40" w:after="80" w:line="276" w:lineRule="auto"/>
      </w:pPr>
      <w:r>
        <w:rPr>
          <w:color w:val="334155"/>
          <w:sz w:val="19"/>
        </w:rPr>
        <w:t>responds to physical setting while delivering</w:t>
      </w:r>
    </w:p>
    <w:p>
      <w:pPr>
        <w:spacing w:before="40" w:after="80" w:line="276" w:lineRule="auto"/>
      </w:pPr>
      <w:r>
        <w:rPr>
          <w:color w:val="334155"/>
          <w:sz w:val="19"/>
        </w:rPr>
        <w:t>a diverse range of employment, recreation</w:t>
      </w:r>
    </w:p>
    <w:p>
      <w:pPr>
        <w:spacing w:before="40" w:after="80" w:line="276" w:lineRule="auto"/>
      </w:pPr>
      <w:r>
        <w:rPr>
          <w:color w:val="334155"/>
          <w:sz w:val="19"/>
        </w:rPr>
        <w:t>and community outcomes. Each sub-precinct</w:t>
      </w:r>
    </w:p>
    <w:p>
      <w:pPr>
        <w:spacing w:before="40" w:after="80" w:line="276" w:lineRule="auto"/>
      </w:pPr>
      <w:r>
        <w:rPr>
          <w:color w:val="334155"/>
          <w:sz w:val="19"/>
        </w:rPr>
        <w:t>description presents key characteristics, land use</w:t>
      </w:r>
    </w:p>
    <w:p>
      <w:pPr>
        <w:spacing w:before="40" w:after="80" w:line="276" w:lineRule="auto"/>
      </w:pPr>
      <w:r>
        <w:rPr>
          <w:color w:val="334155"/>
          <w:sz w:val="19"/>
        </w:rPr>
        <w:t>intent and opportunities for future planning and</w:t>
      </w:r>
    </w:p>
    <w:p>
      <w:pPr>
        <w:spacing w:before="40" w:after="80" w:line="276" w:lineRule="auto"/>
      </w:pPr>
      <w:r>
        <w:rPr>
          <w:color w:val="334155"/>
          <w:sz w:val="19"/>
        </w:rPr>
        <w:t>development, against which development proposals</w:t>
      </w:r>
    </w:p>
    <w:p>
      <w:pPr>
        <w:spacing w:before="40" w:after="80" w:line="276" w:lineRule="auto"/>
      </w:pPr>
      <w:r>
        <w:rPr>
          <w:color w:val="334155"/>
          <w:sz w:val="19"/>
        </w:rPr>
        <w:t>will be assessed.</w:t>
      </w:r>
    </w:p>
    <w:p>
      <w:pPr>
        <w:spacing w:before="40" w:after="80" w:line="276" w:lineRule="auto"/>
      </w:pPr>
      <w:r>
        <w:rPr>
          <w:color w:val="334155"/>
          <w:sz w:val="19"/>
        </w:rPr>
        <w:t>Figure 10: Sub-precincts</w:t>
      </w:r>
    </w:p>
    <w:p>
      <w:pPr>
        <w:spacing w:before="40" w:after="80" w:line="276" w:lineRule="auto"/>
      </w:pPr>
      <w:r>
        <w:rPr>
          <w:color w:val="334155"/>
          <w:sz w:val="19"/>
        </w:rPr>
        <w:t>18</w:t>
      </w:r>
    </w:p>
    <w:p>
      <w:pPr>
        <w:spacing w:before="40" w:after="80" w:line="276" w:lineRule="auto"/>
      </w:pPr>
      <w:r>
        <w:rPr>
          <w:color w:val="334155"/>
          <w:sz w:val="19"/>
        </w:rPr>
        <w:t>4  Structure plan and sub-precinct framework</w:t>
      </w:r>
    </w:p>
    <w:p>
      <w:pPr>
        <w:pStyle w:val="Heading3"/>
        <w:keepNext/>
        <w:spacing w:before="160" w:after="40"/>
      </w:pPr>
      <w:r>
        <w:rPr>
          <w:b/>
          <w:color w:val="334155"/>
        </w:rPr>
        <w:t>Page 19</w:t>
      </w:r>
    </w:p>
    <w:p>
      <w:pPr>
        <w:spacing w:before="40" w:after="80" w:line="276" w:lineRule="auto"/>
      </w:pPr>
      <w:r>
        <w:rPr>
          <w:color w:val="334155"/>
          <w:sz w:val="19"/>
        </w:rPr>
        <w:t>Land use intent</w:t>
      </w:r>
    </w:p>
    <w:p>
      <w:pPr>
        <w:spacing w:before="40" w:after="80" w:line="276" w:lineRule="auto"/>
      </w:pPr>
      <w:r>
        <w:rPr>
          <w:color w:val="334155"/>
          <w:sz w:val="19"/>
        </w:rPr>
        <w:t>Future development will be anchored by</w:t>
      </w:r>
    </w:p>
    <w:p>
      <w:pPr>
        <w:spacing w:before="40" w:after="80" w:line="276" w:lineRule="auto"/>
      </w:pPr>
      <w:r>
        <w:rPr>
          <w:color w:val="334155"/>
          <w:sz w:val="19"/>
        </w:rPr>
        <w:t>employment-generating activity that supports</w:t>
      </w:r>
    </w:p>
    <w:p>
      <w:pPr>
        <w:spacing w:before="40" w:after="80" w:line="276" w:lineRule="auto"/>
      </w:pPr>
      <w:r>
        <w:rPr>
          <w:color w:val="334155"/>
          <w:sz w:val="19"/>
        </w:rPr>
        <w:t>regional economic diversification, attracts</w:t>
      </w:r>
    </w:p>
    <w:p>
      <w:pPr>
        <w:spacing w:before="40" w:after="80" w:line="276" w:lineRule="auto"/>
      </w:pPr>
      <w:r>
        <w:rPr>
          <w:color w:val="334155"/>
          <w:sz w:val="19"/>
        </w:rPr>
        <w:t>investment and creates local jobs. Complementary</w:t>
      </w:r>
    </w:p>
    <w:p>
      <w:pPr>
        <w:spacing w:before="40" w:after="80" w:line="276" w:lineRule="auto"/>
      </w:pPr>
      <w:r>
        <w:rPr>
          <w:color w:val="334155"/>
          <w:sz w:val="19"/>
        </w:rPr>
        <w:t>commercial, recreation, community and visitor land</w:t>
      </w:r>
    </w:p>
    <w:p>
      <w:pPr>
        <w:spacing w:before="40" w:after="80" w:line="276" w:lineRule="auto"/>
      </w:pPr>
      <w:r>
        <w:rPr>
          <w:color w:val="334155"/>
          <w:sz w:val="19"/>
        </w:rPr>
        <w:t>uses will support the workforce, deliver community</w:t>
      </w:r>
    </w:p>
    <w:p>
      <w:pPr>
        <w:spacing w:before="40" w:after="80" w:line="276" w:lineRule="auto"/>
      </w:pPr>
      <w:r>
        <w:rPr>
          <w:color w:val="334155"/>
          <w:sz w:val="19"/>
        </w:rPr>
        <w:t>benefit and contribute to the broader public value</w:t>
      </w:r>
    </w:p>
    <w:p>
      <w:pPr>
        <w:spacing w:before="40" w:after="80" w:line="276" w:lineRule="auto"/>
      </w:pPr>
      <w:r>
        <w:rPr>
          <w:color w:val="334155"/>
          <w:sz w:val="19"/>
        </w:rPr>
        <w:t>of the post mining tranformation.</w:t>
      </w:r>
    </w:p>
    <w:p>
      <w:pPr>
        <w:spacing w:before="40" w:after="80" w:line="276" w:lineRule="auto"/>
      </w:pPr>
      <w:r>
        <w:rPr>
          <w:color w:val="334155"/>
          <w:sz w:val="19"/>
        </w:rPr>
        <w:t>Figure 11: Employment land use envisaged in the Precinct</w:t>
      </w:r>
    </w:p>
    <w:p>
      <w:pPr>
        <w:spacing w:before="40" w:after="80" w:line="276" w:lineRule="auto"/>
      </w:pPr>
      <w:r>
        <w:rPr>
          <w:color w:val="334155"/>
          <w:sz w:val="19"/>
        </w:rPr>
        <w:t>Figure 12: Complementary land use typologies envisaged</w:t>
      </w:r>
    </w:p>
    <w:p>
      <w:pPr>
        <w:spacing w:before="40" w:after="80" w:line="276" w:lineRule="auto"/>
      </w:pPr>
      <w:r>
        <w:rPr>
          <w:color w:val="334155"/>
          <w:sz w:val="19"/>
        </w:rPr>
        <w:t>19</w:t>
      </w:r>
    </w:p>
    <w:p>
      <w:pPr>
        <w:spacing w:before="40" w:after="80" w:line="276" w:lineRule="auto"/>
      </w:pPr>
      <w:r>
        <w:rPr>
          <w:color w:val="334155"/>
          <w:sz w:val="19"/>
        </w:rPr>
        <w:t>4  Structure plan and sub-precinct framework</w:t>
      </w:r>
    </w:p>
    <w:p>
      <w:pPr>
        <w:pStyle w:val="Heading3"/>
        <w:keepNext/>
        <w:spacing w:before="160" w:after="40"/>
      </w:pPr>
      <w:r>
        <w:rPr>
          <w:b/>
          <w:color w:val="334155"/>
        </w:rPr>
        <w:t>Page 20</w:t>
      </w:r>
    </w:p>
    <w:p>
      <w:pPr>
        <w:spacing w:before="40" w:after="80" w:line="276" w:lineRule="auto"/>
      </w:pPr>
      <w:r>
        <w:rPr>
          <w:color w:val="334155"/>
          <w:sz w:val="19"/>
        </w:rPr>
        <w:t>Cockle Creek</w:t>
      </w:r>
    </w:p>
    <w:p>
      <w:pPr>
        <w:spacing w:before="40" w:after="80" w:line="276" w:lineRule="auto"/>
      </w:pPr>
      <w:r>
        <w:rPr>
          <w:color w:val="334155"/>
          <w:sz w:val="19"/>
        </w:rPr>
        <w:t>Characteristics</w:t>
      </w:r>
    </w:p>
    <w:p>
      <w:pPr>
        <w:spacing w:before="40" w:after="80" w:line="276" w:lineRule="auto"/>
      </w:pPr>
      <w:r>
        <w:rPr>
          <w:color w:val="334155"/>
          <w:sz w:val="19"/>
        </w:rPr>
        <w:t>Cockle Creek sub-precinct is located in the eastern</w:t>
      </w:r>
    </w:p>
    <w:p>
      <w:pPr>
        <w:spacing w:before="40" w:after="80" w:line="276" w:lineRule="auto"/>
      </w:pPr>
      <w:r>
        <w:rPr>
          <w:color w:val="334155"/>
          <w:sz w:val="19"/>
        </w:rPr>
        <w:t>portion of the Precinct and encompasses the</w:t>
      </w:r>
    </w:p>
    <w:p>
      <w:pPr>
        <w:spacing w:before="40" w:after="80" w:line="276" w:lineRule="auto"/>
      </w:pPr>
      <w:r>
        <w:rPr>
          <w:color w:val="334155"/>
          <w:sz w:val="19"/>
        </w:rPr>
        <w:t>former MCPP, TSF, mine rail loop and associated</w:t>
      </w:r>
    </w:p>
    <w:p>
      <w:pPr>
        <w:spacing w:before="40" w:after="80" w:line="276" w:lineRule="auto"/>
      </w:pPr>
      <w:r>
        <w:rPr>
          <w:color w:val="334155"/>
          <w:sz w:val="19"/>
        </w:rPr>
        <w:t>operational infrastructure. Its direct interface</w:t>
      </w:r>
    </w:p>
    <w:p>
      <w:pPr>
        <w:spacing w:before="40" w:after="80" w:line="276" w:lineRule="auto"/>
      </w:pPr>
      <w:r>
        <w:rPr>
          <w:color w:val="334155"/>
          <w:sz w:val="19"/>
        </w:rPr>
        <w:t>with the Main Northern Railway, together with</w:t>
      </w:r>
    </w:p>
    <w:p>
      <w:pPr>
        <w:spacing w:before="40" w:after="80" w:line="276" w:lineRule="auto"/>
      </w:pPr>
      <w:r>
        <w:rPr>
          <w:color w:val="334155"/>
          <w:sz w:val="19"/>
        </w:rPr>
        <w:t>established access from Racecourse Road,</w:t>
      </w:r>
    </w:p>
    <w:p>
      <w:pPr>
        <w:spacing w:before="40" w:after="80" w:line="276" w:lineRule="auto"/>
      </w:pPr>
      <w:r>
        <w:rPr>
          <w:color w:val="334155"/>
          <w:sz w:val="19"/>
        </w:rPr>
        <w:t>Railway Street and The Weir Road, positions the</w:t>
      </w:r>
    </w:p>
    <w:p>
      <w:pPr>
        <w:spacing w:before="40" w:after="80" w:line="276" w:lineRule="auto"/>
      </w:pPr>
      <w:r>
        <w:rPr>
          <w:color w:val="334155"/>
          <w:sz w:val="19"/>
        </w:rPr>
        <w:t>sub-precinct as a strategically connected gateway</w:t>
      </w:r>
    </w:p>
    <w:p>
      <w:pPr>
        <w:spacing w:before="40" w:after="80" w:line="276" w:lineRule="auto"/>
      </w:pPr>
      <w:r>
        <w:rPr>
          <w:color w:val="334155"/>
          <w:sz w:val="19"/>
        </w:rPr>
        <w:t>within the broader Precinct.</w:t>
      </w:r>
    </w:p>
    <w:p>
      <w:pPr>
        <w:spacing w:before="40" w:after="80" w:line="276" w:lineRule="auto"/>
      </w:pPr>
      <w:r>
        <w:rPr>
          <w:color w:val="334155"/>
          <w:sz w:val="19"/>
        </w:rPr>
        <w:t>Historic industrial use has shaped a substantially</w:t>
      </w:r>
    </w:p>
    <w:p>
      <w:pPr>
        <w:spacing w:before="40" w:after="80" w:line="276" w:lineRule="auto"/>
      </w:pPr>
      <w:r>
        <w:rPr>
          <w:color w:val="334155"/>
          <w:sz w:val="19"/>
        </w:rPr>
        <w:t>modified landscape of previously disturbed land</w:t>
      </w:r>
    </w:p>
    <w:p>
      <w:pPr>
        <w:spacing w:before="40" w:after="80" w:line="276" w:lineRule="auto"/>
      </w:pPr>
      <w:r>
        <w:rPr>
          <w:color w:val="334155"/>
          <w:sz w:val="19"/>
        </w:rPr>
        <w:t>and legacy infrastructure. These attributes provide</w:t>
      </w:r>
    </w:p>
    <w:p>
      <w:pPr>
        <w:spacing w:before="40" w:after="80" w:line="276" w:lineRule="auto"/>
      </w:pPr>
      <w:r>
        <w:rPr>
          <w:color w:val="334155"/>
          <w:sz w:val="19"/>
        </w:rPr>
        <w:t>a strong foundation for early activation and support</w:t>
      </w:r>
    </w:p>
    <w:p>
      <w:pPr>
        <w:spacing w:before="40" w:after="80" w:line="276" w:lineRule="auto"/>
      </w:pPr>
      <w:r>
        <w:rPr>
          <w:color w:val="334155"/>
          <w:sz w:val="19"/>
        </w:rPr>
        <w:t>the efficient reuse of land.</w:t>
      </w:r>
    </w:p>
    <w:p>
      <w:pPr>
        <w:spacing w:before="40" w:after="80" w:line="276" w:lineRule="auto"/>
      </w:pPr>
      <w:r>
        <w:rPr>
          <w:color w:val="334155"/>
          <w:sz w:val="19"/>
        </w:rPr>
        <w:t>Key opportunities</w:t>
      </w:r>
    </w:p>
    <w:p>
      <w:pPr>
        <w:spacing w:before="40" w:after="80" w:line="276" w:lineRule="auto"/>
      </w:pPr>
      <w:r>
        <w:rPr>
          <w:color w:val="334155"/>
          <w:sz w:val="19"/>
        </w:rPr>
        <w:t>The following attributes shape the sub-precinct’s</w:t>
      </w:r>
    </w:p>
    <w:p>
      <w:pPr>
        <w:spacing w:before="40" w:after="80" w:line="276" w:lineRule="auto"/>
      </w:pPr>
      <w:r>
        <w:rPr>
          <w:color w:val="334155"/>
          <w:sz w:val="19"/>
        </w:rPr>
        <w:t>development context and inform a flexible,</w:t>
      </w:r>
    </w:p>
    <w:p>
      <w:pPr>
        <w:spacing w:before="40" w:after="80" w:line="276" w:lineRule="auto"/>
      </w:pPr>
      <w:r>
        <w:rPr>
          <w:color w:val="334155"/>
          <w:sz w:val="19"/>
        </w:rPr>
        <w:t>opportunity-led planning response:</w:t>
      </w:r>
    </w:p>
    <w:p>
      <w:pPr>
        <w:spacing w:before="40" w:after="80" w:line="276" w:lineRule="auto"/>
      </w:pPr>
      <w:r>
        <w:rPr>
          <w:color w:val="334155"/>
          <w:sz w:val="19"/>
        </w:rPr>
        <w:t>•</w:t>
      </w:r>
    </w:p>
    <w:p>
      <w:pPr>
        <w:spacing w:before="40" w:after="80" w:line="276" w:lineRule="auto"/>
      </w:pPr>
      <w:r>
        <w:rPr>
          <w:color w:val="334155"/>
          <w:sz w:val="19"/>
        </w:rPr>
        <w:t>Reuse of legacy industrial assets – The former</w:t>
      </w:r>
    </w:p>
    <w:p>
      <w:pPr>
        <w:spacing w:before="40" w:after="80" w:line="276" w:lineRule="auto"/>
      </w:pPr>
      <w:r>
        <w:rPr>
          <w:color w:val="334155"/>
          <w:sz w:val="19"/>
        </w:rPr>
        <w:t>coal preparation plant, mine rail loop and</w:t>
      </w:r>
    </w:p>
    <w:p>
      <w:pPr>
        <w:spacing w:before="40" w:after="80" w:line="276" w:lineRule="auto"/>
      </w:pPr>
      <w:r>
        <w:rPr>
          <w:color w:val="334155"/>
          <w:sz w:val="19"/>
        </w:rPr>
        <w:t>existing rail interface with the Main Northern</w:t>
      </w:r>
    </w:p>
    <w:p>
      <w:pPr>
        <w:spacing w:before="40" w:after="80" w:line="276" w:lineRule="auto"/>
      </w:pPr>
      <w:r>
        <w:rPr>
          <w:color w:val="334155"/>
          <w:sz w:val="19"/>
        </w:rPr>
        <w:t>railway provide a platform for new industrial,</w:t>
      </w:r>
    </w:p>
    <w:p>
      <w:pPr>
        <w:spacing w:before="40" w:after="80" w:line="276" w:lineRule="auto"/>
      </w:pPr>
      <w:r>
        <w:rPr>
          <w:color w:val="334155"/>
          <w:sz w:val="19"/>
        </w:rPr>
        <w:t>manufacturing, energy and rail-related uses that</w:t>
      </w:r>
    </w:p>
    <w:p>
      <w:pPr>
        <w:spacing w:before="40" w:after="80" w:line="276" w:lineRule="auto"/>
      </w:pPr>
      <w:r>
        <w:rPr>
          <w:color w:val="334155"/>
          <w:sz w:val="19"/>
        </w:rPr>
        <w:t>leverage available infrastructure.</w:t>
      </w:r>
    </w:p>
    <w:p>
      <w:pPr>
        <w:spacing w:before="40" w:after="80" w:line="276" w:lineRule="auto"/>
      </w:pPr>
      <w:r>
        <w:rPr>
          <w:color w:val="334155"/>
          <w:sz w:val="19"/>
        </w:rPr>
        <w:t>•</w:t>
      </w:r>
    </w:p>
    <w:p>
      <w:pPr>
        <w:spacing w:before="40" w:after="80" w:line="276" w:lineRule="auto"/>
      </w:pPr>
      <w:r>
        <w:rPr>
          <w:color w:val="334155"/>
          <w:sz w:val="19"/>
        </w:rPr>
        <w:t>Early activation of available land – Areas outside</w:t>
      </w:r>
    </w:p>
    <w:p>
      <w:pPr>
        <w:spacing w:before="40" w:after="80" w:line="276" w:lineRule="auto"/>
      </w:pPr>
      <w:r>
        <w:rPr>
          <w:color w:val="334155"/>
          <w:sz w:val="19"/>
        </w:rPr>
        <w:t>the TSF and dam break inundation zone are well-</w:t>
      </w:r>
    </w:p>
    <w:p>
      <w:pPr>
        <w:spacing w:before="40" w:after="80" w:line="276" w:lineRule="auto"/>
      </w:pPr>
      <w:r>
        <w:rPr>
          <w:color w:val="334155"/>
          <w:sz w:val="19"/>
        </w:rPr>
        <w:t>positioned for near-term development, with</w:t>
      </w:r>
    </w:p>
    <w:p>
      <w:pPr>
        <w:spacing w:before="40" w:after="80" w:line="276" w:lineRule="auto"/>
      </w:pPr>
      <w:r>
        <w:rPr>
          <w:color w:val="334155"/>
          <w:sz w:val="19"/>
        </w:rPr>
        <w:t>further land progressively released as TSF</w:t>
      </w:r>
    </w:p>
    <w:p>
      <w:pPr>
        <w:spacing w:before="40" w:after="80" w:line="276" w:lineRule="auto"/>
      </w:pPr>
      <w:r>
        <w:rPr>
          <w:color w:val="334155"/>
          <w:sz w:val="19"/>
        </w:rPr>
        <w:t>rehabilitation advances.</w:t>
      </w:r>
    </w:p>
    <w:p>
      <w:pPr>
        <w:spacing w:before="40" w:after="80" w:line="276" w:lineRule="auto"/>
      </w:pPr>
      <w:r>
        <w:rPr>
          <w:color w:val="334155"/>
          <w:sz w:val="19"/>
        </w:rPr>
        <w:t>•</w:t>
      </w:r>
    </w:p>
    <w:p>
      <w:pPr>
        <w:spacing w:before="40" w:after="80" w:line="276" w:lineRule="auto"/>
      </w:pPr>
      <w:r>
        <w:rPr>
          <w:color w:val="334155"/>
          <w:sz w:val="19"/>
        </w:rPr>
        <w:t>Enhanced connectivity – A potential new bridge</w:t>
      </w:r>
    </w:p>
    <w:p>
      <w:pPr>
        <w:spacing w:before="40" w:after="80" w:line="276" w:lineRule="auto"/>
      </w:pPr>
      <w:r>
        <w:rPr>
          <w:color w:val="334155"/>
          <w:sz w:val="19"/>
        </w:rPr>
        <w:t>crossing of Cockle Creek is identified for</w:t>
      </w:r>
    </w:p>
    <w:p>
      <w:pPr>
        <w:spacing w:before="40" w:after="80" w:line="276" w:lineRule="auto"/>
      </w:pPr>
      <w:r>
        <w:rPr>
          <w:color w:val="334155"/>
          <w:sz w:val="19"/>
        </w:rPr>
        <w:t>investigation to strengthen road access and</w:t>
      </w:r>
    </w:p>
    <w:p>
      <w:pPr>
        <w:spacing w:before="40" w:after="80" w:line="276" w:lineRule="auto"/>
      </w:pPr>
      <w:r>
        <w:rPr>
          <w:color w:val="334155"/>
          <w:sz w:val="19"/>
        </w:rPr>
        <w:t>unlock additional development opportunities</w:t>
      </w:r>
    </w:p>
    <w:p>
      <w:pPr>
        <w:spacing w:before="40" w:after="80" w:line="276" w:lineRule="auto"/>
      </w:pPr>
      <w:r>
        <w:rPr>
          <w:color w:val="334155"/>
          <w:sz w:val="19"/>
        </w:rPr>
        <w:t>across the sub-precinct.</w:t>
      </w:r>
    </w:p>
    <w:p>
      <w:pPr>
        <w:spacing w:before="40" w:after="80" w:line="276" w:lineRule="auto"/>
      </w:pPr>
      <w:r>
        <w:rPr>
          <w:color w:val="334155"/>
          <w:sz w:val="19"/>
        </w:rPr>
        <w:t>•</w:t>
      </w:r>
    </w:p>
    <w:p>
      <w:pPr>
        <w:spacing w:before="40" w:after="80" w:line="276" w:lineRule="auto"/>
      </w:pPr>
      <w:r>
        <w:rPr>
          <w:color w:val="334155"/>
          <w:sz w:val="19"/>
        </w:rPr>
        <w:t>Improved internal movement networks – New</w:t>
      </w:r>
    </w:p>
    <w:p>
      <w:pPr>
        <w:spacing w:before="40" w:after="80" w:line="276" w:lineRule="auto"/>
      </w:pPr>
      <w:r>
        <w:rPr>
          <w:color w:val="334155"/>
          <w:sz w:val="19"/>
        </w:rPr>
        <w:t>internal road links will support integrated</w:t>
      </w:r>
    </w:p>
    <w:p>
      <w:pPr>
        <w:spacing w:before="40" w:after="80" w:line="276" w:lineRule="auto"/>
      </w:pPr>
      <w:r>
        <w:rPr>
          <w:color w:val="334155"/>
          <w:sz w:val="19"/>
        </w:rPr>
        <w:t>movement across the sub-precinct, enabled by</w:t>
      </w:r>
    </w:p>
    <w:p>
      <w:pPr>
        <w:spacing w:before="40" w:after="80" w:line="276" w:lineRule="auto"/>
      </w:pPr>
      <w:r>
        <w:rPr>
          <w:color w:val="334155"/>
          <w:sz w:val="19"/>
        </w:rPr>
        <w:t>revocation of the TSF dam declaration or</w:t>
      </w:r>
    </w:p>
    <w:p>
      <w:pPr>
        <w:spacing w:before="40" w:after="80" w:line="276" w:lineRule="auto"/>
      </w:pPr>
      <w:r>
        <w:rPr>
          <w:color w:val="334155"/>
          <w:sz w:val="19"/>
        </w:rPr>
        <w:t>delivery of bridge infrastructure above the</w:t>
      </w:r>
    </w:p>
    <w:p>
      <w:pPr>
        <w:spacing w:before="40" w:after="80" w:line="276" w:lineRule="auto"/>
      </w:pPr>
      <w:r>
        <w:rPr>
          <w:color w:val="334155"/>
          <w:sz w:val="19"/>
        </w:rPr>
        <w:t>inundation level.</w:t>
      </w:r>
    </w:p>
    <w:p>
      <w:pPr>
        <w:spacing w:before="40" w:after="80" w:line="276" w:lineRule="auto"/>
      </w:pPr>
      <w:r>
        <w:rPr>
          <w:color w:val="334155"/>
          <w:sz w:val="19"/>
        </w:rPr>
        <w:t>•</w:t>
      </w:r>
    </w:p>
    <w:p>
      <w:pPr>
        <w:spacing w:before="40" w:after="80" w:line="276" w:lineRule="auto"/>
      </w:pPr>
      <w:r>
        <w:rPr>
          <w:color w:val="334155"/>
          <w:sz w:val="19"/>
        </w:rPr>
        <w:t>Supporting industries that would facilitate rail</w:t>
      </w:r>
    </w:p>
    <w:p>
      <w:pPr>
        <w:spacing w:before="40" w:after="80" w:line="276" w:lineRule="auto"/>
      </w:pPr>
      <w:r>
        <w:rPr>
          <w:color w:val="334155"/>
          <w:sz w:val="19"/>
        </w:rPr>
        <w:t>manufacturing, including workshops with skilled</w:t>
      </w:r>
    </w:p>
    <w:p>
      <w:pPr>
        <w:spacing w:before="40" w:after="80" w:line="276" w:lineRule="auto"/>
      </w:pPr>
      <w:r>
        <w:rPr>
          <w:color w:val="334155"/>
          <w:sz w:val="19"/>
        </w:rPr>
        <w:t>trades.</w:t>
      </w:r>
    </w:p>
    <w:p>
      <w:pPr>
        <w:spacing w:before="40" w:after="80" w:line="276" w:lineRule="auto"/>
      </w:pPr>
      <w:r>
        <w:rPr>
          <w:color w:val="334155"/>
          <w:sz w:val="19"/>
        </w:rPr>
        <w:t>•</w:t>
      </w:r>
    </w:p>
    <w:p>
      <w:pPr>
        <w:spacing w:before="40" w:after="80" w:line="276" w:lineRule="auto"/>
      </w:pPr>
      <w:r>
        <w:rPr>
          <w:color w:val="334155"/>
          <w:sz w:val="19"/>
        </w:rPr>
        <w:t>Established access for short term activity</w:t>
      </w:r>
    </w:p>
    <w:p>
      <w:pPr>
        <w:spacing w:before="40" w:after="80" w:line="276" w:lineRule="auto"/>
      </w:pPr>
      <w:r>
        <w:rPr>
          <w:color w:val="334155"/>
          <w:sz w:val="19"/>
        </w:rPr>
        <w:t>– Existing connections from Railway Street,</w:t>
      </w:r>
    </w:p>
    <w:p>
      <w:pPr>
        <w:spacing w:before="40" w:after="80" w:line="276" w:lineRule="auto"/>
      </w:pPr>
      <w:r>
        <w:rPr>
          <w:color w:val="334155"/>
          <w:sz w:val="19"/>
        </w:rPr>
        <w:t>Racecourse Road, The Weir Road and Rhondda</w:t>
      </w:r>
    </w:p>
    <w:p>
      <w:pPr>
        <w:spacing w:before="40" w:after="80" w:line="276" w:lineRule="auto"/>
      </w:pPr>
      <w:r>
        <w:rPr>
          <w:color w:val="334155"/>
          <w:sz w:val="19"/>
        </w:rPr>
        <w:t>Road provide immediate access to developable</w:t>
      </w:r>
    </w:p>
    <w:p>
      <w:pPr>
        <w:spacing w:before="40" w:after="80" w:line="276" w:lineRule="auto"/>
      </w:pPr>
      <w:r>
        <w:rPr>
          <w:color w:val="334155"/>
          <w:sz w:val="19"/>
        </w:rPr>
        <w:t>land beyond the dam break inundation zone,</w:t>
      </w:r>
    </w:p>
    <w:p>
      <w:pPr>
        <w:spacing w:before="40" w:after="80" w:line="276" w:lineRule="auto"/>
      </w:pPr>
      <w:r>
        <w:rPr>
          <w:color w:val="334155"/>
          <w:sz w:val="19"/>
        </w:rPr>
        <w:t>supporting early-stage uses.</w:t>
      </w:r>
    </w:p>
    <w:p>
      <w:pPr>
        <w:spacing w:before="40" w:after="80" w:line="276" w:lineRule="auto"/>
      </w:pPr>
      <w:r>
        <w:rPr>
          <w:color w:val="334155"/>
          <w:sz w:val="19"/>
        </w:rPr>
        <w:t>•</w:t>
      </w:r>
    </w:p>
    <w:p>
      <w:pPr>
        <w:spacing w:before="40" w:after="80" w:line="276" w:lineRule="auto"/>
      </w:pPr>
      <w:r>
        <w:rPr>
          <w:color w:val="334155"/>
          <w:sz w:val="19"/>
        </w:rPr>
        <w:t>Integration of environmental values – High value</w:t>
      </w:r>
    </w:p>
    <w:p>
      <w:pPr>
        <w:spacing w:before="40" w:after="80" w:line="276" w:lineRule="auto"/>
      </w:pPr>
      <w:r>
        <w:rPr>
          <w:color w:val="334155"/>
          <w:sz w:val="19"/>
        </w:rPr>
        <w:t>biodiversity, fauna habitat and wetland areas to</w:t>
      </w:r>
    </w:p>
    <w:p>
      <w:pPr>
        <w:spacing w:before="40" w:after="80" w:line="276" w:lineRule="auto"/>
      </w:pPr>
      <w:r>
        <w:rPr>
          <w:color w:val="334155"/>
          <w:sz w:val="19"/>
        </w:rPr>
        <w:t>north and east of the sub-precinct are retained</w:t>
      </w:r>
    </w:p>
    <w:p>
      <w:pPr>
        <w:spacing w:before="40" w:after="80" w:line="276" w:lineRule="auto"/>
      </w:pPr>
      <w:r>
        <w:rPr>
          <w:color w:val="334155"/>
          <w:sz w:val="19"/>
        </w:rPr>
        <w:t>and integrated into the land use pattern,</w:t>
      </w:r>
    </w:p>
    <w:p>
      <w:pPr>
        <w:spacing w:before="40" w:after="80" w:line="276" w:lineRule="auto"/>
      </w:pPr>
      <w:r>
        <w:rPr>
          <w:color w:val="334155"/>
          <w:sz w:val="19"/>
        </w:rPr>
        <w:t>supporting a considered balance between</w:t>
      </w:r>
    </w:p>
    <w:p>
      <w:pPr>
        <w:spacing w:before="40" w:after="80" w:line="276" w:lineRule="auto"/>
      </w:pPr>
      <w:r>
        <w:rPr>
          <w:color w:val="334155"/>
          <w:sz w:val="19"/>
        </w:rPr>
        <w:t>development and environmental outcomes.</w:t>
      </w:r>
    </w:p>
    <w:p>
      <w:pPr>
        <w:spacing w:before="40" w:after="80" w:line="276" w:lineRule="auto"/>
      </w:pPr>
      <w:r>
        <w:rPr>
          <w:color w:val="334155"/>
          <w:sz w:val="19"/>
        </w:rPr>
        <w:t>Figure 13: Indicative mixed industrial development</w:t>
      </w:r>
    </w:p>
    <w:p>
      <w:pPr>
        <w:spacing w:before="40" w:after="80" w:line="276" w:lineRule="auto"/>
      </w:pPr>
      <w:r>
        <w:rPr>
          <w:color w:val="334155"/>
          <w:sz w:val="19"/>
        </w:rPr>
        <w:t>concept</w:t>
      </w:r>
    </w:p>
    <w:p>
      <w:pPr>
        <w:spacing w:before="40" w:after="80" w:line="276" w:lineRule="auto"/>
      </w:pPr>
      <w:r>
        <w:rPr>
          <w:color w:val="334155"/>
          <w:sz w:val="19"/>
        </w:rPr>
        <w:t>Figure 14: Indicative mixed industrial</w:t>
      </w:r>
    </w:p>
    <w:p>
      <w:pPr>
        <w:spacing w:before="40" w:after="80" w:line="276" w:lineRule="auto"/>
      </w:pPr>
      <w:r>
        <w:rPr>
          <w:color w:val="334155"/>
          <w:sz w:val="19"/>
        </w:rPr>
        <w:t>development concept utilising rail connectivity</w:t>
      </w:r>
    </w:p>
    <w:p>
      <w:pPr>
        <w:spacing w:before="40" w:after="80" w:line="276" w:lineRule="auto"/>
      </w:pPr>
      <w:r>
        <w:rPr>
          <w:color w:val="334155"/>
          <w:sz w:val="19"/>
        </w:rPr>
        <w:t>20</w:t>
      </w:r>
    </w:p>
    <w:p>
      <w:pPr>
        <w:spacing w:before="40" w:after="80" w:line="276" w:lineRule="auto"/>
      </w:pPr>
      <w:r>
        <w:rPr>
          <w:color w:val="334155"/>
          <w:sz w:val="19"/>
        </w:rPr>
        <w:t>4  Structure plan and sub-precinct framework</w:t>
      </w:r>
    </w:p>
    <w:p>
      <w:pPr>
        <w:pStyle w:val="Heading3"/>
        <w:keepNext/>
        <w:spacing w:before="160" w:after="40"/>
      </w:pPr>
      <w:r>
        <w:rPr>
          <w:b/>
          <w:color w:val="334155"/>
        </w:rPr>
        <w:t>Page 21</w:t>
      </w:r>
    </w:p>
    <w:p>
      <w:pPr>
        <w:spacing w:before="40" w:after="80" w:line="276" w:lineRule="auto"/>
      </w:pPr>
      <w:r>
        <w:rPr>
          <w:color w:val="334155"/>
          <w:sz w:val="19"/>
        </w:rPr>
        <w:t>Killingworth</w:t>
      </w:r>
    </w:p>
    <w:p>
      <w:pPr>
        <w:spacing w:before="40" w:after="80" w:line="276" w:lineRule="auto"/>
      </w:pPr>
      <w:r>
        <w:rPr>
          <w:color w:val="334155"/>
          <w:sz w:val="19"/>
        </w:rPr>
        <w:t>Characteristics</w:t>
      </w:r>
    </w:p>
    <w:p>
      <w:pPr>
        <w:spacing w:before="40" w:after="80" w:line="276" w:lineRule="auto"/>
      </w:pPr>
      <w:r>
        <w:rPr>
          <w:color w:val="334155"/>
          <w:sz w:val="19"/>
        </w:rPr>
        <w:t>Killingworth sub-precinct is located in the north-</w:t>
      </w:r>
    </w:p>
    <w:p>
      <w:pPr>
        <w:spacing w:before="40" w:after="80" w:line="276" w:lineRule="auto"/>
      </w:pPr>
      <w:r>
        <w:rPr>
          <w:color w:val="334155"/>
          <w:sz w:val="19"/>
        </w:rPr>
        <w:t>western portion of the Precinct, near established</w:t>
      </w:r>
    </w:p>
    <w:p>
      <w:pPr>
        <w:spacing w:before="40" w:after="80" w:line="276" w:lineRule="auto"/>
      </w:pPr>
      <w:r>
        <w:rPr>
          <w:color w:val="334155"/>
          <w:sz w:val="19"/>
        </w:rPr>
        <w:t>residential areas of Killingworth and Barnsley.</w:t>
      </w:r>
    </w:p>
    <w:p>
      <w:pPr>
        <w:spacing w:before="40" w:after="80" w:line="276" w:lineRule="auto"/>
      </w:pPr>
      <w:r>
        <w:rPr>
          <w:color w:val="334155"/>
          <w:sz w:val="19"/>
        </w:rPr>
        <w:t>Accessible topography, established road</w:t>
      </w:r>
    </w:p>
    <w:p>
      <w:pPr>
        <w:spacing w:before="40" w:after="80" w:line="276" w:lineRule="auto"/>
      </w:pPr>
      <w:r>
        <w:rPr>
          <w:color w:val="334155"/>
          <w:sz w:val="19"/>
        </w:rPr>
        <w:t>connections via Wakefield Road and The Broadway,</w:t>
      </w:r>
    </w:p>
    <w:p>
      <w:pPr>
        <w:spacing w:before="40" w:after="80" w:line="276" w:lineRule="auto"/>
      </w:pPr>
      <w:r>
        <w:rPr>
          <w:color w:val="334155"/>
          <w:sz w:val="19"/>
        </w:rPr>
        <w:t>and a direct interface with environmentally</w:t>
      </w:r>
    </w:p>
    <w:p>
      <w:pPr>
        <w:spacing w:before="40" w:after="80" w:line="276" w:lineRule="auto"/>
      </w:pPr>
      <w:r>
        <w:rPr>
          <w:color w:val="334155"/>
          <w:sz w:val="19"/>
        </w:rPr>
        <w:t>constrained areas and biodiversity corridors to the</w:t>
      </w:r>
    </w:p>
    <w:p>
      <w:pPr>
        <w:spacing w:before="40" w:after="80" w:line="276" w:lineRule="auto"/>
      </w:pPr>
      <w:r>
        <w:rPr>
          <w:color w:val="334155"/>
          <w:sz w:val="19"/>
        </w:rPr>
        <w:t>south and east define its place-based setting.</w:t>
      </w:r>
    </w:p>
    <w:p>
      <w:pPr>
        <w:spacing w:before="40" w:after="80" w:line="276" w:lineRule="auto"/>
      </w:pPr>
      <w:r>
        <w:rPr>
          <w:color w:val="334155"/>
          <w:sz w:val="19"/>
        </w:rPr>
        <w:t>Its proximity to existing communities and the</w:t>
      </w:r>
    </w:p>
    <w:p>
      <w:pPr>
        <w:spacing w:before="40" w:after="80" w:line="276" w:lineRule="auto"/>
      </w:pPr>
      <w:r>
        <w:rPr>
          <w:color w:val="334155"/>
          <w:sz w:val="19"/>
        </w:rPr>
        <w:t>prevalence of previously disturbed land from</w:t>
      </w:r>
    </w:p>
    <w:p>
      <w:pPr>
        <w:spacing w:before="40" w:after="80" w:line="276" w:lineRule="auto"/>
      </w:pPr>
      <w:r>
        <w:rPr>
          <w:color w:val="334155"/>
          <w:sz w:val="19"/>
        </w:rPr>
        <w:t>former mining operations position the sub-precinct</w:t>
      </w:r>
    </w:p>
    <w:p>
      <w:pPr>
        <w:spacing w:before="40" w:after="80" w:line="276" w:lineRule="auto"/>
      </w:pPr>
      <w:r>
        <w:rPr>
          <w:color w:val="334155"/>
          <w:sz w:val="19"/>
        </w:rPr>
        <w:t>as a strong candidate for early activation. These</w:t>
      </w:r>
    </w:p>
    <w:p>
      <w:pPr>
        <w:spacing w:before="40" w:after="80" w:line="276" w:lineRule="auto"/>
      </w:pPr>
      <w:r>
        <w:rPr>
          <w:color w:val="334155"/>
          <w:sz w:val="19"/>
        </w:rPr>
        <w:t>attributes provide a practical platform for short-</w:t>
      </w:r>
    </w:p>
    <w:p>
      <w:pPr>
        <w:spacing w:before="40" w:after="80" w:line="276" w:lineRule="auto"/>
      </w:pPr>
      <w:r>
        <w:rPr>
          <w:color w:val="334155"/>
          <w:sz w:val="19"/>
        </w:rPr>
        <w:t>term development opportunities, aligned with</w:t>
      </w:r>
    </w:p>
    <w:p>
      <w:pPr>
        <w:spacing w:before="40" w:after="80" w:line="276" w:lineRule="auto"/>
      </w:pPr>
      <w:r>
        <w:rPr>
          <w:color w:val="334155"/>
          <w:sz w:val="19"/>
        </w:rPr>
        <w:t>rehabilitation outcomes and sequenced provision of</w:t>
      </w:r>
    </w:p>
    <w:p>
      <w:pPr>
        <w:spacing w:before="40" w:after="80" w:line="276" w:lineRule="auto"/>
      </w:pPr>
      <w:r>
        <w:rPr>
          <w:color w:val="334155"/>
          <w:sz w:val="19"/>
        </w:rPr>
        <w:t>servicing.</w:t>
      </w:r>
    </w:p>
    <w:p>
      <w:pPr>
        <w:spacing w:before="40" w:after="80" w:line="276" w:lineRule="auto"/>
      </w:pPr>
      <w:r>
        <w:rPr>
          <w:color w:val="334155"/>
          <w:sz w:val="19"/>
        </w:rPr>
        <w:t>Key opportunities</w:t>
      </w:r>
    </w:p>
    <w:p>
      <w:pPr>
        <w:spacing w:before="40" w:after="80" w:line="276" w:lineRule="auto"/>
      </w:pPr>
      <w:r>
        <w:rPr>
          <w:color w:val="334155"/>
          <w:sz w:val="19"/>
        </w:rPr>
        <w:t>The following attributes shape the sub-precinct’s</w:t>
      </w:r>
    </w:p>
    <w:p>
      <w:pPr>
        <w:spacing w:before="40" w:after="80" w:line="276" w:lineRule="auto"/>
      </w:pPr>
      <w:r>
        <w:rPr>
          <w:color w:val="334155"/>
          <w:sz w:val="19"/>
        </w:rPr>
        <w:t>development context and inform an opportunity-led</w:t>
      </w:r>
    </w:p>
    <w:p>
      <w:pPr>
        <w:spacing w:before="40" w:after="80" w:line="276" w:lineRule="auto"/>
      </w:pPr>
      <w:r>
        <w:rPr>
          <w:color w:val="334155"/>
          <w:sz w:val="19"/>
        </w:rPr>
        <w:t>planning response:</w:t>
      </w:r>
    </w:p>
    <w:p>
      <w:pPr>
        <w:spacing w:before="40" w:after="80" w:line="276" w:lineRule="auto"/>
      </w:pPr>
      <w:r>
        <w:rPr>
          <w:color w:val="334155"/>
          <w:sz w:val="19"/>
        </w:rPr>
        <w:t>•</w:t>
      </w:r>
    </w:p>
    <w:p>
      <w:pPr>
        <w:spacing w:before="40" w:after="80" w:line="276" w:lineRule="auto"/>
      </w:pPr>
      <w:r>
        <w:rPr>
          <w:color w:val="334155"/>
          <w:sz w:val="19"/>
        </w:rPr>
        <w:t>Compatible community interface – Interface</w:t>
      </w:r>
    </w:p>
    <w:p>
      <w:pPr>
        <w:spacing w:before="40" w:after="80" w:line="276" w:lineRule="auto"/>
      </w:pPr>
      <w:r>
        <w:rPr>
          <w:color w:val="334155"/>
          <w:sz w:val="19"/>
        </w:rPr>
        <w:t>with established residential areas of</w:t>
      </w:r>
    </w:p>
    <w:p>
      <w:pPr>
        <w:spacing w:before="40" w:after="80" w:line="276" w:lineRule="auto"/>
      </w:pPr>
      <w:r>
        <w:rPr>
          <w:color w:val="334155"/>
          <w:sz w:val="19"/>
        </w:rPr>
        <w:t>Killingworth and Barnsley is managed through</w:t>
      </w:r>
    </w:p>
    <w:p>
      <w:pPr>
        <w:spacing w:before="40" w:after="80" w:line="276" w:lineRule="auto"/>
      </w:pPr>
      <w:r>
        <w:rPr>
          <w:color w:val="334155"/>
          <w:sz w:val="19"/>
        </w:rPr>
        <w:t>appropriate buffers, setbacks and acoustic</w:t>
      </w:r>
    </w:p>
    <w:p>
      <w:pPr>
        <w:spacing w:before="40" w:after="80" w:line="276" w:lineRule="auto"/>
      </w:pPr>
      <w:r>
        <w:rPr>
          <w:color w:val="334155"/>
          <w:sz w:val="19"/>
        </w:rPr>
        <w:t>treatments to make sure land use compatibility</w:t>
      </w:r>
    </w:p>
    <w:p>
      <w:pPr>
        <w:spacing w:before="40" w:after="80" w:line="276" w:lineRule="auto"/>
      </w:pPr>
      <w:r>
        <w:rPr>
          <w:color w:val="334155"/>
          <w:sz w:val="19"/>
        </w:rPr>
        <w:t>and protect amenity.</w:t>
      </w:r>
    </w:p>
    <w:p>
      <w:pPr>
        <w:spacing w:before="40" w:after="80" w:line="276" w:lineRule="auto"/>
      </w:pPr>
      <w:r>
        <w:rPr>
          <w:color w:val="334155"/>
          <w:sz w:val="19"/>
        </w:rPr>
        <w:t>•</w:t>
      </w:r>
    </w:p>
    <w:p>
      <w:pPr>
        <w:spacing w:before="40" w:after="80" w:line="276" w:lineRule="auto"/>
      </w:pPr>
      <w:r>
        <w:rPr>
          <w:color w:val="334155"/>
          <w:sz w:val="19"/>
        </w:rPr>
        <w:t>Efficient access and movement – Accessible</w:t>
      </w:r>
    </w:p>
    <w:p>
      <w:pPr>
        <w:spacing w:before="40" w:after="80" w:line="276" w:lineRule="auto"/>
      </w:pPr>
      <w:r>
        <w:rPr>
          <w:color w:val="334155"/>
          <w:sz w:val="19"/>
        </w:rPr>
        <w:t>topography and established connections</w:t>
      </w:r>
    </w:p>
    <w:p>
      <w:pPr>
        <w:spacing w:before="40" w:after="80" w:line="276" w:lineRule="auto"/>
      </w:pPr>
      <w:r>
        <w:rPr>
          <w:color w:val="334155"/>
          <w:sz w:val="19"/>
        </w:rPr>
        <w:t>through Wakefield Road and The Broadway</w:t>
      </w:r>
    </w:p>
    <w:p>
      <w:pPr>
        <w:spacing w:before="40" w:after="80" w:line="276" w:lineRule="auto"/>
      </w:pPr>
      <w:r>
        <w:rPr>
          <w:color w:val="334155"/>
          <w:sz w:val="19"/>
        </w:rPr>
        <w:t>enable efficient site access, with heavy vehicle</w:t>
      </w:r>
    </w:p>
    <w:p>
      <w:pPr>
        <w:spacing w:before="40" w:after="80" w:line="276" w:lineRule="auto"/>
      </w:pPr>
      <w:r>
        <w:rPr>
          <w:color w:val="334155"/>
          <w:sz w:val="19"/>
        </w:rPr>
        <w:t>routing strategy that directs freight to approved</w:t>
      </w:r>
    </w:p>
    <w:p>
      <w:pPr>
        <w:spacing w:before="40" w:after="80" w:line="276" w:lineRule="auto"/>
      </w:pPr>
      <w:r>
        <w:rPr>
          <w:color w:val="334155"/>
          <w:sz w:val="19"/>
        </w:rPr>
        <w:t>routes and reinforces the sub-precinct’s</w:t>
      </w:r>
    </w:p>
    <w:p>
      <w:pPr>
        <w:spacing w:before="40" w:after="80" w:line="276" w:lineRule="auto"/>
      </w:pPr>
      <w:r>
        <w:rPr>
          <w:color w:val="334155"/>
          <w:sz w:val="19"/>
        </w:rPr>
        <w:t>logistics advantages.</w:t>
      </w:r>
    </w:p>
    <w:p>
      <w:pPr>
        <w:spacing w:before="40" w:after="80" w:line="276" w:lineRule="auto"/>
      </w:pPr>
      <w:r>
        <w:rPr>
          <w:color w:val="334155"/>
          <w:sz w:val="19"/>
        </w:rPr>
        <w:t>•</w:t>
      </w:r>
    </w:p>
    <w:p>
      <w:pPr>
        <w:spacing w:before="40" w:after="80" w:line="276" w:lineRule="auto"/>
      </w:pPr>
      <w:r>
        <w:rPr>
          <w:color w:val="334155"/>
          <w:sz w:val="19"/>
        </w:rPr>
        <w:t>Energy-enabled employment opportunity –</w:t>
      </w:r>
    </w:p>
    <w:p>
      <w:pPr>
        <w:spacing w:before="40" w:after="80" w:line="276" w:lineRule="auto"/>
      </w:pPr>
      <w:r>
        <w:rPr>
          <w:color w:val="334155"/>
          <w:sz w:val="19"/>
        </w:rPr>
        <w:t>Proximity to the Transgrid substation positions</w:t>
      </w:r>
    </w:p>
    <w:p>
      <w:pPr>
        <w:spacing w:before="40" w:after="80" w:line="276" w:lineRule="auto"/>
      </w:pPr>
      <w:r>
        <w:rPr>
          <w:color w:val="334155"/>
          <w:sz w:val="19"/>
        </w:rPr>
        <w:t>Killingworth to attract energy-intensive and</w:t>
      </w:r>
    </w:p>
    <w:p>
      <w:pPr>
        <w:spacing w:before="40" w:after="80" w:line="276" w:lineRule="auto"/>
      </w:pPr>
      <w:r>
        <w:rPr>
          <w:color w:val="334155"/>
          <w:sz w:val="19"/>
        </w:rPr>
        <w:t>data-driven industries seeking reliable grid</w:t>
      </w:r>
    </w:p>
    <w:p>
      <w:pPr>
        <w:spacing w:before="40" w:after="80" w:line="276" w:lineRule="auto"/>
      </w:pPr>
      <w:r>
        <w:rPr>
          <w:color w:val="334155"/>
          <w:sz w:val="19"/>
        </w:rPr>
        <w:t>access, supporting the Precinct’s role in the</w:t>
      </w:r>
    </w:p>
    <w:p>
      <w:pPr>
        <w:spacing w:before="40" w:after="80" w:line="276" w:lineRule="auto"/>
      </w:pPr>
      <w:r>
        <w:rPr>
          <w:color w:val="334155"/>
          <w:sz w:val="19"/>
        </w:rPr>
        <w:t>Hunter’s energy and digital economy</w:t>
      </w:r>
    </w:p>
    <w:p>
      <w:pPr>
        <w:spacing w:before="40" w:after="80" w:line="276" w:lineRule="auto"/>
      </w:pPr>
      <w:r>
        <w:rPr>
          <w:color w:val="334155"/>
          <w:sz w:val="19"/>
        </w:rPr>
        <w:t>transformation.</w:t>
      </w:r>
    </w:p>
    <w:p>
      <w:pPr>
        <w:spacing w:before="40" w:after="80" w:line="276" w:lineRule="auto"/>
      </w:pPr>
      <w:r>
        <w:rPr>
          <w:color w:val="334155"/>
          <w:sz w:val="19"/>
        </w:rPr>
        <w:t>•</w:t>
      </w:r>
    </w:p>
    <w:p>
      <w:pPr>
        <w:spacing w:before="40" w:after="80" w:line="276" w:lineRule="auto"/>
      </w:pPr>
      <w:r>
        <w:rPr>
          <w:color w:val="334155"/>
          <w:sz w:val="19"/>
        </w:rPr>
        <w:t>Local jobs – The sub-precinct’s location</w:t>
      </w:r>
    </w:p>
    <w:p>
      <w:pPr>
        <w:spacing w:before="40" w:after="80" w:line="276" w:lineRule="auto"/>
      </w:pPr>
      <w:r>
        <w:rPr>
          <w:color w:val="334155"/>
          <w:sz w:val="19"/>
        </w:rPr>
        <w:t>adjoining established communities provides for</w:t>
      </w:r>
    </w:p>
    <w:p>
      <w:pPr>
        <w:spacing w:before="40" w:after="80" w:line="276" w:lineRule="auto"/>
      </w:pPr>
      <w:r>
        <w:rPr>
          <w:color w:val="334155"/>
          <w:sz w:val="19"/>
        </w:rPr>
        <w:t>accessible local employment that supports</w:t>
      </w:r>
    </w:p>
    <w:p>
      <w:pPr>
        <w:spacing w:before="40" w:after="80" w:line="276" w:lineRule="auto"/>
      </w:pPr>
      <w:r>
        <w:rPr>
          <w:color w:val="334155"/>
          <w:sz w:val="19"/>
        </w:rPr>
        <w:t>workforce participation and liveability across the</w:t>
      </w:r>
    </w:p>
    <w:p>
      <w:pPr>
        <w:spacing w:before="40" w:after="80" w:line="276" w:lineRule="auto"/>
      </w:pPr>
      <w:r>
        <w:rPr>
          <w:color w:val="334155"/>
          <w:sz w:val="19"/>
        </w:rPr>
        <w:t>surrounding area.</w:t>
      </w:r>
    </w:p>
    <w:p>
      <w:pPr>
        <w:spacing w:before="40" w:after="80" w:line="276" w:lineRule="auto"/>
      </w:pPr>
      <w:r>
        <w:rPr>
          <w:color w:val="334155"/>
          <w:sz w:val="19"/>
        </w:rPr>
        <w:t>•</w:t>
      </w:r>
    </w:p>
    <w:p>
      <w:pPr>
        <w:spacing w:before="40" w:after="80" w:line="276" w:lineRule="auto"/>
      </w:pPr>
      <w:r>
        <w:rPr>
          <w:color w:val="334155"/>
          <w:sz w:val="19"/>
        </w:rPr>
        <w:t>Integration of environmental values – Interfaces</w:t>
      </w:r>
    </w:p>
    <w:p>
      <w:pPr>
        <w:spacing w:before="40" w:after="80" w:line="276" w:lineRule="auto"/>
      </w:pPr>
      <w:r>
        <w:rPr>
          <w:color w:val="334155"/>
          <w:sz w:val="19"/>
        </w:rPr>
        <w:t>with environmentally constrained areas and</w:t>
      </w:r>
    </w:p>
    <w:p>
      <w:pPr>
        <w:spacing w:before="40" w:after="80" w:line="276" w:lineRule="auto"/>
      </w:pPr>
      <w:r>
        <w:rPr>
          <w:color w:val="334155"/>
          <w:sz w:val="19"/>
        </w:rPr>
        <w:t>biodiversity corridors inform a considered land</w:t>
      </w:r>
    </w:p>
    <w:p>
      <w:pPr>
        <w:spacing w:before="40" w:after="80" w:line="276" w:lineRule="auto"/>
      </w:pPr>
      <w:r>
        <w:rPr>
          <w:color w:val="334155"/>
          <w:sz w:val="19"/>
        </w:rPr>
        <w:t>use pattern that retains ecological connectivity</w:t>
      </w:r>
    </w:p>
    <w:p>
      <w:pPr>
        <w:spacing w:before="40" w:after="80" w:line="276" w:lineRule="auto"/>
      </w:pPr>
      <w:r>
        <w:rPr>
          <w:color w:val="334155"/>
          <w:sz w:val="19"/>
        </w:rPr>
        <w:t>while enabling productive use of previously</w:t>
      </w:r>
    </w:p>
    <w:p>
      <w:pPr>
        <w:spacing w:before="40" w:after="80" w:line="276" w:lineRule="auto"/>
      </w:pPr>
      <w:r>
        <w:rPr>
          <w:color w:val="334155"/>
          <w:sz w:val="19"/>
        </w:rPr>
        <w:t>disturbed land.</w:t>
      </w:r>
    </w:p>
    <w:p>
      <w:pPr>
        <w:spacing w:before="40" w:after="80" w:line="276" w:lineRule="auto"/>
      </w:pPr>
      <w:r>
        <w:rPr>
          <w:color w:val="334155"/>
          <w:sz w:val="19"/>
        </w:rPr>
        <w:t>•</w:t>
      </w:r>
    </w:p>
    <w:p>
      <w:pPr>
        <w:spacing w:before="40" w:after="80" w:line="276" w:lineRule="auto"/>
      </w:pPr>
      <w:r>
        <w:rPr>
          <w:color w:val="334155"/>
          <w:sz w:val="19"/>
        </w:rPr>
        <w:t>Evidence-based sequencing – Geotechnical,</w:t>
      </w:r>
    </w:p>
    <w:p>
      <w:pPr>
        <w:spacing w:before="40" w:after="80" w:line="276" w:lineRule="auto"/>
      </w:pPr>
      <w:r>
        <w:rPr>
          <w:color w:val="334155"/>
          <w:sz w:val="19"/>
        </w:rPr>
        <w:t>water quality, utilities and access investigations</w:t>
      </w:r>
    </w:p>
    <w:p>
      <w:pPr>
        <w:spacing w:before="40" w:after="80" w:line="276" w:lineRule="auto"/>
      </w:pPr>
      <w:r>
        <w:rPr>
          <w:color w:val="334155"/>
          <w:sz w:val="19"/>
        </w:rPr>
        <w:t>will inform the staged delivery of development.</w:t>
      </w:r>
    </w:p>
    <w:p>
      <w:pPr>
        <w:spacing w:before="40" w:after="80" w:line="276" w:lineRule="auto"/>
      </w:pPr>
      <w:r>
        <w:rPr>
          <w:color w:val="334155"/>
          <w:sz w:val="19"/>
        </w:rPr>
        <w:t>Figure 15: Indicative light industrial development</w:t>
      </w:r>
    </w:p>
    <w:p>
      <w:pPr>
        <w:spacing w:before="40" w:after="80" w:line="276" w:lineRule="auto"/>
      </w:pPr>
      <w:r>
        <w:rPr>
          <w:color w:val="334155"/>
          <w:sz w:val="19"/>
        </w:rPr>
        <w:t>concept</w:t>
      </w:r>
    </w:p>
    <w:p>
      <w:pPr>
        <w:spacing w:before="40" w:after="80" w:line="276" w:lineRule="auto"/>
      </w:pPr>
      <w:r>
        <w:rPr>
          <w:color w:val="334155"/>
          <w:sz w:val="19"/>
        </w:rPr>
        <w:t>Figure 16: Indicative light industrial layout</w:t>
      </w:r>
    </w:p>
    <w:p>
      <w:pPr>
        <w:spacing w:before="40" w:after="80" w:line="276" w:lineRule="auto"/>
      </w:pPr>
      <w:r>
        <w:rPr>
          <w:color w:val="334155"/>
          <w:sz w:val="19"/>
        </w:rPr>
        <w:t>development concept</w:t>
      </w:r>
    </w:p>
    <w:p>
      <w:pPr>
        <w:spacing w:before="40" w:after="80" w:line="276" w:lineRule="auto"/>
      </w:pPr>
      <w:r>
        <w:rPr>
          <w:color w:val="334155"/>
          <w:sz w:val="19"/>
        </w:rPr>
        <w:t>21</w:t>
      </w:r>
    </w:p>
    <w:p>
      <w:pPr>
        <w:spacing w:before="40" w:after="80" w:line="276" w:lineRule="auto"/>
      </w:pPr>
      <w:r>
        <w:rPr>
          <w:color w:val="334155"/>
          <w:sz w:val="19"/>
        </w:rPr>
        <w:t>4  Structure plan and sub-precinct framework</w:t>
      </w:r>
    </w:p>
    <w:p>
      <w:pPr>
        <w:pStyle w:val="Heading3"/>
        <w:keepNext/>
        <w:spacing w:before="160" w:after="40"/>
      </w:pPr>
      <w:r>
        <w:rPr>
          <w:b/>
          <w:color w:val="334155"/>
        </w:rPr>
        <w:t>Page 22</w:t>
      </w:r>
    </w:p>
    <w:p>
      <w:pPr>
        <w:spacing w:before="40" w:after="80" w:line="276" w:lineRule="auto"/>
      </w:pPr>
      <w:r>
        <w:rPr>
          <w:color w:val="334155"/>
          <w:sz w:val="19"/>
        </w:rPr>
        <w:t>Key opportunities</w:t>
      </w:r>
    </w:p>
    <w:p>
      <w:pPr>
        <w:spacing w:before="40" w:after="80" w:line="276" w:lineRule="auto"/>
      </w:pPr>
      <w:r>
        <w:rPr>
          <w:color w:val="334155"/>
          <w:sz w:val="19"/>
        </w:rPr>
        <w:t>The following attributes shape the sub-precinct’s</w:t>
      </w:r>
    </w:p>
    <w:p>
      <w:pPr>
        <w:spacing w:before="40" w:after="80" w:line="276" w:lineRule="auto"/>
      </w:pPr>
      <w:r>
        <w:rPr>
          <w:color w:val="334155"/>
          <w:sz w:val="19"/>
        </w:rPr>
        <w:t>development context and inform an opportunity-</w:t>
      </w:r>
    </w:p>
    <w:p>
      <w:pPr>
        <w:spacing w:before="40" w:after="80" w:line="276" w:lineRule="auto"/>
      </w:pPr>
      <w:r>
        <w:rPr>
          <w:color w:val="334155"/>
          <w:sz w:val="19"/>
        </w:rPr>
        <w:t>led, planning response:</w:t>
      </w:r>
    </w:p>
    <w:p>
      <w:pPr>
        <w:spacing w:before="40" w:after="80" w:line="276" w:lineRule="auto"/>
      </w:pPr>
      <w:r>
        <w:rPr>
          <w:color w:val="334155"/>
          <w:sz w:val="19"/>
        </w:rPr>
        <w:t>•</w:t>
      </w:r>
    </w:p>
    <w:p>
      <w:pPr>
        <w:spacing w:before="40" w:after="80" w:line="276" w:lineRule="auto"/>
      </w:pPr>
      <w:r>
        <w:rPr>
          <w:color w:val="334155"/>
          <w:sz w:val="19"/>
        </w:rPr>
        <w:t>A landscape-led destination – West Lake will</w:t>
      </w:r>
    </w:p>
    <w:p>
      <w:pPr>
        <w:spacing w:before="40" w:after="80" w:line="276" w:lineRule="auto"/>
      </w:pPr>
      <w:r>
        <w:rPr>
          <w:color w:val="334155"/>
          <w:sz w:val="19"/>
        </w:rPr>
        <w:t>evolve as the Precinct’s landscape, community</w:t>
      </w:r>
    </w:p>
    <w:p>
      <w:pPr>
        <w:spacing w:before="40" w:after="80" w:line="276" w:lineRule="auto"/>
      </w:pPr>
      <w:r>
        <w:rPr>
          <w:color w:val="334155"/>
          <w:sz w:val="19"/>
        </w:rPr>
        <w:t>and visitor heart, where rehabilitated land, water</w:t>
      </w:r>
    </w:p>
    <w:p>
      <w:pPr>
        <w:spacing w:before="40" w:after="80" w:line="276" w:lineRule="auto"/>
      </w:pPr>
      <w:r>
        <w:rPr>
          <w:color w:val="334155"/>
          <w:sz w:val="19"/>
        </w:rPr>
        <w:t>and bushland frame a curated employment,</w:t>
      </w:r>
    </w:p>
    <w:p>
      <w:pPr>
        <w:spacing w:before="40" w:after="80" w:line="276" w:lineRule="auto"/>
      </w:pPr>
      <w:r>
        <w:rPr>
          <w:color w:val="334155"/>
          <w:sz w:val="19"/>
        </w:rPr>
        <w:t>tourism, recreation and interpretation concept</w:t>
      </w:r>
    </w:p>
    <w:p>
      <w:pPr>
        <w:spacing w:before="40" w:after="80" w:line="276" w:lineRule="auto"/>
      </w:pPr>
      <w:r>
        <w:rPr>
          <w:color w:val="334155"/>
          <w:sz w:val="19"/>
        </w:rPr>
        <w:t>that supports economic diversification and long-</w:t>
      </w:r>
    </w:p>
    <w:p>
      <w:pPr>
        <w:spacing w:before="40" w:after="80" w:line="276" w:lineRule="auto"/>
      </w:pPr>
      <w:r>
        <w:rPr>
          <w:color w:val="334155"/>
          <w:sz w:val="19"/>
        </w:rPr>
        <w:t>term adaptability.</w:t>
      </w:r>
    </w:p>
    <w:p>
      <w:pPr>
        <w:spacing w:before="40" w:after="80" w:line="276" w:lineRule="auto"/>
      </w:pPr>
      <w:r>
        <w:rPr>
          <w:color w:val="334155"/>
          <w:sz w:val="19"/>
        </w:rPr>
        <w:t>•</w:t>
      </w:r>
    </w:p>
    <w:p>
      <w:pPr>
        <w:spacing w:before="40" w:after="80" w:line="276" w:lineRule="auto"/>
      </w:pPr>
      <w:r>
        <w:rPr>
          <w:color w:val="334155"/>
          <w:sz w:val="19"/>
        </w:rPr>
        <w:t>Signature landscape setting and visitor</w:t>
      </w:r>
    </w:p>
    <w:p>
      <w:pPr>
        <w:spacing w:before="40" w:after="80" w:line="276" w:lineRule="auto"/>
      </w:pPr>
      <w:r>
        <w:rPr>
          <w:color w:val="334155"/>
          <w:sz w:val="19"/>
        </w:rPr>
        <w:t>experience – The lake and distinctive landscape</w:t>
      </w:r>
    </w:p>
    <w:p>
      <w:pPr>
        <w:spacing w:before="40" w:after="80" w:line="276" w:lineRule="auto"/>
      </w:pPr>
      <w:r>
        <w:rPr>
          <w:color w:val="334155"/>
          <w:sz w:val="19"/>
        </w:rPr>
        <w:t>identity that supports nature-based tourism,</w:t>
      </w:r>
    </w:p>
    <w:p>
      <w:pPr>
        <w:spacing w:before="40" w:after="80" w:line="276" w:lineRule="auto"/>
      </w:pPr>
      <w:r>
        <w:rPr>
          <w:color w:val="334155"/>
          <w:sz w:val="19"/>
        </w:rPr>
        <w:t>recreation and visitor infrastructure, including</w:t>
      </w:r>
    </w:p>
    <w:p>
      <w:pPr>
        <w:spacing w:before="40" w:after="80" w:line="276" w:lineRule="auto"/>
      </w:pPr>
      <w:r>
        <w:rPr>
          <w:color w:val="334155"/>
          <w:sz w:val="19"/>
        </w:rPr>
        <w:t>walking and cycling trails, lookouts, water-based</w:t>
      </w:r>
    </w:p>
    <w:p>
      <w:pPr>
        <w:spacing w:before="40" w:after="80" w:line="276" w:lineRule="auto"/>
      </w:pPr>
      <w:r>
        <w:rPr>
          <w:color w:val="334155"/>
          <w:sz w:val="19"/>
        </w:rPr>
        <w:t>facilities and heritage interpretation.</w:t>
      </w:r>
    </w:p>
    <w:p>
      <w:pPr>
        <w:spacing w:before="40" w:after="80" w:line="276" w:lineRule="auto"/>
      </w:pPr>
      <w:r>
        <w:rPr>
          <w:color w:val="334155"/>
          <w:sz w:val="19"/>
        </w:rPr>
        <w:t>•</w:t>
      </w:r>
    </w:p>
    <w:p>
      <w:pPr>
        <w:spacing w:before="40" w:after="80" w:line="276" w:lineRule="auto"/>
      </w:pPr>
      <w:r>
        <w:rPr>
          <w:color w:val="334155"/>
          <w:sz w:val="19"/>
        </w:rPr>
        <w:t>Integrated landscape and environmental values</w:t>
      </w:r>
    </w:p>
    <w:p>
      <w:pPr>
        <w:spacing w:before="40" w:after="80" w:line="276" w:lineRule="auto"/>
      </w:pPr>
      <w:r>
        <w:rPr>
          <w:color w:val="334155"/>
          <w:sz w:val="19"/>
        </w:rPr>
        <w:t>– Rehabilitation areas, habitat corridors and</w:t>
      </w:r>
    </w:p>
    <w:p>
      <w:pPr>
        <w:spacing w:before="40" w:after="80" w:line="276" w:lineRule="auto"/>
      </w:pPr>
      <w:r>
        <w:rPr>
          <w:color w:val="334155"/>
          <w:sz w:val="19"/>
        </w:rPr>
        <w:t>interfaces with rural landscapes and</w:t>
      </w:r>
    </w:p>
    <w:p>
      <w:pPr>
        <w:spacing w:before="40" w:after="80" w:line="276" w:lineRule="auto"/>
      </w:pPr>
      <w:r>
        <w:rPr>
          <w:color w:val="334155"/>
          <w:sz w:val="19"/>
        </w:rPr>
        <w:t>environmentally constrained areas inform a</w:t>
      </w:r>
    </w:p>
    <w:p>
      <w:pPr>
        <w:spacing w:before="40" w:after="80" w:line="276" w:lineRule="auto"/>
      </w:pPr>
      <w:r>
        <w:rPr>
          <w:color w:val="334155"/>
          <w:sz w:val="19"/>
        </w:rPr>
        <w:t>considered land use pattern, with buffer zones</w:t>
      </w:r>
    </w:p>
    <w:p>
      <w:pPr>
        <w:spacing w:before="40" w:after="80" w:line="276" w:lineRule="auto"/>
      </w:pPr>
      <w:r>
        <w:rPr>
          <w:color w:val="334155"/>
          <w:sz w:val="19"/>
        </w:rPr>
        <w:t>and edge treatments that protect surrounding</w:t>
      </w:r>
    </w:p>
    <w:p>
      <w:pPr>
        <w:spacing w:before="40" w:after="80" w:line="276" w:lineRule="auto"/>
      </w:pPr>
      <w:r>
        <w:rPr>
          <w:color w:val="334155"/>
          <w:sz w:val="19"/>
        </w:rPr>
        <w:t>values and reinforce ecological connectivity</w:t>
      </w:r>
    </w:p>
    <w:p>
      <w:pPr>
        <w:spacing w:before="40" w:after="80" w:line="276" w:lineRule="auto"/>
      </w:pPr>
      <w:r>
        <w:rPr>
          <w:color w:val="334155"/>
          <w:sz w:val="19"/>
        </w:rPr>
        <w:t>across the Precinct.</w:t>
      </w:r>
    </w:p>
    <w:p>
      <w:pPr>
        <w:spacing w:before="40" w:after="80" w:line="276" w:lineRule="auto"/>
      </w:pPr>
      <w:r>
        <w:rPr>
          <w:color w:val="334155"/>
          <w:sz w:val="19"/>
        </w:rPr>
        <w:t>•</w:t>
      </w:r>
    </w:p>
    <w:p>
      <w:pPr>
        <w:spacing w:before="40" w:after="80" w:line="276" w:lineRule="auto"/>
      </w:pPr>
      <w:r>
        <w:rPr>
          <w:color w:val="334155"/>
          <w:sz w:val="19"/>
        </w:rPr>
        <w:t>Evidence-based sequencing – Geotechnical,</w:t>
      </w:r>
    </w:p>
    <w:p>
      <w:pPr>
        <w:spacing w:before="40" w:after="80" w:line="276" w:lineRule="auto"/>
      </w:pPr>
      <w:r>
        <w:rPr>
          <w:color w:val="334155"/>
          <w:sz w:val="19"/>
        </w:rPr>
        <w:t>water quality, utilities and access investigations</w:t>
      </w:r>
    </w:p>
    <w:p>
      <w:pPr>
        <w:spacing w:before="40" w:after="80" w:line="276" w:lineRule="auto"/>
      </w:pPr>
      <w:r>
        <w:rPr>
          <w:color w:val="334155"/>
          <w:sz w:val="19"/>
        </w:rPr>
        <w:t>will inform the staged delivery of development.</w:t>
      </w:r>
    </w:p>
    <w:p>
      <w:pPr>
        <w:spacing w:before="40" w:after="80" w:line="276" w:lineRule="auto"/>
      </w:pPr>
      <w:r>
        <w:rPr>
          <w:color w:val="334155"/>
          <w:sz w:val="19"/>
        </w:rPr>
        <w:t>West Lake</w:t>
      </w:r>
    </w:p>
    <w:p>
      <w:pPr>
        <w:spacing w:before="40" w:after="80" w:line="276" w:lineRule="auto"/>
      </w:pPr>
      <w:r>
        <w:rPr>
          <w:color w:val="334155"/>
          <w:sz w:val="19"/>
        </w:rPr>
        <w:t>Characteristics</w:t>
      </w:r>
    </w:p>
    <w:p>
      <w:pPr>
        <w:spacing w:before="40" w:after="80" w:line="276" w:lineRule="auto"/>
      </w:pPr>
      <w:r>
        <w:rPr>
          <w:color w:val="334155"/>
          <w:sz w:val="19"/>
        </w:rPr>
        <w:t>West Lake sub-precinct occupies the south-</w:t>
      </w:r>
    </w:p>
    <w:p>
      <w:pPr>
        <w:spacing w:before="40" w:after="80" w:line="276" w:lineRule="auto"/>
      </w:pPr>
      <w:r>
        <w:rPr>
          <w:color w:val="334155"/>
          <w:sz w:val="19"/>
        </w:rPr>
        <w:t>western portion of the Precinct and encompasses</w:t>
      </w:r>
    </w:p>
    <w:p>
      <w:pPr>
        <w:spacing w:before="40" w:after="80" w:line="276" w:lineRule="auto"/>
      </w:pPr>
      <w:r>
        <w:rPr>
          <w:color w:val="334155"/>
          <w:sz w:val="19"/>
        </w:rPr>
        <w:t>the former Westside void, now a</w:t>
      </w:r>
    </w:p>
    <w:p>
      <w:pPr>
        <w:spacing w:before="40" w:after="80" w:line="276" w:lineRule="auto"/>
      </w:pPr>
      <w:r>
        <w:rPr>
          <w:color w:val="334155"/>
          <w:sz w:val="19"/>
        </w:rPr>
        <w:t>water-filled lake, together with the surrounding</w:t>
      </w:r>
    </w:p>
    <w:p>
      <w:pPr>
        <w:spacing w:before="40" w:after="80" w:line="276" w:lineRule="auto"/>
      </w:pPr>
      <w:r>
        <w:rPr>
          <w:color w:val="334155"/>
          <w:sz w:val="19"/>
        </w:rPr>
        <w:t>rehabilitation areas. The sub-precinct’s distinctive</w:t>
      </w:r>
    </w:p>
    <w:p>
      <w:pPr>
        <w:spacing w:before="40" w:after="80" w:line="276" w:lineRule="auto"/>
      </w:pPr>
      <w:r>
        <w:rPr>
          <w:color w:val="334155"/>
          <w:sz w:val="19"/>
        </w:rPr>
        <w:t>landscape identity is shaped by the interplay of</w:t>
      </w:r>
    </w:p>
    <w:p>
      <w:pPr>
        <w:spacing w:before="40" w:after="80" w:line="276" w:lineRule="auto"/>
      </w:pPr>
      <w:r>
        <w:rPr>
          <w:color w:val="334155"/>
          <w:sz w:val="19"/>
        </w:rPr>
        <w:t>water, remnant bushland, rehabilitated landforms</w:t>
      </w:r>
    </w:p>
    <w:p>
      <w:pPr>
        <w:spacing w:before="40" w:after="80" w:line="276" w:lineRule="auto"/>
      </w:pPr>
      <w:r>
        <w:rPr>
          <w:color w:val="334155"/>
          <w:sz w:val="19"/>
        </w:rPr>
        <w:t>and elevated topography, with expansive views</w:t>
      </w:r>
    </w:p>
    <w:p>
      <w:pPr>
        <w:spacing w:before="40" w:after="80" w:line="276" w:lineRule="auto"/>
      </w:pPr>
      <w:r>
        <w:rPr>
          <w:color w:val="334155"/>
          <w:sz w:val="19"/>
        </w:rPr>
        <w:t>across the Precinct and towards Lake Macquarie.</w:t>
      </w:r>
    </w:p>
    <w:p>
      <w:pPr>
        <w:spacing w:before="40" w:after="80" w:line="276" w:lineRule="auto"/>
      </w:pPr>
      <w:r>
        <w:rPr>
          <w:color w:val="334155"/>
          <w:sz w:val="19"/>
        </w:rPr>
        <w:t>The lake is a signature landscape asset that</w:t>
      </w:r>
    </w:p>
    <w:p>
      <w:pPr>
        <w:spacing w:before="40" w:after="80" w:line="276" w:lineRule="auto"/>
      </w:pPr>
      <w:r>
        <w:rPr>
          <w:color w:val="334155"/>
          <w:sz w:val="19"/>
        </w:rPr>
        <w:t>anchors a unique sense of place. It provides</w:t>
      </w:r>
    </w:p>
    <w:p>
      <w:pPr>
        <w:spacing w:before="40" w:after="80" w:line="276" w:lineRule="auto"/>
      </w:pPr>
      <w:r>
        <w:rPr>
          <w:color w:val="334155"/>
          <w:sz w:val="19"/>
        </w:rPr>
        <w:t>the foundation for nature-based experiences,</w:t>
      </w:r>
    </w:p>
    <w:p>
      <w:pPr>
        <w:spacing w:before="40" w:after="80" w:line="276" w:lineRule="auto"/>
      </w:pPr>
      <w:r>
        <w:rPr>
          <w:color w:val="334155"/>
          <w:sz w:val="19"/>
        </w:rPr>
        <w:t>recreation and visitor infrastructure that enhance</w:t>
      </w:r>
    </w:p>
    <w:p>
      <w:pPr>
        <w:spacing w:before="40" w:after="80" w:line="276" w:lineRule="auto"/>
      </w:pPr>
      <w:r>
        <w:rPr>
          <w:color w:val="334155"/>
          <w:sz w:val="19"/>
        </w:rPr>
        <w:t>the Precinct’s broader attractiveness as an</w:t>
      </w:r>
    </w:p>
    <w:p>
      <w:pPr>
        <w:spacing w:before="40" w:after="80" w:line="276" w:lineRule="auto"/>
      </w:pPr>
      <w:r>
        <w:rPr>
          <w:color w:val="334155"/>
          <w:sz w:val="19"/>
        </w:rPr>
        <w:t>employment and lifestyle destination. The sub-</w:t>
      </w:r>
    </w:p>
    <w:p>
      <w:pPr>
        <w:spacing w:before="40" w:after="80" w:line="276" w:lineRule="auto"/>
      </w:pPr>
      <w:r>
        <w:rPr>
          <w:color w:val="334155"/>
          <w:sz w:val="19"/>
        </w:rPr>
        <w:t>precinct enables an active waterfront approach</w:t>
      </w:r>
    </w:p>
    <w:p>
      <w:pPr>
        <w:spacing w:before="40" w:after="80" w:line="276" w:lineRule="auto"/>
      </w:pPr>
      <w:r>
        <w:rPr>
          <w:color w:val="334155"/>
          <w:sz w:val="19"/>
        </w:rPr>
        <w:t>to commercial, tourism and recreation around the</w:t>
      </w:r>
    </w:p>
    <w:p>
      <w:pPr>
        <w:spacing w:before="40" w:after="80" w:line="276" w:lineRule="auto"/>
      </w:pPr>
      <w:r>
        <w:rPr>
          <w:color w:val="334155"/>
          <w:sz w:val="19"/>
        </w:rPr>
        <w:t>foreshore, with development carefully integrated</w:t>
      </w:r>
    </w:p>
    <w:p>
      <w:pPr>
        <w:spacing w:before="40" w:after="80" w:line="276" w:lineRule="auto"/>
      </w:pPr>
      <w:r>
        <w:rPr>
          <w:color w:val="334155"/>
          <w:sz w:val="19"/>
        </w:rPr>
        <w:t>to retain and showcase the area’s biodiversity and</w:t>
      </w:r>
    </w:p>
    <w:p>
      <w:pPr>
        <w:spacing w:before="40" w:after="80" w:line="276" w:lineRule="auto"/>
      </w:pPr>
      <w:r>
        <w:rPr>
          <w:color w:val="334155"/>
          <w:sz w:val="19"/>
        </w:rPr>
        <w:t>landscape values.</w:t>
      </w:r>
    </w:p>
    <w:p>
      <w:pPr>
        <w:spacing w:before="40" w:after="80" w:line="276" w:lineRule="auto"/>
      </w:pPr>
      <w:r>
        <w:rPr>
          <w:color w:val="334155"/>
          <w:sz w:val="19"/>
        </w:rPr>
        <w:t>Further investigation areas on the eastern side of</w:t>
      </w:r>
    </w:p>
    <w:p>
      <w:pPr>
        <w:spacing w:before="40" w:after="80" w:line="276" w:lineRule="auto"/>
      </w:pPr>
      <w:r>
        <w:rPr>
          <w:color w:val="334155"/>
          <w:sz w:val="19"/>
        </w:rPr>
        <w:t>the lake offer additional opportunity for low-impact,</w:t>
      </w:r>
    </w:p>
    <w:p>
      <w:pPr>
        <w:spacing w:before="40" w:after="80" w:line="276" w:lineRule="auto"/>
      </w:pPr>
      <w:r>
        <w:rPr>
          <w:color w:val="334155"/>
          <w:sz w:val="19"/>
        </w:rPr>
        <w:t>sensitive development that responds to the desired</w:t>
      </w:r>
    </w:p>
    <w:p>
      <w:pPr>
        <w:spacing w:before="40" w:after="80" w:line="276" w:lineRule="auto"/>
      </w:pPr>
      <w:r>
        <w:rPr>
          <w:color w:val="334155"/>
          <w:sz w:val="19"/>
        </w:rPr>
        <w:t>future character of West Lake and complements its</w:t>
      </w:r>
    </w:p>
    <w:p>
      <w:pPr>
        <w:spacing w:before="40" w:after="80" w:line="276" w:lineRule="auto"/>
      </w:pPr>
      <w:r>
        <w:rPr>
          <w:color w:val="334155"/>
          <w:sz w:val="19"/>
        </w:rPr>
        <w:t>biodiversity and landscape setting.</w:t>
      </w:r>
    </w:p>
    <w:p>
      <w:pPr>
        <w:spacing w:before="40" w:after="80" w:line="276" w:lineRule="auto"/>
      </w:pPr>
      <w:r>
        <w:rPr>
          <w:color w:val="334155"/>
          <w:sz w:val="19"/>
        </w:rPr>
        <w:t>Figure 17: Indicative lakeside development concept</w:t>
      </w:r>
    </w:p>
    <w:p>
      <w:pPr>
        <w:spacing w:before="40" w:after="80" w:line="276" w:lineRule="auto"/>
      </w:pPr>
      <w:r>
        <w:rPr>
          <w:color w:val="334155"/>
          <w:sz w:val="19"/>
        </w:rPr>
        <w:t>22</w:t>
      </w:r>
    </w:p>
    <w:p>
      <w:pPr>
        <w:spacing w:before="40" w:after="80" w:line="276" w:lineRule="auto"/>
      </w:pPr>
      <w:r>
        <w:rPr>
          <w:color w:val="334155"/>
          <w:sz w:val="19"/>
        </w:rPr>
        <w:t>4  Structure plan and sub-precinct framework</w:t>
      </w:r>
    </w:p>
    <w:p>
      <w:pPr>
        <w:pStyle w:val="Heading3"/>
        <w:keepNext/>
        <w:spacing w:before="160" w:after="40"/>
      </w:pPr>
      <w:r>
        <w:rPr>
          <w:b/>
          <w:color w:val="334155"/>
        </w:rPr>
        <w:t>Page 23</w:t>
      </w:r>
    </w:p>
    <w:p>
      <w:pPr>
        <w:spacing w:before="40" w:after="80" w:line="276" w:lineRule="auto"/>
      </w:pPr>
      <w:r>
        <w:rPr>
          <w:color w:val="334155"/>
          <w:sz w:val="19"/>
        </w:rPr>
        <w:t>Barnsley West</w:t>
      </w:r>
    </w:p>
    <w:p>
      <w:pPr>
        <w:spacing w:before="40" w:after="80" w:line="276" w:lineRule="auto"/>
      </w:pPr>
      <w:r>
        <w:rPr>
          <w:color w:val="334155"/>
          <w:sz w:val="19"/>
        </w:rPr>
        <w:t>Characteristics</w:t>
      </w:r>
    </w:p>
    <w:p>
      <w:pPr>
        <w:spacing w:before="40" w:after="80" w:line="276" w:lineRule="auto"/>
      </w:pPr>
      <w:r>
        <w:rPr>
          <w:color w:val="334155"/>
          <w:sz w:val="19"/>
        </w:rPr>
        <w:t>Barnsley West sub-precinct is in the north-western</w:t>
      </w:r>
    </w:p>
    <w:p>
      <w:pPr>
        <w:spacing w:before="40" w:after="80" w:line="276" w:lineRule="auto"/>
      </w:pPr>
      <w:r>
        <w:rPr>
          <w:color w:val="334155"/>
          <w:sz w:val="19"/>
        </w:rPr>
        <w:t>portion of the Precinct, comprising separate parcels</w:t>
      </w:r>
    </w:p>
    <w:p>
      <w:pPr>
        <w:spacing w:before="40" w:after="80" w:line="276" w:lineRule="auto"/>
      </w:pPr>
      <w:r>
        <w:rPr>
          <w:color w:val="334155"/>
          <w:sz w:val="19"/>
        </w:rPr>
        <w:t>of land associated with the former Wakefield</w:t>
      </w:r>
    </w:p>
    <w:p>
      <w:pPr>
        <w:spacing w:before="40" w:after="80" w:line="276" w:lineRule="auto"/>
      </w:pPr>
      <w:r>
        <w:rPr>
          <w:color w:val="334155"/>
          <w:sz w:val="19"/>
        </w:rPr>
        <w:t>Colliery. Accessed via Wakefield Road and Charlton</w:t>
      </w:r>
    </w:p>
    <w:p>
      <w:pPr>
        <w:spacing w:before="40" w:after="80" w:line="276" w:lineRule="auto"/>
      </w:pPr>
      <w:r>
        <w:rPr>
          <w:color w:val="334155"/>
          <w:sz w:val="19"/>
        </w:rPr>
        <w:t>Street, the sub-precinct sits within a distinctive</w:t>
      </w:r>
    </w:p>
    <w:p>
      <w:pPr>
        <w:spacing w:before="40" w:after="80" w:line="276" w:lineRule="auto"/>
      </w:pPr>
      <w:r>
        <w:rPr>
          <w:color w:val="334155"/>
          <w:sz w:val="19"/>
        </w:rPr>
        <w:t>landscape setting shaped by its interface with</w:t>
      </w:r>
    </w:p>
    <w:p>
      <w:pPr>
        <w:spacing w:before="40" w:after="80" w:line="276" w:lineRule="auto"/>
      </w:pPr>
      <w:r>
        <w:rPr>
          <w:color w:val="334155"/>
          <w:sz w:val="19"/>
        </w:rPr>
        <w:t>adjoining residential areas, environmentally</w:t>
      </w:r>
    </w:p>
    <w:p>
      <w:pPr>
        <w:spacing w:before="40" w:after="80" w:line="276" w:lineRule="auto"/>
      </w:pPr>
      <w:r>
        <w:rPr>
          <w:color w:val="334155"/>
          <w:sz w:val="19"/>
        </w:rPr>
        <w:t>constrained lands and established transmission</w:t>
      </w:r>
    </w:p>
    <w:p>
      <w:pPr>
        <w:spacing w:before="40" w:after="80" w:line="276" w:lineRule="auto"/>
      </w:pPr>
      <w:r>
        <w:rPr>
          <w:color w:val="334155"/>
          <w:sz w:val="19"/>
        </w:rPr>
        <w:t>infrastructure. High biodiversity land between</w:t>
      </w:r>
    </w:p>
    <w:p>
      <w:pPr>
        <w:spacing w:before="40" w:after="80" w:line="276" w:lineRule="auto"/>
      </w:pPr>
      <w:r>
        <w:rPr>
          <w:color w:val="334155"/>
          <w:sz w:val="19"/>
        </w:rPr>
        <w:t>Barnsley West and the Killingworth sub-precinct</w:t>
      </w:r>
    </w:p>
    <w:p>
      <w:pPr>
        <w:spacing w:before="40" w:after="80" w:line="276" w:lineRule="auto"/>
      </w:pPr>
      <w:r>
        <w:rPr>
          <w:color w:val="334155"/>
          <w:sz w:val="19"/>
        </w:rPr>
        <w:t>reinforces its discrete identity.</w:t>
      </w:r>
    </w:p>
    <w:p>
      <w:pPr>
        <w:spacing w:before="40" w:after="80" w:line="276" w:lineRule="auto"/>
      </w:pPr>
      <w:r>
        <w:rPr>
          <w:color w:val="334155"/>
          <w:sz w:val="19"/>
        </w:rPr>
        <w:t>Key opportunities</w:t>
      </w:r>
    </w:p>
    <w:p>
      <w:pPr>
        <w:spacing w:before="40" w:after="80" w:line="276" w:lineRule="auto"/>
      </w:pPr>
      <w:r>
        <w:rPr>
          <w:color w:val="334155"/>
          <w:sz w:val="19"/>
        </w:rPr>
        <w:t>The following attributes shape the sub-precinct’s</w:t>
      </w:r>
    </w:p>
    <w:p>
      <w:pPr>
        <w:spacing w:before="40" w:after="80" w:line="276" w:lineRule="auto"/>
      </w:pPr>
      <w:r>
        <w:rPr>
          <w:color w:val="334155"/>
          <w:sz w:val="19"/>
        </w:rPr>
        <w:t>development context and inform an opportunity-</w:t>
      </w:r>
    </w:p>
    <w:p>
      <w:pPr>
        <w:spacing w:before="40" w:after="80" w:line="276" w:lineRule="auto"/>
      </w:pPr>
      <w:r>
        <w:rPr>
          <w:color w:val="334155"/>
          <w:sz w:val="19"/>
        </w:rPr>
        <w:t>led, planning response:</w:t>
      </w:r>
    </w:p>
    <w:p>
      <w:pPr>
        <w:spacing w:before="40" w:after="80" w:line="276" w:lineRule="auto"/>
      </w:pPr>
      <w:r>
        <w:rPr>
          <w:color w:val="334155"/>
          <w:sz w:val="19"/>
        </w:rPr>
        <w:t>•</w:t>
      </w:r>
    </w:p>
    <w:p>
      <w:pPr>
        <w:spacing w:before="40" w:after="80" w:line="276" w:lineRule="auto"/>
      </w:pPr>
      <w:r>
        <w:rPr>
          <w:color w:val="334155"/>
          <w:sz w:val="19"/>
        </w:rPr>
        <w:t>Small-scale urban services and light industry</w:t>
      </w:r>
    </w:p>
    <w:p>
      <w:pPr>
        <w:spacing w:before="40" w:after="80" w:line="276" w:lineRule="auto"/>
      </w:pPr>
      <w:r>
        <w:rPr>
          <w:color w:val="334155"/>
          <w:sz w:val="19"/>
        </w:rPr>
        <w:t>– The sub-precinct’s compact scale and</w:t>
      </w:r>
    </w:p>
    <w:p>
      <w:pPr>
        <w:spacing w:before="40" w:after="80" w:line="276" w:lineRule="auto"/>
      </w:pPr>
      <w:r>
        <w:rPr>
          <w:color w:val="334155"/>
          <w:sz w:val="19"/>
        </w:rPr>
        <w:t>adjacency to residential areas provide for a</w:t>
      </w:r>
    </w:p>
    <w:p>
      <w:pPr>
        <w:spacing w:before="40" w:after="80" w:line="276" w:lineRule="auto"/>
      </w:pPr>
      <w:r>
        <w:rPr>
          <w:color w:val="334155"/>
          <w:sz w:val="19"/>
        </w:rPr>
        <w:t>curated mix of small-scale urban services, light</w:t>
      </w:r>
    </w:p>
    <w:p>
      <w:pPr>
        <w:spacing w:before="40" w:after="80" w:line="276" w:lineRule="auto"/>
      </w:pPr>
      <w:r>
        <w:rPr>
          <w:color w:val="334155"/>
          <w:sz w:val="19"/>
        </w:rPr>
        <w:t>industrial and complementary employment</w:t>
      </w:r>
    </w:p>
    <w:p>
      <w:pPr>
        <w:spacing w:before="40" w:after="80" w:line="276" w:lineRule="auto"/>
      </w:pPr>
      <w:r>
        <w:rPr>
          <w:color w:val="334155"/>
          <w:sz w:val="19"/>
        </w:rPr>
        <w:t>uses that meet local needs while supporting the</w:t>
      </w:r>
    </w:p>
    <w:p>
      <w:pPr>
        <w:spacing w:before="40" w:after="80" w:line="276" w:lineRule="auto"/>
      </w:pPr>
      <w:r>
        <w:rPr>
          <w:color w:val="334155"/>
          <w:sz w:val="19"/>
        </w:rPr>
        <w:t>Precinct’s broader economic diversification.</w:t>
      </w:r>
    </w:p>
    <w:p>
      <w:pPr>
        <w:spacing w:before="40" w:after="80" w:line="276" w:lineRule="auto"/>
      </w:pPr>
      <w:r>
        <w:rPr>
          <w:color w:val="334155"/>
          <w:sz w:val="19"/>
        </w:rPr>
        <w:t>•</w:t>
      </w:r>
    </w:p>
    <w:p>
      <w:pPr>
        <w:spacing w:before="40" w:after="80" w:line="276" w:lineRule="auto"/>
      </w:pPr>
      <w:r>
        <w:rPr>
          <w:color w:val="334155"/>
          <w:sz w:val="19"/>
        </w:rPr>
        <w:t>Amenity-led interface with Barnsley village –</w:t>
      </w:r>
    </w:p>
    <w:p>
      <w:pPr>
        <w:spacing w:before="40" w:after="80" w:line="276" w:lineRule="auto"/>
      </w:pPr>
      <w:r>
        <w:rPr>
          <w:color w:val="334155"/>
          <w:sz w:val="19"/>
        </w:rPr>
        <w:t>The residential interface informs a high-quality</w:t>
      </w:r>
    </w:p>
    <w:p>
      <w:pPr>
        <w:spacing w:before="40" w:after="80" w:line="276" w:lineRule="auto"/>
      </w:pPr>
      <w:r>
        <w:rPr>
          <w:color w:val="334155"/>
          <w:sz w:val="19"/>
        </w:rPr>
        <w:t>edge response, including built form transitions,</w:t>
      </w:r>
    </w:p>
    <w:p>
      <w:pPr>
        <w:spacing w:before="40" w:after="80" w:line="276" w:lineRule="auto"/>
      </w:pPr>
      <w:r>
        <w:rPr>
          <w:color w:val="334155"/>
          <w:sz w:val="19"/>
        </w:rPr>
        <w:t>landscape buffers, acoustic treatments and</w:t>
      </w:r>
    </w:p>
    <w:p>
      <w:pPr>
        <w:spacing w:before="40" w:after="80" w:line="276" w:lineRule="auto"/>
      </w:pPr>
      <w:r>
        <w:rPr>
          <w:color w:val="334155"/>
          <w:sz w:val="19"/>
        </w:rPr>
        <w:t>operational controls, that protect the amenity</w:t>
      </w:r>
    </w:p>
    <w:p>
      <w:pPr>
        <w:spacing w:before="40" w:after="80" w:line="276" w:lineRule="auto"/>
      </w:pPr>
      <w:r>
        <w:rPr>
          <w:color w:val="334155"/>
          <w:sz w:val="19"/>
        </w:rPr>
        <w:t>and character of the existing community.</w:t>
      </w:r>
    </w:p>
    <w:p>
      <w:pPr>
        <w:spacing w:before="40" w:after="80" w:line="276" w:lineRule="auto"/>
      </w:pPr>
      <w:r>
        <w:rPr>
          <w:color w:val="334155"/>
          <w:sz w:val="19"/>
        </w:rPr>
        <w:t>•</w:t>
      </w:r>
    </w:p>
    <w:p>
      <w:pPr>
        <w:spacing w:before="40" w:after="80" w:line="276" w:lineRule="auto"/>
      </w:pPr>
      <w:r>
        <w:rPr>
          <w:color w:val="334155"/>
          <w:sz w:val="19"/>
        </w:rPr>
        <w:t>Coordinated infrastructure interface – Existing</w:t>
      </w:r>
    </w:p>
    <w:p>
      <w:pPr>
        <w:spacing w:before="40" w:after="80" w:line="276" w:lineRule="auto"/>
      </w:pPr>
      <w:r>
        <w:rPr>
          <w:color w:val="334155"/>
          <w:sz w:val="19"/>
        </w:rPr>
        <w:t>transmission easements are integrated into</w:t>
      </w:r>
    </w:p>
    <w:p>
      <w:pPr>
        <w:spacing w:before="40" w:after="80" w:line="276" w:lineRule="auto"/>
      </w:pPr>
      <w:r>
        <w:rPr>
          <w:color w:val="334155"/>
          <w:sz w:val="19"/>
        </w:rPr>
        <w:t>the land use pattern, informing layout, access</w:t>
      </w:r>
    </w:p>
    <w:p>
      <w:pPr>
        <w:spacing w:before="40" w:after="80" w:line="276" w:lineRule="auto"/>
      </w:pPr>
      <w:r>
        <w:rPr>
          <w:color w:val="334155"/>
          <w:sz w:val="19"/>
        </w:rPr>
        <w:t>and development footprints that align with</w:t>
      </w:r>
    </w:p>
    <w:p>
      <w:pPr>
        <w:spacing w:before="40" w:after="80" w:line="276" w:lineRule="auto"/>
      </w:pPr>
      <w:r>
        <w:rPr>
          <w:color w:val="334155"/>
          <w:sz w:val="19"/>
        </w:rPr>
        <w:t>infrastructure outcomes and unlock practical</w:t>
      </w:r>
    </w:p>
    <w:p>
      <w:pPr>
        <w:spacing w:before="40" w:after="80" w:line="276" w:lineRule="auto"/>
      </w:pPr>
      <w:r>
        <w:rPr>
          <w:color w:val="334155"/>
          <w:sz w:val="19"/>
        </w:rPr>
        <w:t>development areas.</w:t>
      </w:r>
    </w:p>
    <w:p>
      <w:pPr>
        <w:spacing w:before="40" w:after="80" w:line="276" w:lineRule="auto"/>
      </w:pPr>
      <w:r>
        <w:rPr>
          <w:color w:val="334155"/>
          <w:sz w:val="19"/>
        </w:rPr>
        <w:t>Figure 18: Indicative small unit industrial development concept</w:t>
      </w:r>
    </w:p>
    <w:p>
      <w:pPr>
        <w:spacing w:before="40" w:after="80" w:line="276" w:lineRule="auto"/>
      </w:pPr>
      <w:r>
        <w:rPr>
          <w:color w:val="334155"/>
          <w:sz w:val="19"/>
        </w:rPr>
        <w:t>23</w:t>
      </w:r>
    </w:p>
    <w:p>
      <w:pPr>
        <w:spacing w:before="40" w:after="80" w:line="276" w:lineRule="auto"/>
      </w:pPr>
      <w:r>
        <w:rPr>
          <w:color w:val="334155"/>
          <w:sz w:val="19"/>
        </w:rPr>
        <w:t>4  Structure plan and sub-precinct framework</w:t>
      </w:r>
    </w:p>
    <w:p>
      <w:pPr>
        <w:pStyle w:val="Heading3"/>
        <w:keepNext/>
        <w:spacing w:before="160" w:after="40"/>
      </w:pPr>
      <w:r>
        <w:rPr>
          <w:b/>
          <w:color w:val="334155"/>
        </w:rPr>
        <w:t>Page 24</w:t>
      </w:r>
    </w:p>
    <w:p>
      <w:pPr>
        <w:spacing w:before="40" w:after="80" w:line="276" w:lineRule="auto"/>
      </w:pPr>
      <w:r>
        <w:rPr>
          <w:color w:val="334155"/>
          <w:sz w:val="19"/>
        </w:rPr>
        <w:t>Teralba</w:t>
      </w:r>
    </w:p>
    <w:p>
      <w:pPr>
        <w:spacing w:before="40" w:after="80" w:line="276" w:lineRule="auto"/>
      </w:pPr>
      <w:r>
        <w:rPr>
          <w:color w:val="334155"/>
          <w:sz w:val="19"/>
        </w:rPr>
        <w:t>Characteristics</w:t>
      </w:r>
    </w:p>
    <w:p>
      <w:pPr>
        <w:spacing w:before="40" w:after="80" w:line="276" w:lineRule="auto"/>
      </w:pPr>
      <w:r>
        <w:rPr>
          <w:color w:val="334155"/>
          <w:sz w:val="19"/>
        </w:rPr>
        <w:t>The Teralba sub-precinct is located approximately</w:t>
      </w:r>
    </w:p>
    <w:p>
      <w:pPr>
        <w:spacing w:before="40" w:after="80" w:line="276" w:lineRule="auto"/>
      </w:pPr>
      <w:r>
        <w:rPr>
          <w:color w:val="334155"/>
          <w:sz w:val="19"/>
        </w:rPr>
        <w:t>two kilometres south-east of the main Precinct,</w:t>
      </w:r>
    </w:p>
    <w:p>
      <w:pPr>
        <w:spacing w:before="40" w:after="80" w:line="276" w:lineRule="auto"/>
      </w:pPr>
      <w:r>
        <w:rPr>
          <w:color w:val="334155"/>
          <w:sz w:val="19"/>
        </w:rPr>
        <w:t>adjoining the established Teralba local centre. The</w:t>
      </w:r>
    </w:p>
    <w:p>
      <w:pPr>
        <w:spacing w:before="40" w:after="80" w:line="276" w:lineRule="auto"/>
      </w:pPr>
      <w:r>
        <w:rPr>
          <w:color w:val="334155"/>
          <w:sz w:val="19"/>
        </w:rPr>
        <w:t>sub-precinct is defined by its direct proximity to</w:t>
      </w:r>
    </w:p>
    <w:p>
      <w:pPr>
        <w:spacing w:before="40" w:after="80" w:line="276" w:lineRule="auto"/>
      </w:pPr>
      <w:r>
        <w:rPr>
          <w:color w:val="334155"/>
          <w:sz w:val="19"/>
        </w:rPr>
        <w:t>two rail stations, its interface with the heritage-</w:t>
      </w:r>
    </w:p>
    <w:p>
      <w:pPr>
        <w:spacing w:before="40" w:after="80" w:line="276" w:lineRule="auto"/>
      </w:pPr>
      <w:r>
        <w:rPr>
          <w:color w:val="334155"/>
          <w:sz w:val="19"/>
        </w:rPr>
        <w:t>listed Teralba Conservation Area, and its integration</w:t>
      </w:r>
    </w:p>
    <w:p>
      <w:pPr>
        <w:spacing w:before="40" w:after="80" w:line="276" w:lineRule="auto"/>
      </w:pPr>
      <w:r>
        <w:rPr>
          <w:color w:val="334155"/>
          <w:sz w:val="19"/>
        </w:rPr>
        <w:t>with the established residential and commercial</w:t>
      </w:r>
    </w:p>
    <w:p>
      <w:pPr>
        <w:spacing w:before="40" w:after="80" w:line="276" w:lineRule="auto"/>
      </w:pPr>
      <w:r>
        <w:rPr>
          <w:color w:val="334155"/>
          <w:sz w:val="19"/>
        </w:rPr>
        <w:t>fabric of the Teralba village.</w:t>
      </w:r>
    </w:p>
    <w:p>
      <w:pPr>
        <w:spacing w:before="40" w:after="80" w:line="276" w:lineRule="auto"/>
      </w:pPr>
      <w:r>
        <w:rPr>
          <w:color w:val="334155"/>
          <w:sz w:val="19"/>
        </w:rPr>
        <w:t>Together, these attributes position Teralba as the</w:t>
      </w:r>
    </w:p>
    <w:p>
      <w:pPr>
        <w:spacing w:before="40" w:after="80" w:line="276" w:lineRule="auto"/>
      </w:pPr>
      <w:r>
        <w:rPr>
          <w:color w:val="334155"/>
          <w:sz w:val="19"/>
        </w:rPr>
        <w:t>Precinct’s mixed use sub-precinct, a compact,</w:t>
      </w:r>
    </w:p>
    <w:p>
      <w:pPr>
        <w:spacing w:before="40" w:after="80" w:line="276" w:lineRule="auto"/>
      </w:pPr>
      <w:r>
        <w:rPr>
          <w:color w:val="334155"/>
          <w:sz w:val="19"/>
        </w:rPr>
        <w:t>well-serviced setting where new housing and</w:t>
      </w:r>
    </w:p>
    <w:p>
      <w:pPr>
        <w:spacing w:before="40" w:after="80" w:line="276" w:lineRule="auto"/>
      </w:pPr>
      <w:r>
        <w:rPr>
          <w:color w:val="334155"/>
          <w:sz w:val="19"/>
        </w:rPr>
        <w:t>complementary uses can support the ongoing</w:t>
      </w:r>
    </w:p>
    <w:p>
      <w:pPr>
        <w:spacing w:before="40" w:after="80" w:line="276" w:lineRule="auto"/>
      </w:pPr>
      <w:r>
        <w:rPr>
          <w:color w:val="334155"/>
          <w:sz w:val="19"/>
        </w:rPr>
        <w:t>vitality of the local centre and contribute to the</w:t>
      </w:r>
    </w:p>
    <w:p>
      <w:pPr>
        <w:spacing w:before="40" w:after="80" w:line="276" w:lineRule="auto"/>
      </w:pPr>
      <w:r>
        <w:rPr>
          <w:color w:val="334155"/>
          <w:sz w:val="19"/>
        </w:rPr>
        <w:t>broader regional transformation envisaged by the</w:t>
      </w:r>
    </w:p>
    <w:p>
      <w:pPr>
        <w:spacing w:before="40" w:after="80" w:line="276" w:lineRule="auto"/>
      </w:pPr>
      <w:r>
        <w:rPr>
          <w:color w:val="334155"/>
          <w:sz w:val="19"/>
        </w:rPr>
        <w:t>Master Plan.</w:t>
      </w:r>
    </w:p>
    <w:p>
      <w:pPr>
        <w:spacing w:before="40" w:after="80" w:line="276" w:lineRule="auto"/>
      </w:pPr>
      <w:r>
        <w:rPr>
          <w:color w:val="334155"/>
          <w:sz w:val="19"/>
        </w:rPr>
        <w:t>Key opportunities</w:t>
      </w:r>
    </w:p>
    <w:p>
      <w:pPr>
        <w:spacing w:before="40" w:after="80" w:line="276" w:lineRule="auto"/>
      </w:pPr>
      <w:r>
        <w:rPr>
          <w:color w:val="334155"/>
          <w:sz w:val="19"/>
        </w:rPr>
        <w:t>The following attributes shape the sub-precinct’s</w:t>
      </w:r>
    </w:p>
    <w:p>
      <w:pPr>
        <w:spacing w:before="40" w:after="80" w:line="276" w:lineRule="auto"/>
      </w:pPr>
      <w:r>
        <w:rPr>
          <w:color w:val="334155"/>
          <w:sz w:val="19"/>
        </w:rPr>
        <w:t>development context and inform an opportunity-led</w:t>
      </w:r>
    </w:p>
    <w:p>
      <w:pPr>
        <w:spacing w:before="40" w:after="80" w:line="276" w:lineRule="auto"/>
      </w:pPr>
      <w:r>
        <w:rPr>
          <w:color w:val="334155"/>
          <w:sz w:val="19"/>
        </w:rPr>
        <w:t>planning response:</w:t>
      </w:r>
    </w:p>
    <w:p>
      <w:pPr>
        <w:spacing w:before="40" w:after="80" w:line="276" w:lineRule="auto"/>
      </w:pPr>
      <w:r>
        <w:rPr>
          <w:color w:val="334155"/>
          <w:sz w:val="19"/>
        </w:rPr>
        <w:t>•</w:t>
      </w:r>
    </w:p>
    <w:p>
      <w:pPr>
        <w:spacing w:before="40" w:after="80" w:line="276" w:lineRule="auto"/>
      </w:pPr>
      <w:r>
        <w:rPr>
          <w:color w:val="334155"/>
          <w:sz w:val="19"/>
        </w:rPr>
        <w:t>Conveniently connected and serviced –</w:t>
      </w:r>
    </w:p>
    <w:p>
      <w:pPr>
        <w:spacing w:before="40" w:after="80" w:line="276" w:lineRule="auto"/>
      </w:pPr>
      <w:r>
        <w:rPr>
          <w:color w:val="334155"/>
          <w:sz w:val="19"/>
        </w:rPr>
        <w:t>Positioned approximately 300 metres from</w:t>
      </w:r>
    </w:p>
    <w:p>
      <w:pPr>
        <w:spacing w:before="40" w:after="80" w:line="276" w:lineRule="auto"/>
      </w:pPr>
      <w:r>
        <w:rPr>
          <w:color w:val="334155"/>
          <w:sz w:val="19"/>
        </w:rPr>
        <w:t>Booragul Station and 400 metres from Teralba</w:t>
      </w:r>
    </w:p>
    <w:p>
      <w:pPr>
        <w:spacing w:before="40" w:after="80" w:line="276" w:lineRule="auto"/>
      </w:pPr>
      <w:r>
        <w:rPr>
          <w:color w:val="334155"/>
          <w:sz w:val="19"/>
        </w:rPr>
        <w:t>Station, the sub-precinct enables direct access</w:t>
      </w:r>
    </w:p>
    <w:p>
      <w:pPr>
        <w:spacing w:before="40" w:after="80" w:line="276" w:lineRule="auto"/>
      </w:pPr>
      <w:r>
        <w:rPr>
          <w:color w:val="334155"/>
          <w:sz w:val="19"/>
        </w:rPr>
        <w:t>to the regional passenger rail network and</w:t>
      </w:r>
    </w:p>
    <w:p>
      <w:pPr>
        <w:spacing w:before="40" w:after="80" w:line="276" w:lineRule="auto"/>
      </w:pPr>
      <w:r>
        <w:rPr>
          <w:color w:val="334155"/>
          <w:sz w:val="19"/>
        </w:rPr>
        <w:t>supports a walkable, low-car neighbourhood</w:t>
      </w:r>
    </w:p>
    <w:p>
      <w:pPr>
        <w:spacing w:before="40" w:after="80" w:line="276" w:lineRule="auto"/>
      </w:pPr>
      <w:r>
        <w:rPr>
          <w:color w:val="334155"/>
          <w:sz w:val="19"/>
        </w:rPr>
        <w:t>model.</w:t>
      </w:r>
    </w:p>
    <w:p>
      <w:pPr>
        <w:spacing w:before="40" w:after="80" w:line="276" w:lineRule="auto"/>
      </w:pPr>
      <w:r>
        <w:rPr>
          <w:color w:val="334155"/>
          <w:sz w:val="19"/>
        </w:rPr>
        <w:t>•</w:t>
      </w:r>
    </w:p>
    <w:p>
      <w:pPr>
        <w:spacing w:before="40" w:after="80" w:line="276" w:lineRule="auto"/>
      </w:pPr>
      <w:r>
        <w:rPr>
          <w:color w:val="334155"/>
          <w:sz w:val="19"/>
        </w:rPr>
        <w:t>Reinforcement of the Teralba local centre –</w:t>
      </w:r>
    </w:p>
    <w:p>
      <w:pPr>
        <w:spacing w:before="40" w:after="80" w:line="276" w:lineRule="auto"/>
      </w:pPr>
      <w:r>
        <w:rPr>
          <w:color w:val="334155"/>
          <w:sz w:val="19"/>
        </w:rPr>
        <w:t>Proximity to established retail, community and</w:t>
      </w:r>
    </w:p>
    <w:p>
      <w:pPr>
        <w:spacing w:before="40" w:after="80" w:line="276" w:lineRule="auto"/>
      </w:pPr>
      <w:r>
        <w:rPr>
          <w:color w:val="334155"/>
          <w:sz w:val="19"/>
        </w:rPr>
        <w:t>commercial services provides the foundation</w:t>
      </w:r>
    </w:p>
    <w:p>
      <w:pPr>
        <w:spacing w:before="40" w:after="80" w:line="276" w:lineRule="auto"/>
      </w:pPr>
      <w:r>
        <w:rPr>
          <w:color w:val="334155"/>
          <w:sz w:val="19"/>
        </w:rPr>
        <w:t>for residential and complementary uses that</w:t>
      </w:r>
    </w:p>
    <w:p>
      <w:pPr>
        <w:spacing w:before="40" w:after="80" w:line="276" w:lineRule="auto"/>
      </w:pPr>
      <w:r>
        <w:rPr>
          <w:color w:val="334155"/>
          <w:sz w:val="19"/>
        </w:rPr>
        <w:t>strengthen the centre’s economic base, activate</w:t>
      </w:r>
    </w:p>
    <w:p>
      <w:pPr>
        <w:spacing w:before="40" w:after="80" w:line="276" w:lineRule="auto"/>
      </w:pPr>
      <w:r>
        <w:rPr>
          <w:color w:val="334155"/>
          <w:sz w:val="19"/>
        </w:rPr>
        <w:t>the public realm and support day-to-day</w:t>
      </w:r>
    </w:p>
    <w:p>
      <w:pPr>
        <w:spacing w:before="40" w:after="80" w:line="276" w:lineRule="auto"/>
      </w:pPr>
      <w:r>
        <w:rPr>
          <w:color w:val="334155"/>
          <w:sz w:val="19"/>
        </w:rPr>
        <w:t>amenity for residents and workers.</w:t>
      </w:r>
    </w:p>
    <w:p>
      <w:pPr>
        <w:spacing w:before="40" w:after="80" w:line="276" w:lineRule="auto"/>
      </w:pPr>
      <w:r>
        <w:rPr>
          <w:color w:val="334155"/>
          <w:sz w:val="19"/>
        </w:rPr>
        <w:t>•</w:t>
      </w:r>
    </w:p>
    <w:p>
      <w:pPr>
        <w:spacing w:before="40" w:after="80" w:line="276" w:lineRule="auto"/>
      </w:pPr>
      <w:r>
        <w:rPr>
          <w:color w:val="334155"/>
          <w:sz w:val="19"/>
        </w:rPr>
        <w:t>Heritage-informed place-making – The setting</w:t>
      </w:r>
    </w:p>
    <w:p>
      <w:pPr>
        <w:spacing w:before="40" w:after="80" w:line="276" w:lineRule="auto"/>
      </w:pPr>
      <w:r>
        <w:rPr>
          <w:color w:val="334155"/>
          <w:sz w:val="19"/>
        </w:rPr>
        <w:t>of the Teralba Conservation Area and local</w:t>
      </w:r>
    </w:p>
    <w:p>
      <w:pPr>
        <w:spacing w:before="40" w:after="80" w:line="276" w:lineRule="auto"/>
      </w:pPr>
      <w:r>
        <w:rPr>
          <w:color w:val="334155"/>
          <w:sz w:val="19"/>
        </w:rPr>
        <w:t>heritage items, including the Miner’s Cottages</w:t>
      </w:r>
    </w:p>
    <w:p>
      <w:pPr>
        <w:spacing w:before="40" w:after="80" w:line="276" w:lineRule="auto"/>
      </w:pPr>
      <w:r>
        <w:rPr>
          <w:color w:val="334155"/>
          <w:sz w:val="19"/>
        </w:rPr>
        <w:t>and Teralba Public School, informs a considered</w:t>
      </w:r>
    </w:p>
    <w:p>
      <w:pPr>
        <w:spacing w:before="40" w:after="80" w:line="276" w:lineRule="auto"/>
      </w:pPr>
      <w:r>
        <w:rPr>
          <w:color w:val="334155"/>
          <w:sz w:val="19"/>
        </w:rPr>
        <w:t>design response that respects established</w:t>
      </w:r>
    </w:p>
    <w:p>
      <w:pPr>
        <w:spacing w:before="40" w:after="80" w:line="276" w:lineRule="auto"/>
      </w:pPr>
      <w:r>
        <w:rPr>
          <w:color w:val="334155"/>
          <w:sz w:val="19"/>
        </w:rPr>
        <w:t>character, scale and views, and integrates</w:t>
      </w:r>
    </w:p>
    <w:p>
      <w:pPr>
        <w:spacing w:before="40" w:after="80" w:line="276" w:lineRule="auto"/>
      </w:pPr>
      <w:r>
        <w:rPr>
          <w:color w:val="334155"/>
          <w:sz w:val="19"/>
        </w:rPr>
        <w:t>heritage interpretation as a defining element of</w:t>
      </w:r>
    </w:p>
    <w:p>
      <w:pPr>
        <w:spacing w:before="40" w:after="80" w:line="276" w:lineRule="auto"/>
      </w:pPr>
      <w:r>
        <w:rPr>
          <w:color w:val="334155"/>
          <w:sz w:val="19"/>
        </w:rPr>
        <w:t>local identity.</w:t>
      </w:r>
    </w:p>
    <w:p>
      <w:pPr>
        <w:spacing w:before="40" w:after="80" w:line="276" w:lineRule="auto"/>
      </w:pPr>
      <w:r>
        <w:rPr>
          <w:color w:val="334155"/>
          <w:sz w:val="19"/>
        </w:rPr>
        <w:t>•</w:t>
      </w:r>
    </w:p>
    <w:p>
      <w:pPr>
        <w:spacing w:before="40" w:after="80" w:line="276" w:lineRule="auto"/>
      </w:pPr>
      <w:r>
        <w:rPr>
          <w:color w:val="334155"/>
          <w:sz w:val="19"/>
        </w:rPr>
        <w:t>Landscape-led response to Cockle Creek – The</w:t>
      </w:r>
    </w:p>
    <w:p>
      <w:pPr>
        <w:spacing w:before="40" w:after="80" w:line="276" w:lineRule="auto"/>
      </w:pPr>
      <w:r>
        <w:rPr>
          <w:color w:val="334155"/>
          <w:sz w:val="19"/>
        </w:rPr>
        <w:t>Cockle Creek corridor informs a considered</w:t>
      </w:r>
    </w:p>
    <w:p>
      <w:pPr>
        <w:spacing w:before="40" w:after="80" w:line="276" w:lineRule="auto"/>
      </w:pPr>
      <w:r>
        <w:rPr>
          <w:color w:val="334155"/>
          <w:sz w:val="19"/>
        </w:rPr>
        <w:t>land use pattern that balances development</w:t>
      </w:r>
    </w:p>
    <w:p>
      <w:pPr>
        <w:spacing w:before="40" w:after="80" w:line="276" w:lineRule="auto"/>
      </w:pPr>
      <w:r>
        <w:rPr>
          <w:color w:val="334155"/>
          <w:sz w:val="19"/>
        </w:rPr>
        <w:t>opportunity with waterway health, riparian</w:t>
      </w:r>
    </w:p>
    <w:p>
      <w:pPr>
        <w:spacing w:before="40" w:after="80" w:line="276" w:lineRule="auto"/>
      </w:pPr>
      <w:r>
        <w:rPr>
          <w:color w:val="334155"/>
          <w:sz w:val="19"/>
        </w:rPr>
        <w:t>amenity and flood conveyance, delivering</w:t>
      </w:r>
    </w:p>
    <w:p>
      <w:pPr>
        <w:spacing w:before="40" w:after="80" w:line="276" w:lineRule="auto"/>
      </w:pPr>
      <w:r>
        <w:rPr>
          <w:color w:val="334155"/>
          <w:sz w:val="19"/>
        </w:rPr>
        <w:t>a high-quality blue-green edge to the sub-</w:t>
      </w:r>
    </w:p>
    <w:p>
      <w:pPr>
        <w:spacing w:before="40" w:after="80" w:line="276" w:lineRule="auto"/>
      </w:pPr>
      <w:r>
        <w:rPr>
          <w:color w:val="334155"/>
          <w:sz w:val="19"/>
        </w:rPr>
        <w:t>precinct.</w:t>
      </w:r>
    </w:p>
    <w:p>
      <w:pPr>
        <w:spacing w:before="40" w:after="80" w:line="276" w:lineRule="auto"/>
      </w:pPr>
      <w:r>
        <w:rPr>
          <w:color w:val="334155"/>
          <w:sz w:val="19"/>
        </w:rPr>
        <w:t>•</w:t>
      </w:r>
    </w:p>
    <w:p>
      <w:pPr>
        <w:spacing w:before="40" w:after="80" w:line="276" w:lineRule="auto"/>
      </w:pPr>
      <w:r>
        <w:rPr>
          <w:color w:val="334155"/>
          <w:sz w:val="19"/>
        </w:rPr>
        <w:t>Enhanced pedestrian and cycling connectivity</w:t>
      </w:r>
    </w:p>
    <w:p>
      <w:pPr>
        <w:spacing w:before="40" w:after="80" w:line="276" w:lineRule="auto"/>
      </w:pPr>
      <w:r>
        <w:rPr>
          <w:color w:val="334155"/>
          <w:sz w:val="19"/>
        </w:rPr>
        <w:t>– New and upgraded active transport links</w:t>
      </w:r>
    </w:p>
    <w:p>
      <w:pPr>
        <w:spacing w:before="40" w:after="80" w:line="276" w:lineRule="auto"/>
      </w:pPr>
      <w:r>
        <w:rPr>
          <w:color w:val="334155"/>
          <w:sz w:val="19"/>
        </w:rPr>
        <w:t>to Teralba Station and across the railway</w:t>
      </w:r>
    </w:p>
    <w:p>
      <w:pPr>
        <w:spacing w:before="40" w:after="80" w:line="276" w:lineRule="auto"/>
      </w:pPr>
      <w:r>
        <w:rPr>
          <w:color w:val="334155"/>
          <w:sz w:val="19"/>
        </w:rPr>
        <w:t>strengthen the sub-precinct’s transit-oriented</w:t>
      </w:r>
    </w:p>
    <w:p>
      <w:pPr>
        <w:spacing w:before="40" w:after="80" w:line="276" w:lineRule="auto"/>
      </w:pPr>
      <w:r>
        <w:rPr>
          <w:color w:val="334155"/>
          <w:sz w:val="19"/>
        </w:rPr>
        <w:t>potential and improve everyday connections</w:t>
      </w:r>
    </w:p>
    <w:p>
      <w:pPr>
        <w:spacing w:before="40" w:after="80" w:line="276" w:lineRule="auto"/>
      </w:pPr>
      <w:r>
        <w:rPr>
          <w:color w:val="334155"/>
          <w:sz w:val="19"/>
        </w:rPr>
        <w:t>between the neighbourhood, the local centre</w:t>
      </w:r>
    </w:p>
    <w:p>
      <w:pPr>
        <w:spacing w:before="40" w:after="80" w:line="276" w:lineRule="auto"/>
      </w:pPr>
      <w:r>
        <w:rPr>
          <w:color w:val="334155"/>
          <w:sz w:val="19"/>
        </w:rPr>
        <w:t>and surrounding communities.</w:t>
      </w:r>
    </w:p>
    <w:p>
      <w:pPr>
        <w:spacing w:before="40" w:after="80" w:line="276" w:lineRule="auto"/>
      </w:pPr>
      <w:r>
        <w:rPr>
          <w:color w:val="334155"/>
          <w:sz w:val="19"/>
        </w:rPr>
        <w:t>•</w:t>
      </w:r>
    </w:p>
    <w:p>
      <w:pPr>
        <w:spacing w:before="40" w:after="80" w:line="276" w:lineRule="auto"/>
      </w:pPr>
      <w:r>
        <w:rPr>
          <w:color w:val="334155"/>
          <w:sz w:val="19"/>
        </w:rPr>
        <w:t>Early activation potential – Progress in mine</w:t>
      </w:r>
    </w:p>
    <w:p>
      <w:pPr>
        <w:spacing w:before="40" w:after="80" w:line="276" w:lineRule="auto"/>
      </w:pPr>
      <w:r>
        <w:rPr>
          <w:color w:val="334155"/>
          <w:sz w:val="19"/>
        </w:rPr>
        <w:t>closure and rehabilitation, together with</w:t>
      </w:r>
    </w:p>
    <w:p>
      <w:pPr>
        <w:spacing w:before="40" w:after="80" w:line="276" w:lineRule="auto"/>
      </w:pPr>
      <w:r>
        <w:rPr>
          <w:color w:val="334155"/>
          <w:sz w:val="19"/>
        </w:rPr>
        <w:t>established servicing connections, proximity to</w:t>
      </w:r>
    </w:p>
    <w:p>
      <w:pPr>
        <w:spacing w:before="40" w:after="80" w:line="276" w:lineRule="auto"/>
      </w:pPr>
      <w:r>
        <w:rPr>
          <w:color w:val="334155"/>
          <w:sz w:val="19"/>
        </w:rPr>
        <w:t>existing urban areas and direct public transport</w:t>
      </w:r>
    </w:p>
    <w:p>
      <w:pPr>
        <w:spacing w:before="40" w:after="80" w:line="276" w:lineRule="auto"/>
      </w:pPr>
      <w:r>
        <w:rPr>
          <w:color w:val="334155"/>
          <w:sz w:val="19"/>
        </w:rPr>
        <w:t>access, positions the sub-precinct as a strong</w:t>
      </w:r>
    </w:p>
    <w:p>
      <w:pPr>
        <w:spacing w:before="40" w:after="80" w:line="276" w:lineRule="auto"/>
      </w:pPr>
      <w:r>
        <w:rPr>
          <w:color w:val="334155"/>
          <w:sz w:val="19"/>
        </w:rPr>
        <w:t>candidate for early activation and near-term</w:t>
      </w:r>
    </w:p>
    <w:p>
      <w:pPr>
        <w:spacing w:before="40" w:after="80" w:line="276" w:lineRule="auto"/>
      </w:pPr>
      <w:r>
        <w:rPr>
          <w:color w:val="334155"/>
          <w:sz w:val="19"/>
        </w:rPr>
        <w:t>delivery.</w:t>
      </w:r>
    </w:p>
    <w:p>
      <w:pPr>
        <w:spacing w:before="40" w:after="80" w:line="276" w:lineRule="auto"/>
      </w:pPr>
      <w:r>
        <w:rPr>
          <w:color w:val="334155"/>
          <w:sz w:val="19"/>
        </w:rPr>
        <w:t>24</w:t>
      </w:r>
    </w:p>
    <w:p>
      <w:pPr>
        <w:spacing w:before="40" w:after="80" w:line="276" w:lineRule="auto"/>
      </w:pPr>
      <w:r>
        <w:rPr>
          <w:color w:val="334155"/>
          <w:sz w:val="19"/>
        </w:rPr>
        <w:t>4  Structure plan and sub-precinct framework</w:t>
      </w:r>
    </w:p>
    <w:p>
      <w:pPr>
        <w:pStyle w:val="Heading3"/>
        <w:keepNext/>
        <w:spacing w:before="160" w:after="40"/>
      </w:pPr>
      <w:r>
        <w:rPr>
          <w:b/>
          <w:color w:val="334155"/>
        </w:rPr>
        <w:t>Page 25</w:t>
      </w:r>
    </w:p>
    <w:p>
      <w:pPr>
        <w:spacing w:before="40" w:after="80" w:line="276" w:lineRule="auto"/>
      </w:pPr>
      <w:r>
        <w:rPr>
          <w:color w:val="334155"/>
          <w:sz w:val="19"/>
        </w:rPr>
        <w:t>Environmentally constrained areas</w:t>
      </w:r>
    </w:p>
    <w:p>
      <w:pPr>
        <w:spacing w:before="40" w:after="80" w:line="276" w:lineRule="auto"/>
      </w:pPr>
      <w:r>
        <w:rPr>
          <w:color w:val="334155"/>
          <w:sz w:val="19"/>
        </w:rPr>
        <w:t>Characteristics</w:t>
      </w:r>
    </w:p>
    <w:p>
      <w:pPr>
        <w:spacing w:before="40" w:after="80" w:line="276" w:lineRule="auto"/>
      </w:pPr>
      <w:r>
        <w:rPr>
          <w:color w:val="334155"/>
          <w:sz w:val="19"/>
        </w:rPr>
        <w:t>Environmentally constrained areas form an integral</w:t>
      </w:r>
    </w:p>
    <w:p>
      <w:pPr>
        <w:spacing w:before="40" w:after="80" w:line="276" w:lineRule="auto"/>
      </w:pPr>
      <w:r>
        <w:rPr>
          <w:color w:val="334155"/>
          <w:sz w:val="19"/>
        </w:rPr>
        <w:t>and defining element of the Precinct’s structure,</w:t>
      </w:r>
    </w:p>
    <w:p>
      <w:pPr>
        <w:spacing w:before="40" w:after="80" w:line="276" w:lineRule="auto"/>
      </w:pPr>
      <w:r>
        <w:rPr>
          <w:color w:val="334155"/>
          <w:sz w:val="19"/>
        </w:rPr>
        <w:t>comprising tracts of remnant native vegetation,</w:t>
      </w:r>
    </w:p>
    <w:p>
      <w:pPr>
        <w:spacing w:before="40" w:after="80" w:line="276" w:lineRule="auto"/>
      </w:pPr>
      <w:r>
        <w:rPr>
          <w:color w:val="334155"/>
          <w:sz w:val="19"/>
        </w:rPr>
        <w:t>rehabilitation areas, riparian corridors, waterways</w:t>
      </w:r>
    </w:p>
    <w:p>
      <w:pPr>
        <w:spacing w:before="40" w:after="80" w:line="276" w:lineRule="auto"/>
      </w:pPr>
      <w:r>
        <w:rPr>
          <w:color w:val="334155"/>
          <w:sz w:val="19"/>
        </w:rPr>
        <w:t>and ecological networks distributed across</w:t>
      </w:r>
    </w:p>
    <w:p>
      <w:pPr>
        <w:spacing w:before="40" w:after="80" w:line="276" w:lineRule="auto"/>
      </w:pPr>
      <w:r>
        <w:rPr>
          <w:color w:val="334155"/>
          <w:sz w:val="19"/>
        </w:rPr>
        <w:t>the Precinct. Together, these areas establish a</w:t>
      </w:r>
    </w:p>
    <w:p>
      <w:pPr>
        <w:spacing w:before="40" w:after="80" w:line="276" w:lineRule="auto"/>
      </w:pPr>
      <w:r>
        <w:rPr>
          <w:color w:val="334155"/>
          <w:sz w:val="19"/>
        </w:rPr>
        <w:t>connected environmental framework that supports</w:t>
      </w:r>
    </w:p>
    <w:p>
      <w:pPr>
        <w:spacing w:before="40" w:after="80" w:line="276" w:lineRule="auto"/>
      </w:pPr>
      <w:r>
        <w:rPr>
          <w:color w:val="334155"/>
          <w:sz w:val="19"/>
        </w:rPr>
        <w:t>biodiversity, water cycle management, landscape</w:t>
      </w:r>
    </w:p>
    <w:p>
      <w:pPr>
        <w:spacing w:before="40" w:after="80" w:line="276" w:lineRule="auto"/>
      </w:pPr>
      <w:r>
        <w:rPr>
          <w:color w:val="334155"/>
          <w:sz w:val="19"/>
        </w:rPr>
        <w:t>identity and Connecting with Country outcomes.</w:t>
      </w:r>
    </w:p>
    <w:p>
      <w:pPr>
        <w:spacing w:before="40" w:after="80" w:line="276" w:lineRule="auto"/>
      </w:pPr>
      <w:r>
        <w:rPr>
          <w:color w:val="334155"/>
          <w:sz w:val="19"/>
        </w:rPr>
        <w:t>Environmentally constrained areas anchor the</w:t>
      </w:r>
    </w:p>
    <w:p>
      <w:pPr>
        <w:spacing w:before="40" w:after="80" w:line="276" w:lineRule="auto"/>
      </w:pPr>
      <w:r>
        <w:rPr>
          <w:color w:val="334155"/>
          <w:sz w:val="19"/>
        </w:rPr>
        <w:t>structure plan in a high-quality landscape setting</w:t>
      </w:r>
    </w:p>
    <w:p>
      <w:pPr>
        <w:spacing w:before="40" w:after="80" w:line="276" w:lineRule="auto"/>
      </w:pPr>
      <w:r>
        <w:rPr>
          <w:color w:val="334155"/>
          <w:sz w:val="19"/>
        </w:rPr>
        <w:t>and reinforce ecological connectivity across the</w:t>
      </w:r>
    </w:p>
    <w:p>
      <w:pPr>
        <w:spacing w:before="40" w:after="80" w:line="276" w:lineRule="auto"/>
      </w:pPr>
      <w:r>
        <w:rPr>
          <w:color w:val="334155"/>
          <w:sz w:val="19"/>
        </w:rPr>
        <w:t>region. The intent of these lands is to protect and</w:t>
      </w:r>
    </w:p>
    <w:p>
      <w:pPr>
        <w:spacing w:before="40" w:after="80" w:line="276" w:lineRule="auto"/>
      </w:pPr>
      <w:r>
        <w:rPr>
          <w:color w:val="334155"/>
          <w:sz w:val="19"/>
        </w:rPr>
        <w:t>enhance environmental, hydrological, cultural and</w:t>
      </w:r>
    </w:p>
    <w:p>
      <w:pPr>
        <w:spacing w:before="40" w:after="80" w:line="276" w:lineRule="auto"/>
      </w:pPr>
      <w:r>
        <w:rPr>
          <w:color w:val="334155"/>
          <w:sz w:val="19"/>
        </w:rPr>
        <w:t>landscape values over the long-term, while</w:t>
      </w:r>
    </w:p>
    <w:p>
      <w:pPr>
        <w:spacing w:before="40" w:after="80" w:line="276" w:lineRule="auto"/>
      </w:pPr>
      <w:r>
        <w:rPr>
          <w:color w:val="334155"/>
          <w:sz w:val="19"/>
        </w:rPr>
        <w:t>enabling sensitive land use where suitable.</w:t>
      </w:r>
    </w:p>
    <w:p>
      <w:pPr>
        <w:spacing w:before="40" w:after="80" w:line="276" w:lineRule="auto"/>
      </w:pPr>
      <w:r>
        <w:rPr>
          <w:color w:val="334155"/>
          <w:sz w:val="19"/>
        </w:rPr>
        <w:t>Key opportunities</w:t>
      </w:r>
    </w:p>
    <w:p>
      <w:pPr>
        <w:spacing w:before="40" w:after="80" w:line="276" w:lineRule="auto"/>
      </w:pPr>
      <w:r>
        <w:rPr>
          <w:color w:val="334155"/>
          <w:sz w:val="19"/>
        </w:rPr>
        <w:t>The following attributes shape the sub-precinct’s</w:t>
      </w:r>
    </w:p>
    <w:p>
      <w:pPr>
        <w:spacing w:before="40" w:after="80" w:line="276" w:lineRule="auto"/>
      </w:pPr>
      <w:r>
        <w:rPr>
          <w:color w:val="334155"/>
          <w:sz w:val="19"/>
        </w:rPr>
        <w:t>development context and inform an opportunity-</w:t>
      </w:r>
    </w:p>
    <w:p>
      <w:pPr>
        <w:spacing w:before="40" w:after="80" w:line="276" w:lineRule="auto"/>
      </w:pPr>
      <w:r>
        <w:rPr>
          <w:color w:val="334155"/>
          <w:sz w:val="19"/>
        </w:rPr>
        <w:t>led, planning response:</w:t>
      </w:r>
    </w:p>
    <w:p>
      <w:pPr>
        <w:spacing w:before="40" w:after="80" w:line="276" w:lineRule="auto"/>
      </w:pPr>
      <w:r>
        <w:rPr>
          <w:color w:val="334155"/>
          <w:sz w:val="19"/>
        </w:rPr>
        <w:t>•</w:t>
      </w:r>
    </w:p>
    <w:p>
      <w:pPr>
        <w:spacing w:before="40" w:after="80" w:line="276" w:lineRule="auto"/>
      </w:pPr>
      <w:r>
        <w:rPr>
          <w:color w:val="334155"/>
          <w:sz w:val="19"/>
        </w:rPr>
        <w:t>Anchoring the Precinct’s ecological framework</w:t>
      </w:r>
    </w:p>
    <w:p>
      <w:pPr>
        <w:spacing w:before="40" w:after="80" w:line="276" w:lineRule="auto"/>
      </w:pPr>
      <w:r>
        <w:rPr>
          <w:color w:val="334155"/>
          <w:sz w:val="19"/>
        </w:rPr>
        <w:t>– High biodiversity areas, key fish habitat</w:t>
      </w:r>
    </w:p>
    <w:p>
      <w:pPr>
        <w:spacing w:before="40" w:after="80" w:line="276" w:lineRule="auto"/>
      </w:pPr>
      <w:r>
        <w:rPr>
          <w:color w:val="334155"/>
          <w:sz w:val="19"/>
        </w:rPr>
        <w:t>and terrestrial corridors provide north–south and</w:t>
      </w:r>
    </w:p>
    <w:p>
      <w:pPr>
        <w:spacing w:before="40" w:after="80" w:line="276" w:lineRule="auto"/>
      </w:pPr>
      <w:r>
        <w:rPr>
          <w:color w:val="334155"/>
          <w:sz w:val="19"/>
        </w:rPr>
        <w:t>east–west ecological connectivity across the</w:t>
      </w:r>
    </w:p>
    <w:p>
      <w:pPr>
        <w:spacing w:before="40" w:after="80" w:line="276" w:lineRule="auto"/>
      </w:pPr>
      <w:r>
        <w:rPr>
          <w:color w:val="334155"/>
          <w:sz w:val="19"/>
        </w:rPr>
        <w:t>Precinct. Biodiversity corridors, coastal</w:t>
      </w:r>
    </w:p>
    <w:p>
      <w:pPr>
        <w:spacing w:before="40" w:after="80" w:line="276" w:lineRule="auto"/>
      </w:pPr>
      <w:r>
        <w:rPr>
          <w:color w:val="334155"/>
          <w:sz w:val="19"/>
        </w:rPr>
        <w:t>wetlands, mapped waterways and areas subject</w:t>
      </w:r>
    </w:p>
    <w:p>
      <w:pPr>
        <w:spacing w:before="40" w:after="80" w:line="276" w:lineRule="auto"/>
      </w:pPr>
      <w:r>
        <w:rPr>
          <w:color w:val="334155"/>
          <w:sz w:val="19"/>
        </w:rPr>
        <w:t>to Voluntary Conservation Agreements</w:t>
      </w:r>
    </w:p>
    <w:p>
      <w:pPr>
        <w:spacing w:before="40" w:after="80" w:line="276" w:lineRule="auto"/>
      </w:pPr>
      <w:r>
        <w:rPr>
          <w:color w:val="334155"/>
          <w:sz w:val="19"/>
        </w:rPr>
        <w:t>informing a clear protection framework aligned</w:t>
      </w:r>
    </w:p>
    <w:p>
      <w:pPr>
        <w:spacing w:before="40" w:after="80" w:line="276" w:lineRule="auto"/>
      </w:pPr>
      <w:r>
        <w:rPr>
          <w:color w:val="334155"/>
          <w:sz w:val="19"/>
        </w:rPr>
        <w:t>with statutory requirements.</w:t>
      </w:r>
    </w:p>
    <w:p>
      <w:pPr>
        <w:spacing w:before="40" w:after="80" w:line="276" w:lineRule="auto"/>
      </w:pPr>
      <w:r>
        <w:rPr>
          <w:color w:val="334155"/>
          <w:sz w:val="19"/>
        </w:rPr>
        <w:t>•</w:t>
      </w:r>
    </w:p>
    <w:p>
      <w:pPr>
        <w:spacing w:before="40" w:after="80" w:line="276" w:lineRule="auto"/>
      </w:pPr>
      <w:r>
        <w:rPr>
          <w:color w:val="334155"/>
          <w:sz w:val="19"/>
        </w:rPr>
        <w:t>Considered, evidence-based approach to</w:t>
      </w:r>
    </w:p>
    <w:p>
      <w:pPr>
        <w:spacing w:before="40" w:after="80" w:line="276" w:lineRule="auto"/>
      </w:pPr>
      <w:r>
        <w:rPr>
          <w:color w:val="334155"/>
          <w:sz w:val="19"/>
        </w:rPr>
        <w:t>compatible use – Where supported by detailed</w:t>
      </w:r>
    </w:p>
    <w:p>
      <w:pPr>
        <w:spacing w:before="40" w:after="80" w:line="276" w:lineRule="auto"/>
      </w:pPr>
      <w:r>
        <w:rPr>
          <w:color w:val="334155"/>
          <w:sz w:val="19"/>
        </w:rPr>
        <w:t>biodiversity assessment, low-impact, compatible</w:t>
      </w:r>
    </w:p>
    <w:p>
      <w:pPr>
        <w:spacing w:before="40" w:after="80" w:line="276" w:lineRule="auto"/>
      </w:pPr>
      <w:r>
        <w:rPr>
          <w:color w:val="334155"/>
          <w:sz w:val="19"/>
        </w:rPr>
        <w:t>uses may be accommodated within these lands,</w:t>
      </w:r>
    </w:p>
    <w:p>
      <w:pPr>
        <w:spacing w:before="40" w:after="80" w:line="276" w:lineRule="auto"/>
      </w:pPr>
      <w:r>
        <w:rPr>
          <w:color w:val="334155"/>
          <w:sz w:val="19"/>
        </w:rPr>
        <w:t>guided by the recognised hierarchy of avoid first,</w:t>
      </w:r>
    </w:p>
    <w:p>
      <w:pPr>
        <w:spacing w:before="40" w:after="80" w:line="276" w:lineRule="auto"/>
      </w:pPr>
      <w:r>
        <w:rPr>
          <w:color w:val="334155"/>
          <w:sz w:val="19"/>
        </w:rPr>
        <w:t>minimise where avoidance is not practicable, and</w:t>
      </w:r>
    </w:p>
    <w:p>
      <w:pPr>
        <w:spacing w:before="40" w:after="80" w:line="276" w:lineRule="auto"/>
      </w:pPr>
      <w:r>
        <w:rPr>
          <w:color w:val="334155"/>
          <w:sz w:val="19"/>
        </w:rPr>
        <w:t>offset residual impacts. This approach makes</w:t>
      </w:r>
    </w:p>
    <w:p>
      <w:pPr>
        <w:spacing w:before="40" w:after="80" w:line="276" w:lineRule="auto"/>
      </w:pPr>
      <w:r>
        <w:rPr>
          <w:color w:val="334155"/>
          <w:sz w:val="19"/>
        </w:rPr>
        <w:t>sure that future use is sensitively located,</w:t>
      </w:r>
    </w:p>
    <w:p>
      <w:pPr>
        <w:spacing w:before="40" w:after="80" w:line="276" w:lineRule="auto"/>
      </w:pPr>
      <w:r>
        <w:rPr>
          <w:color w:val="334155"/>
          <w:sz w:val="19"/>
        </w:rPr>
        <w:t>limited in scale, and consistent with the</w:t>
      </w:r>
    </w:p>
    <w:p>
      <w:pPr>
        <w:spacing w:before="40" w:after="80" w:line="276" w:lineRule="auto"/>
      </w:pPr>
      <w:r>
        <w:rPr>
          <w:color w:val="334155"/>
          <w:sz w:val="19"/>
        </w:rPr>
        <w:t>retention and enhancement of biodiversity,</w:t>
      </w:r>
    </w:p>
    <w:p>
      <w:pPr>
        <w:spacing w:before="40" w:after="80" w:line="276" w:lineRule="auto"/>
      </w:pPr>
      <w:r>
        <w:rPr>
          <w:color w:val="334155"/>
          <w:sz w:val="19"/>
        </w:rPr>
        <w:t>hydrological and landscape values.</w:t>
      </w:r>
    </w:p>
    <w:p>
      <w:pPr>
        <w:spacing w:before="40" w:after="80" w:line="276" w:lineRule="auto"/>
      </w:pPr>
      <w:r>
        <w:rPr>
          <w:color w:val="334155"/>
          <w:sz w:val="19"/>
        </w:rPr>
        <w:t>•</w:t>
      </w:r>
    </w:p>
    <w:p>
      <w:pPr>
        <w:spacing w:before="40" w:after="80" w:line="276" w:lineRule="auto"/>
      </w:pPr>
      <w:r>
        <w:rPr>
          <w:color w:val="334155"/>
          <w:sz w:val="19"/>
        </w:rPr>
        <w:t>Water cycle and landscape performance –</w:t>
      </w:r>
    </w:p>
    <w:p>
      <w:pPr>
        <w:spacing w:before="40" w:after="80" w:line="276" w:lineRule="auto"/>
      </w:pPr>
      <w:r>
        <w:rPr>
          <w:color w:val="334155"/>
          <w:sz w:val="19"/>
        </w:rPr>
        <w:t>Riparian corridors along mapped waterways</w:t>
      </w:r>
    </w:p>
    <w:p>
      <w:pPr>
        <w:spacing w:before="40" w:after="80" w:line="276" w:lineRule="auto"/>
      </w:pPr>
      <w:r>
        <w:rPr>
          <w:color w:val="334155"/>
          <w:sz w:val="19"/>
        </w:rPr>
        <w:t>provide for flood conveyance, stormwater</w:t>
      </w:r>
    </w:p>
    <w:p>
      <w:pPr>
        <w:spacing w:before="40" w:after="80" w:line="276" w:lineRule="auto"/>
      </w:pPr>
      <w:r>
        <w:rPr>
          <w:color w:val="334155"/>
          <w:sz w:val="19"/>
        </w:rPr>
        <w:t>treatment and waterway health, contributing to</w:t>
      </w:r>
    </w:p>
    <w:p>
      <w:pPr>
        <w:spacing w:before="40" w:after="80" w:line="276" w:lineRule="auto"/>
      </w:pPr>
      <w:r>
        <w:rPr>
          <w:color w:val="334155"/>
          <w:sz w:val="19"/>
        </w:rPr>
        <w:t>a resilient water cycle framework that supports</w:t>
      </w:r>
    </w:p>
    <w:p>
      <w:pPr>
        <w:spacing w:before="40" w:after="80" w:line="276" w:lineRule="auto"/>
      </w:pPr>
      <w:r>
        <w:rPr>
          <w:color w:val="334155"/>
          <w:sz w:val="19"/>
        </w:rPr>
        <w:t>development outcomes elsewhere in the</w:t>
      </w:r>
    </w:p>
    <w:p>
      <w:pPr>
        <w:spacing w:before="40" w:after="80" w:line="276" w:lineRule="auto"/>
      </w:pPr>
      <w:r>
        <w:rPr>
          <w:color w:val="334155"/>
          <w:sz w:val="19"/>
        </w:rPr>
        <w:t>Precinct.</w:t>
      </w:r>
    </w:p>
    <w:p>
      <w:pPr>
        <w:spacing w:before="40" w:after="80" w:line="276" w:lineRule="auto"/>
      </w:pPr>
      <w:r>
        <w:rPr>
          <w:color w:val="334155"/>
          <w:sz w:val="19"/>
        </w:rPr>
        <w:t>•</w:t>
      </w:r>
    </w:p>
    <w:p>
      <w:pPr>
        <w:spacing w:before="40" w:after="80" w:line="276" w:lineRule="auto"/>
      </w:pPr>
      <w:r>
        <w:rPr>
          <w:color w:val="334155"/>
          <w:sz w:val="19"/>
        </w:rPr>
        <w:t>Compatible low-impact recreation and visitor</w:t>
      </w:r>
    </w:p>
    <w:p>
      <w:pPr>
        <w:spacing w:before="40" w:after="80" w:line="276" w:lineRule="auto"/>
      </w:pPr>
      <w:r>
        <w:rPr>
          <w:color w:val="334155"/>
          <w:sz w:val="19"/>
        </w:rPr>
        <w:t>experience – Walking trails, lookouts, nature-</w:t>
      </w:r>
    </w:p>
    <w:p>
      <w:pPr>
        <w:spacing w:before="40" w:after="80" w:line="276" w:lineRule="auto"/>
      </w:pPr>
      <w:r>
        <w:rPr>
          <w:color w:val="334155"/>
          <w:sz w:val="19"/>
        </w:rPr>
        <w:t>based education and interpretation position the</w:t>
      </w:r>
    </w:p>
    <w:p>
      <w:pPr>
        <w:spacing w:before="40" w:after="80" w:line="276" w:lineRule="auto"/>
      </w:pPr>
      <w:r>
        <w:rPr>
          <w:color w:val="334155"/>
          <w:sz w:val="19"/>
        </w:rPr>
        <w:t>environmentally constrained areas as part of a</w:t>
      </w:r>
    </w:p>
    <w:p>
      <w:pPr>
        <w:spacing w:before="40" w:after="80" w:line="276" w:lineRule="auto"/>
      </w:pPr>
      <w:r>
        <w:rPr>
          <w:color w:val="334155"/>
          <w:sz w:val="19"/>
        </w:rPr>
        <w:t>layered land use framework that complements</w:t>
      </w:r>
    </w:p>
    <w:p>
      <w:pPr>
        <w:spacing w:before="40" w:after="80" w:line="276" w:lineRule="auto"/>
      </w:pPr>
      <w:r>
        <w:rPr>
          <w:color w:val="334155"/>
          <w:sz w:val="19"/>
        </w:rPr>
        <w:t>community benefit and economic diversification</w:t>
      </w:r>
    </w:p>
    <w:p>
      <w:pPr>
        <w:spacing w:before="40" w:after="80" w:line="276" w:lineRule="auto"/>
      </w:pPr>
      <w:r>
        <w:rPr>
          <w:color w:val="334155"/>
          <w:sz w:val="19"/>
        </w:rPr>
        <w:t>across the Precinct.</w:t>
      </w:r>
    </w:p>
    <w:p>
      <w:pPr>
        <w:spacing w:before="40" w:after="80" w:line="276" w:lineRule="auto"/>
      </w:pPr>
      <w:r>
        <w:rPr>
          <w:color w:val="334155"/>
          <w:sz w:val="19"/>
        </w:rPr>
        <w:t>Figure 19: Indicative view of environmentally</w:t>
      </w:r>
    </w:p>
    <w:p>
      <w:pPr>
        <w:spacing w:before="40" w:after="80" w:line="276" w:lineRule="auto"/>
      </w:pPr>
      <w:r>
        <w:rPr>
          <w:color w:val="334155"/>
          <w:sz w:val="19"/>
        </w:rPr>
        <w:t>constrained areas</w:t>
      </w:r>
    </w:p>
    <w:p>
      <w:pPr>
        <w:spacing w:before="40" w:after="80" w:line="276" w:lineRule="auto"/>
      </w:pPr>
      <w:r>
        <w:rPr>
          <w:color w:val="334155"/>
          <w:sz w:val="19"/>
        </w:rPr>
        <w:t>Figure 20: Indicative trails within the environmentally</w:t>
      </w:r>
    </w:p>
    <w:p>
      <w:pPr>
        <w:spacing w:before="40" w:after="80" w:line="276" w:lineRule="auto"/>
      </w:pPr>
      <w:r>
        <w:rPr>
          <w:color w:val="334155"/>
          <w:sz w:val="19"/>
        </w:rPr>
        <w:t>constrained areas</w:t>
      </w:r>
    </w:p>
    <w:p>
      <w:pPr>
        <w:spacing w:before="40" w:after="80" w:line="276" w:lineRule="auto"/>
      </w:pPr>
      <w:r>
        <w:rPr>
          <w:color w:val="334155"/>
          <w:sz w:val="19"/>
        </w:rPr>
        <w:t>25</w:t>
      </w:r>
    </w:p>
    <w:p>
      <w:pPr>
        <w:spacing w:before="40" w:after="80" w:line="276" w:lineRule="auto"/>
      </w:pPr>
      <w:r>
        <w:rPr>
          <w:color w:val="334155"/>
          <w:sz w:val="19"/>
        </w:rPr>
        <w:t>4  Structure plan and sub-precinct framework</w:t>
      </w:r>
    </w:p>
    <w:p>
      <w:pPr>
        <w:pStyle w:val="Heading3"/>
        <w:keepNext/>
        <w:spacing w:before="160" w:after="40"/>
      </w:pPr>
      <w:r>
        <w:rPr>
          <w:b/>
          <w:color w:val="334155"/>
        </w:rPr>
        <w:t>Page 26</w:t>
      </w:r>
    </w:p>
    <w:p>
      <w:pPr>
        <w:spacing w:before="40" w:after="80" w:line="276" w:lineRule="auto"/>
      </w:pPr>
      <w:r>
        <w:rPr>
          <w:color w:val="334155"/>
          <w:sz w:val="19"/>
        </w:rPr>
        <w:t>Implementation and sequencing</w:t>
      </w:r>
    </w:p>
    <w:p>
      <w:pPr>
        <w:spacing w:before="40" w:after="80" w:line="276" w:lineRule="auto"/>
      </w:pPr>
      <w:r>
        <w:rPr>
          <w:color w:val="334155"/>
          <w:sz w:val="19"/>
        </w:rPr>
        <w:t>Implementation</w:t>
      </w:r>
    </w:p>
    <w:p>
      <w:pPr>
        <w:spacing w:before="40" w:after="80" w:line="276" w:lineRule="auto"/>
      </w:pPr>
      <w:r>
        <w:rPr>
          <w:color w:val="334155"/>
          <w:sz w:val="19"/>
        </w:rPr>
        <w:t>The implementation and delivery of the entire</w:t>
      </w:r>
    </w:p>
    <w:p>
      <w:pPr>
        <w:spacing w:before="40" w:after="80" w:line="276" w:lineRule="auto"/>
      </w:pPr>
      <w:r>
        <w:rPr>
          <w:color w:val="334155"/>
          <w:sz w:val="19"/>
        </w:rPr>
        <w:t>Precinct vision is intended to be sequenced over</w:t>
      </w:r>
    </w:p>
    <w:p>
      <w:pPr>
        <w:spacing w:before="40" w:after="80" w:line="276" w:lineRule="auto"/>
      </w:pPr>
      <w:r>
        <w:rPr>
          <w:color w:val="334155"/>
          <w:sz w:val="19"/>
        </w:rPr>
        <w:t>several decades, reflecting the need to manage</w:t>
      </w:r>
    </w:p>
    <w:p>
      <w:pPr>
        <w:spacing w:before="40" w:after="80" w:line="276" w:lineRule="auto"/>
      </w:pPr>
      <w:r>
        <w:rPr>
          <w:color w:val="334155"/>
          <w:sz w:val="19"/>
        </w:rPr>
        <w:t>mine closure and rehabilitation responsibilities and</w:t>
      </w:r>
    </w:p>
    <w:p>
      <w:pPr>
        <w:spacing w:before="40" w:after="80" w:line="276" w:lineRule="auto"/>
      </w:pPr>
      <w:r>
        <w:rPr>
          <w:color w:val="334155"/>
          <w:sz w:val="19"/>
        </w:rPr>
        <w:t>to allow the future land uses to evolve in alignment</w:t>
      </w:r>
    </w:p>
    <w:p>
      <w:pPr>
        <w:spacing w:before="40" w:after="80" w:line="276" w:lineRule="auto"/>
      </w:pPr>
      <w:r>
        <w:rPr>
          <w:color w:val="334155"/>
          <w:sz w:val="19"/>
        </w:rPr>
        <w:t>with development uptake. Delivery of supporting</w:t>
      </w:r>
    </w:p>
    <w:p>
      <w:pPr>
        <w:spacing w:before="40" w:after="80" w:line="276" w:lineRule="auto"/>
      </w:pPr>
      <w:r>
        <w:rPr>
          <w:color w:val="334155"/>
          <w:sz w:val="19"/>
        </w:rPr>
        <w:t>infrastructure is intended to be staged to correlate</w:t>
      </w:r>
    </w:p>
    <w:p>
      <w:pPr>
        <w:spacing w:before="40" w:after="80" w:line="276" w:lineRule="auto"/>
      </w:pPr>
      <w:r>
        <w:rPr>
          <w:color w:val="334155"/>
          <w:sz w:val="19"/>
        </w:rPr>
        <w:t>with the development as it is implemented over</w:t>
      </w:r>
    </w:p>
    <w:p>
      <w:pPr>
        <w:spacing w:before="40" w:after="80" w:line="276" w:lineRule="auto"/>
      </w:pPr>
      <w:r>
        <w:rPr>
          <w:color w:val="334155"/>
          <w:sz w:val="19"/>
        </w:rPr>
        <w:t>time.</w:t>
      </w:r>
    </w:p>
    <w:p>
      <w:pPr>
        <w:spacing w:before="40" w:after="80" w:line="276" w:lineRule="auto"/>
      </w:pPr>
      <w:r>
        <w:rPr>
          <w:color w:val="334155"/>
          <w:sz w:val="19"/>
        </w:rPr>
        <w:t>Development sequencing provides for</w:t>
      </w:r>
    </w:p>
    <w:p>
      <w:pPr>
        <w:spacing w:before="40" w:after="80" w:line="276" w:lineRule="auto"/>
      </w:pPr>
      <w:r>
        <w:rPr>
          <w:color w:val="334155"/>
          <w:sz w:val="19"/>
        </w:rPr>
        <w:t>infrastructure delivery that is proactive but demand</w:t>
      </w:r>
    </w:p>
    <w:p>
      <w:pPr>
        <w:spacing w:before="40" w:after="80" w:line="276" w:lineRule="auto"/>
      </w:pPr>
      <w:r>
        <w:rPr>
          <w:color w:val="334155"/>
          <w:sz w:val="19"/>
        </w:rPr>
        <w:t>led and enables early activation while supporting</w:t>
      </w:r>
    </w:p>
    <w:p>
      <w:pPr>
        <w:spacing w:before="40" w:after="80" w:line="276" w:lineRule="auto"/>
      </w:pPr>
      <w:r>
        <w:rPr>
          <w:color w:val="334155"/>
          <w:sz w:val="19"/>
        </w:rPr>
        <w:t>long-term, efficient and resilient precinct</w:t>
      </w:r>
    </w:p>
    <w:p>
      <w:pPr>
        <w:spacing w:before="40" w:after="80" w:line="276" w:lineRule="auto"/>
      </w:pPr>
      <w:r>
        <w:rPr>
          <w:color w:val="334155"/>
          <w:sz w:val="19"/>
        </w:rPr>
        <w:t>development. Infrastructure delivery is to be</w:t>
      </w:r>
    </w:p>
    <w:p>
      <w:pPr>
        <w:spacing w:before="40" w:after="80" w:line="276" w:lineRule="auto"/>
      </w:pPr>
      <w:r>
        <w:rPr>
          <w:color w:val="334155"/>
          <w:sz w:val="19"/>
        </w:rPr>
        <w:t>adaptive, demand driven and coordinated, ensuring</w:t>
      </w:r>
    </w:p>
    <w:p>
      <w:pPr>
        <w:spacing w:before="40" w:after="80" w:line="276" w:lineRule="auto"/>
      </w:pPr>
      <w:r>
        <w:rPr>
          <w:color w:val="334155"/>
          <w:sz w:val="19"/>
        </w:rPr>
        <w:t>that development does not outpace enabling</w:t>
      </w:r>
    </w:p>
    <w:p>
      <w:pPr>
        <w:spacing w:before="40" w:after="80" w:line="276" w:lineRule="auto"/>
      </w:pPr>
      <w:r>
        <w:rPr>
          <w:color w:val="334155"/>
          <w:sz w:val="19"/>
        </w:rPr>
        <w:t>infrastructure while maintaining flexibility for</w:t>
      </w:r>
    </w:p>
    <w:p>
      <w:pPr>
        <w:spacing w:before="40" w:after="80" w:line="276" w:lineRule="auto"/>
      </w:pPr>
      <w:r>
        <w:rPr>
          <w:color w:val="334155"/>
          <w:sz w:val="19"/>
        </w:rPr>
        <w:t>market led uptake. Development is to be staged in</w:t>
      </w:r>
    </w:p>
    <w:p>
      <w:pPr>
        <w:spacing w:before="40" w:after="80" w:line="276" w:lineRule="auto"/>
      </w:pPr>
      <w:r>
        <w:rPr>
          <w:color w:val="334155"/>
          <w:sz w:val="19"/>
        </w:rPr>
        <w:t>accordance with available infrastructure capacity,</w:t>
      </w:r>
    </w:p>
    <w:p>
      <w:pPr>
        <w:spacing w:before="40" w:after="80" w:line="276" w:lineRule="auto"/>
      </w:pPr>
      <w:r>
        <w:rPr>
          <w:color w:val="334155"/>
          <w:sz w:val="19"/>
        </w:rPr>
        <w:t>with priority given to feasibility of connecting</w:t>
      </w:r>
    </w:p>
    <w:p>
      <w:pPr>
        <w:spacing w:before="40" w:after="80" w:line="276" w:lineRule="auto"/>
      </w:pPr>
      <w:r>
        <w:rPr>
          <w:color w:val="334155"/>
          <w:sz w:val="19"/>
        </w:rPr>
        <w:t>with existing utilities and transport networks.</w:t>
      </w:r>
    </w:p>
    <w:p>
      <w:pPr>
        <w:spacing w:before="40" w:after="80" w:line="276" w:lineRule="auto"/>
      </w:pPr>
      <w:r>
        <w:rPr>
          <w:color w:val="334155"/>
          <w:sz w:val="19"/>
        </w:rPr>
        <w:t>Infrastructure delivery should adopt an integrated</w:t>
      </w:r>
    </w:p>
    <w:p>
      <w:pPr>
        <w:spacing w:before="40" w:after="80" w:line="276" w:lineRule="auto"/>
      </w:pPr>
      <w:r>
        <w:rPr>
          <w:color w:val="334155"/>
          <w:sz w:val="19"/>
        </w:rPr>
        <w:t>and coordinated approach across utilities and</w:t>
      </w:r>
    </w:p>
    <w:p>
      <w:pPr>
        <w:spacing w:before="40" w:after="80" w:line="276" w:lineRule="auto"/>
      </w:pPr>
      <w:r>
        <w:rPr>
          <w:color w:val="334155"/>
          <w:sz w:val="19"/>
        </w:rPr>
        <w:t>transport to minimise disruption and duplication.</w:t>
      </w:r>
    </w:p>
    <w:p>
      <w:pPr>
        <w:spacing w:before="40" w:after="80" w:line="276" w:lineRule="auto"/>
      </w:pPr>
      <w:r>
        <w:rPr>
          <w:color w:val="334155"/>
          <w:sz w:val="19"/>
        </w:rPr>
        <w:t>26</w:t>
      </w:r>
    </w:p>
    <w:p>
      <w:pPr>
        <w:spacing w:before="40" w:after="80" w:line="276" w:lineRule="auto"/>
      </w:pPr>
      <w:r>
        <w:rPr>
          <w:color w:val="334155"/>
          <w:sz w:val="19"/>
        </w:rPr>
        <w:t>4  Structure plan and sub-precinct framework</w:t>
      </w:r>
    </w:p>
    <w:p>
      <w:pPr>
        <w:pStyle w:val="Heading3"/>
        <w:keepNext/>
        <w:spacing w:before="160" w:after="40"/>
      </w:pPr>
      <w:r>
        <w:rPr>
          <w:b/>
          <w:color w:val="334155"/>
        </w:rPr>
        <w:t>Page 27</w:t>
      </w:r>
    </w:p>
    <w:p>
      <w:pPr>
        <w:spacing w:before="40" w:after="80" w:line="276" w:lineRule="auto"/>
      </w:pPr>
      <w:r>
        <w:rPr>
          <w:color w:val="334155"/>
          <w:sz w:val="19"/>
        </w:rPr>
        <w:t>Figure 21: Staging and key levers</w:t>
      </w:r>
    </w:p>
    <w:p>
      <w:pPr>
        <w:spacing w:before="40" w:after="80" w:line="276" w:lineRule="auto"/>
      </w:pPr>
      <w:r>
        <w:rPr>
          <w:color w:val="334155"/>
          <w:sz w:val="19"/>
        </w:rPr>
        <w:t>27</w:t>
      </w:r>
    </w:p>
    <w:p>
      <w:pPr>
        <w:spacing w:before="40" w:after="80" w:line="276" w:lineRule="auto"/>
      </w:pPr>
      <w:r>
        <w:rPr>
          <w:color w:val="334155"/>
          <w:sz w:val="19"/>
        </w:rPr>
        <w:t>4  Structure plan and sub-precinct framework</w:t>
      </w:r>
    </w:p>
    <w:p>
      <w:pPr>
        <w:pStyle w:val="Heading3"/>
        <w:keepNext/>
        <w:spacing w:before="160" w:after="40"/>
      </w:pPr>
      <w:r>
        <w:rPr>
          <w:b/>
          <w:color w:val="334155"/>
        </w:rPr>
        <w:t>Page 28</w:t>
      </w:r>
    </w:p>
    <w:p>
      <w:pPr>
        <w:spacing w:before="40" w:after="80" w:line="276" w:lineRule="auto"/>
      </w:pPr>
      <w:r>
        <w:rPr>
          <w:color w:val="334155"/>
          <w:sz w:val="19"/>
        </w:rPr>
        <w:t>Development horizons</w:t>
      </w:r>
    </w:p>
    <w:p>
      <w:pPr>
        <w:spacing w:before="40" w:after="80" w:line="276" w:lineRule="auto"/>
      </w:pPr>
      <w:r>
        <w:rPr>
          <w:color w:val="334155"/>
          <w:sz w:val="19"/>
        </w:rPr>
        <w:t>Development horizons are described in Table</w:t>
      </w:r>
    </w:p>
    <w:p>
      <w:pPr>
        <w:pStyle w:val="ListNumber"/>
        <w:spacing w:before="20" w:after="40"/>
      </w:pPr>
      <w:r>
        <w:rPr>
          <w:color w:val="334155"/>
          <w:sz w:val="19"/>
        </w:rPr>
        <w:t>Figure 22 illustrates the sequencing of</w:t>
      </w:r>
    </w:p>
    <w:p>
      <w:pPr>
        <w:spacing w:before="40" w:after="80" w:line="276" w:lineRule="auto"/>
      </w:pPr>
      <w:r>
        <w:rPr>
          <w:color w:val="334155"/>
          <w:sz w:val="19"/>
        </w:rPr>
        <w:t>development within the Precinct, which reflects</w:t>
      </w:r>
    </w:p>
    <w:p>
      <w:pPr>
        <w:spacing w:before="40" w:after="80" w:line="276" w:lineRule="auto"/>
      </w:pPr>
      <w:r>
        <w:rPr>
          <w:color w:val="334155"/>
          <w:sz w:val="19"/>
        </w:rPr>
        <w:t>the horizon within which land would commence</w:t>
      </w:r>
    </w:p>
    <w:p>
      <w:pPr>
        <w:spacing w:before="40" w:after="80" w:line="276" w:lineRule="auto"/>
      </w:pPr>
      <w:r>
        <w:rPr>
          <w:color w:val="334155"/>
          <w:sz w:val="19"/>
        </w:rPr>
        <w:t>development, subject to the drivers and staging</w:t>
      </w:r>
    </w:p>
    <w:p>
      <w:pPr>
        <w:spacing w:before="40" w:after="80" w:line="276" w:lineRule="auto"/>
      </w:pPr>
      <w:r>
        <w:rPr>
          <w:color w:val="334155"/>
          <w:sz w:val="19"/>
        </w:rPr>
        <w:t>triggers.</w:t>
      </w:r>
    </w:p>
    <w:p>
      <w:pPr>
        <w:spacing w:before="40" w:after="80" w:line="276" w:lineRule="auto"/>
      </w:pPr>
      <w:r>
        <w:rPr>
          <w:color w:val="334155"/>
          <w:sz w:val="19"/>
        </w:rPr>
        <w:t>Table 1: Sub-precinct staging</w:t>
      </w:r>
    </w:p>
    <w:p>
      <w:pPr>
        <w:spacing w:before="40" w:after="80" w:line="276" w:lineRule="auto"/>
      </w:pPr>
      <w:r>
        <w:rPr>
          <w:color w:val="334155"/>
          <w:sz w:val="19"/>
        </w:rPr>
        <w:t>Horizon</w:t>
      </w:r>
    </w:p>
    <w:p>
      <w:pPr>
        <w:spacing w:before="40" w:after="80" w:line="276" w:lineRule="auto"/>
      </w:pPr>
      <w:r>
        <w:rPr>
          <w:color w:val="334155"/>
          <w:sz w:val="19"/>
        </w:rPr>
        <w:t>Timeframe</w:t>
      </w:r>
    </w:p>
    <w:p>
      <w:pPr>
        <w:spacing w:before="40" w:after="80" w:line="276" w:lineRule="auto"/>
      </w:pPr>
      <w:r>
        <w:rPr>
          <w:color w:val="334155"/>
          <w:sz w:val="19"/>
        </w:rPr>
        <w:t>Key sub-precincts and drivers</w:t>
      </w:r>
    </w:p>
    <w:p>
      <w:pPr>
        <w:spacing w:before="40" w:after="80" w:line="276" w:lineRule="auto"/>
      </w:pPr>
      <w:r>
        <w:rPr>
          <w:color w:val="334155"/>
          <w:sz w:val="19"/>
        </w:rPr>
        <w:t>Short-term</w:t>
      </w:r>
    </w:p>
    <w:p>
      <w:pPr>
        <w:spacing w:before="40" w:after="80" w:line="276" w:lineRule="auto"/>
      </w:pPr>
      <w:r>
        <w:rPr>
          <w:color w:val="334155"/>
          <w:sz w:val="19"/>
        </w:rPr>
        <w:t>activation</w:t>
      </w:r>
    </w:p>
    <w:p>
      <w:pPr>
        <w:spacing w:before="40" w:after="80" w:line="276" w:lineRule="auto"/>
      </w:pPr>
      <w:r>
        <w:rPr>
          <w:color w:val="334155"/>
          <w:sz w:val="19"/>
        </w:rPr>
        <w:t>0–5 years</w:t>
      </w:r>
    </w:p>
    <w:p>
      <w:pPr>
        <w:spacing w:before="40" w:after="80" w:line="276" w:lineRule="auto"/>
      </w:pPr>
      <w:r>
        <w:rPr>
          <w:color w:val="334155"/>
          <w:sz w:val="19"/>
        </w:rPr>
        <w:t>Cockle Creek, Killingworth, West</w:t>
      </w:r>
    </w:p>
    <w:p>
      <w:pPr>
        <w:spacing w:before="40" w:after="80" w:line="276" w:lineRule="auto"/>
      </w:pPr>
      <w:r>
        <w:rPr>
          <w:color w:val="334155"/>
          <w:sz w:val="19"/>
        </w:rPr>
        <w:t>Lake, Barnsley West, Teralba.</w:t>
      </w:r>
    </w:p>
    <w:p>
      <w:pPr>
        <w:spacing w:before="40" w:after="80" w:line="276" w:lineRule="auto"/>
      </w:pPr>
      <w:r>
        <w:rPr>
          <w:color w:val="334155"/>
          <w:sz w:val="19"/>
        </w:rPr>
        <w:t>Medium-term</w:t>
      </w:r>
    </w:p>
    <w:p>
      <w:pPr>
        <w:spacing w:before="40" w:after="80" w:line="276" w:lineRule="auto"/>
      </w:pPr>
      <w:r>
        <w:rPr>
          <w:color w:val="334155"/>
          <w:sz w:val="19"/>
        </w:rPr>
        <w:t>activation</w:t>
      </w:r>
    </w:p>
    <w:p>
      <w:pPr>
        <w:spacing w:before="40" w:after="80" w:line="276" w:lineRule="auto"/>
      </w:pPr>
      <w:r>
        <w:rPr>
          <w:color w:val="334155"/>
          <w:sz w:val="19"/>
        </w:rPr>
        <w:t>5–15 years</w:t>
      </w:r>
    </w:p>
    <w:p>
      <w:pPr>
        <w:spacing w:before="40" w:after="80" w:line="276" w:lineRule="auto"/>
      </w:pPr>
      <w:r>
        <w:rPr>
          <w:color w:val="334155"/>
          <w:sz w:val="19"/>
        </w:rPr>
        <w:t>Cockle Creek, Killingworth.</w:t>
      </w:r>
    </w:p>
    <w:p>
      <w:pPr>
        <w:spacing w:before="40" w:after="80" w:line="276" w:lineRule="auto"/>
      </w:pPr>
      <w:r>
        <w:rPr>
          <w:color w:val="334155"/>
          <w:sz w:val="19"/>
        </w:rPr>
        <w:t>Long-term</w:t>
      </w:r>
    </w:p>
    <w:p>
      <w:pPr>
        <w:spacing w:before="40" w:after="80" w:line="276" w:lineRule="auto"/>
      </w:pPr>
      <w:r>
        <w:rPr>
          <w:color w:val="334155"/>
          <w:sz w:val="19"/>
        </w:rPr>
        <w:t>activation</w:t>
      </w:r>
    </w:p>
    <w:p>
      <w:pPr>
        <w:spacing w:before="40" w:after="80" w:line="276" w:lineRule="auto"/>
      </w:pPr>
      <w:r>
        <w:rPr>
          <w:color w:val="334155"/>
          <w:sz w:val="19"/>
        </w:rPr>
        <w:t>15+ years</w:t>
      </w:r>
    </w:p>
    <w:p>
      <w:pPr>
        <w:spacing w:before="40" w:after="80" w:line="276" w:lineRule="auto"/>
      </w:pPr>
      <w:r>
        <w:rPr>
          <w:color w:val="334155"/>
          <w:sz w:val="19"/>
        </w:rPr>
        <w:t>Cockle Creek and Killingworth</w:t>
      </w:r>
    </w:p>
    <w:p>
      <w:pPr>
        <w:spacing w:before="40" w:after="80" w:line="276" w:lineRule="auto"/>
      </w:pPr>
      <w:r>
        <w:rPr>
          <w:color w:val="334155"/>
          <w:sz w:val="19"/>
        </w:rPr>
        <w:t>residual land.</w:t>
      </w:r>
    </w:p>
    <w:p>
      <w:pPr>
        <w:spacing w:before="40" w:after="80" w:line="276" w:lineRule="auto"/>
      </w:pPr>
      <w:r>
        <w:rPr>
          <w:color w:val="334155"/>
          <w:sz w:val="19"/>
        </w:rPr>
        <w:t>Figure 22: Sub-precinct staging</w:t>
      </w:r>
    </w:p>
    <w:p>
      <w:pPr>
        <w:spacing w:before="40" w:after="80" w:line="276" w:lineRule="auto"/>
      </w:pPr>
      <w:r>
        <w:rPr>
          <w:color w:val="334155"/>
          <w:sz w:val="19"/>
        </w:rPr>
        <w:t>28</w:t>
      </w:r>
    </w:p>
    <w:p>
      <w:pPr>
        <w:spacing w:before="40" w:after="80" w:line="276" w:lineRule="auto"/>
      </w:pPr>
      <w:r>
        <w:rPr>
          <w:color w:val="334155"/>
          <w:sz w:val="19"/>
        </w:rPr>
        <w:t>4  Structure plan and sub-precinct framework</w:t>
      </w:r>
    </w:p>
    <w:p>
      <w:pPr>
        <w:pStyle w:val="Heading3"/>
        <w:keepNext/>
        <w:spacing w:before="160" w:after="40"/>
      </w:pPr>
      <w:r>
        <w:rPr>
          <w:b/>
          <w:color w:val="334155"/>
        </w:rPr>
        <w:t>Page 29</w:t>
      </w:r>
    </w:p>
    <w:p>
      <w:pPr>
        <w:spacing w:before="40" w:after="80" w:line="276" w:lineRule="auto"/>
      </w:pPr>
      <w:r>
        <w:rPr>
          <w:color w:val="334155"/>
          <w:sz w:val="19"/>
        </w:rPr>
        <w:t>Short-term activation</w:t>
      </w:r>
    </w:p>
    <w:p>
      <w:pPr>
        <w:spacing w:before="40" w:after="80" w:line="276" w:lineRule="auto"/>
      </w:pPr>
      <w:r>
        <w:rPr>
          <w:color w:val="334155"/>
          <w:sz w:val="19"/>
        </w:rPr>
        <w:t>Areas identified as being capable of early release</w:t>
      </w:r>
    </w:p>
    <w:p>
      <w:pPr>
        <w:spacing w:before="40" w:after="80" w:line="276" w:lineRule="auto"/>
      </w:pPr>
      <w:r>
        <w:rPr>
          <w:color w:val="334155"/>
          <w:sz w:val="19"/>
        </w:rPr>
        <w:t>for post mining land use development share</w:t>
      </w:r>
    </w:p>
    <w:p>
      <w:pPr>
        <w:spacing w:before="40" w:after="80" w:line="276" w:lineRule="auto"/>
      </w:pPr>
      <w:r>
        <w:rPr>
          <w:color w:val="334155"/>
          <w:sz w:val="19"/>
        </w:rPr>
        <w:t>common characteristics, including land where</w:t>
      </w:r>
    </w:p>
    <w:p>
      <w:pPr>
        <w:spacing w:before="40" w:after="80" w:line="276" w:lineRule="auto"/>
      </w:pPr>
      <w:r>
        <w:rPr>
          <w:color w:val="334155"/>
          <w:sz w:val="19"/>
        </w:rPr>
        <w:t>rehabilitation is at or near completion, existing</w:t>
      </w:r>
    </w:p>
    <w:p>
      <w:pPr>
        <w:spacing w:before="40" w:after="80" w:line="276" w:lineRule="auto"/>
      </w:pPr>
      <w:r>
        <w:rPr>
          <w:color w:val="334155"/>
          <w:sz w:val="19"/>
        </w:rPr>
        <w:t>road access is available, servicing connections are</w:t>
      </w:r>
    </w:p>
    <w:p>
      <w:pPr>
        <w:spacing w:before="40" w:after="80" w:line="276" w:lineRule="auto"/>
      </w:pPr>
      <w:r>
        <w:rPr>
          <w:color w:val="334155"/>
          <w:sz w:val="19"/>
        </w:rPr>
        <w:t>feasible and the risk profile is manageable without</w:t>
      </w:r>
    </w:p>
    <w:p>
      <w:pPr>
        <w:spacing w:before="40" w:after="80" w:line="276" w:lineRule="auto"/>
      </w:pPr>
      <w:r>
        <w:rPr>
          <w:color w:val="334155"/>
          <w:sz w:val="19"/>
        </w:rPr>
        <w:t>requiring major investigations or infrastructure</w:t>
      </w:r>
    </w:p>
    <w:p>
      <w:pPr>
        <w:spacing w:before="40" w:after="80" w:line="276" w:lineRule="auto"/>
      </w:pPr>
      <w:r>
        <w:rPr>
          <w:color w:val="334155"/>
          <w:sz w:val="19"/>
        </w:rPr>
        <w:t>upgrades.</w:t>
      </w:r>
    </w:p>
    <w:p>
      <w:pPr>
        <w:spacing w:before="40" w:after="80" w:line="276" w:lineRule="auto"/>
      </w:pPr>
      <w:r>
        <w:rPr>
          <w:color w:val="334155"/>
          <w:sz w:val="19"/>
        </w:rPr>
        <w:t>Early phases are expected to leverage available</w:t>
      </w:r>
    </w:p>
    <w:p>
      <w:pPr>
        <w:spacing w:before="40" w:after="80" w:line="276" w:lineRule="auto"/>
      </w:pPr>
      <w:r>
        <w:rPr>
          <w:color w:val="334155"/>
          <w:sz w:val="19"/>
        </w:rPr>
        <w:t>capacity within the Argenton Substation, existing</w:t>
      </w:r>
    </w:p>
    <w:p>
      <w:pPr>
        <w:spacing w:before="40" w:after="80" w:line="276" w:lineRule="auto"/>
      </w:pPr>
      <w:r>
        <w:rPr>
          <w:color w:val="334155"/>
          <w:sz w:val="19"/>
        </w:rPr>
        <w:t>potable water connections and established regional</w:t>
      </w:r>
    </w:p>
    <w:p>
      <w:pPr>
        <w:spacing w:before="40" w:after="80" w:line="276" w:lineRule="auto"/>
      </w:pPr>
      <w:r>
        <w:rPr>
          <w:color w:val="334155"/>
          <w:sz w:val="19"/>
        </w:rPr>
        <w:t>freight corridors, minimising the need for major</w:t>
      </w:r>
    </w:p>
    <w:p>
      <w:pPr>
        <w:spacing w:before="40" w:after="80" w:line="276" w:lineRule="auto"/>
      </w:pPr>
      <w:r>
        <w:rPr>
          <w:color w:val="334155"/>
          <w:sz w:val="19"/>
        </w:rPr>
        <w:t>upfront augmentation. These areas also align with</w:t>
      </w:r>
    </w:p>
    <w:p>
      <w:pPr>
        <w:spacing w:before="40" w:after="80" w:line="276" w:lineRule="auto"/>
      </w:pPr>
      <w:r>
        <w:rPr>
          <w:color w:val="334155"/>
          <w:sz w:val="19"/>
        </w:rPr>
        <w:t>transport accessibility and heavy vehicle routing</w:t>
      </w:r>
    </w:p>
    <w:p>
      <w:pPr>
        <w:spacing w:before="40" w:after="80" w:line="276" w:lineRule="auto"/>
      </w:pPr>
      <w:r>
        <w:rPr>
          <w:color w:val="334155"/>
          <w:sz w:val="19"/>
        </w:rPr>
        <w:t>capability, supporting early industrial and logistics</w:t>
      </w:r>
    </w:p>
    <w:p>
      <w:pPr>
        <w:spacing w:before="40" w:after="80" w:line="276" w:lineRule="auto"/>
      </w:pPr>
      <w:r>
        <w:rPr>
          <w:color w:val="334155"/>
          <w:sz w:val="19"/>
        </w:rPr>
        <w:t>uses.</w:t>
      </w:r>
    </w:p>
    <w:p>
      <w:pPr>
        <w:spacing w:before="40" w:after="80" w:line="276" w:lineRule="auto"/>
      </w:pPr>
      <w:r>
        <w:rPr>
          <w:color w:val="334155"/>
          <w:sz w:val="19"/>
        </w:rPr>
        <w:t>These short-term activation areas provide the</w:t>
      </w:r>
    </w:p>
    <w:p>
      <w:pPr>
        <w:spacing w:before="40" w:after="80" w:line="276" w:lineRule="auto"/>
      </w:pPr>
      <w:r>
        <w:rPr>
          <w:color w:val="334155"/>
          <w:sz w:val="19"/>
        </w:rPr>
        <w:t>opportunity to demonstrate viability of post mining</w:t>
      </w:r>
    </w:p>
    <w:p>
      <w:pPr>
        <w:spacing w:before="40" w:after="80" w:line="276" w:lineRule="auto"/>
      </w:pPr>
      <w:r>
        <w:rPr>
          <w:color w:val="334155"/>
          <w:sz w:val="19"/>
        </w:rPr>
        <w:t>land use shift, generate investment confidence and</w:t>
      </w:r>
    </w:p>
    <w:p>
      <w:pPr>
        <w:spacing w:before="40" w:after="80" w:line="276" w:lineRule="auto"/>
      </w:pPr>
      <w:r>
        <w:rPr>
          <w:color w:val="334155"/>
          <w:sz w:val="19"/>
        </w:rPr>
        <w:t>deliver tangible employment and community</w:t>
      </w:r>
    </w:p>
    <w:p>
      <w:pPr>
        <w:spacing w:before="40" w:after="80" w:line="276" w:lineRule="auto"/>
      </w:pPr>
      <w:r>
        <w:rPr>
          <w:color w:val="334155"/>
          <w:sz w:val="19"/>
        </w:rPr>
        <w:t>outcomes.</w:t>
      </w:r>
    </w:p>
    <w:p>
      <w:pPr>
        <w:spacing w:before="40" w:after="80" w:line="276" w:lineRule="auto"/>
      </w:pPr>
      <w:r>
        <w:rPr>
          <w:color w:val="334155"/>
          <w:sz w:val="19"/>
        </w:rPr>
        <w:t>Cockle Creek</w:t>
      </w:r>
    </w:p>
    <w:p>
      <w:pPr>
        <w:spacing w:before="40" w:after="80" w:line="276" w:lineRule="auto"/>
      </w:pPr>
      <w:r>
        <w:rPr>
          <w:color w:val="334155"/>
          <w:sz w:val="19"/>
        </w:rPr>
        <w:t>Previously disturbed areas outside the TSF and</w:t>
      </w:r>
    </w:p>
    <w:p>
      <w:pPr>
        <w:spacing w:before="40" w:after="80" w:line="276" w:lineRule="auto"/>
      </w:pPr>
      <w:r>
        <w:rPr>
          <w:color w:val="334155"/>
          <w:sz w:val="19"/>
        </w:rPr>
        <w:t>dam break inundation zone with existing access to</w:t>
      </w:r>
    </w:p>
    <w:p>
      <w:pPr>
        <w:spacing w:before="40" w:after="80" w:line="276" w:lineRule="auto"/>
      </w:pPr>
      <w:r>
        <w:rPr>
          <w:color w:val="334155"/>
          <w:sz w:val="19"/>
        </w:rPr>
        <w:t>the regional road network. Early activation within</w:t>
      </w:r>
    </w:p>
    <w:p>
      <w:pPr>
        <w:spacing w:before="40" w:after="80" w:line="276" w:lineRule="auto"/>
      </w:pPr>
      <w:r>
        <w:rPr>
          <w:color w:val="334155"/>
          <w:sz w:val="19"/>
        </w:rPr>
        <w:t>this sub-precinct could leverage the existing rail</w:t>
      </w:r>
    </w:p>
    <w:p>
      <w:pPr>
        <w:spacing w:before="40" w:after="80" w:line="276" w:lineRule="auto"/>
      </w:pPr>
      <w:r>
        <w:rPr>
          <w:color w:val="334155"/>
          <w:sz w:val="19"/>
        </w:rPr>
        <w:t>loop with opportunities for related manufacturing</w:t>
      </w:r>
    </w:p>
    <w:p>
      <w:pPr>
        <w:spacing w:before="40" w:after="80" w:line="276" w:lineRule="auto"/>
      </w:pPr>
      <w:r>
        <w:rPr>
          <w:color w:val="334155"/>
          <w:sz w:val="19"/>
        </w:rPr>
        <w:t>facilities.</w:t>
      </w:r>
    </w:p>
    <w:p>
      <w:pPr>
        <w:spacing w:before="40" w:after="80" w:line="276" w:lineRule="auto"/>
      </w:pPr>
      <w:r>
        <w:rPr>
          <w:color w:val="334155"/>
          <w:sz w:val="19"/>
        </w:rPr>
        <w:t>This sub-precinct benefits from the strategic role</w:t>
      </w:r>
    </w:p>
    <w:p>
      <w:pPr>
        <w:spacing w:before="40" w:after="80" w:line="276" w:lineRule="auto"/>
      </w:pPr>
      <w:r>
        <w:rPr>
          <w:color w:val="334155"/>
          <w:sz w:val="19"/>
        </w:rPr>
        <w:t>of freight and logistics in this area, leveraging</w:t>
      </w:r>
    </w:p>
    <w:p>
      <w:pPr>
        <w:spacing w:before="40" w:after="80" w:line="276" w:lineRule="auto"/>
      </w:pPr>
      <w:r>
        <w:rPr>
          <w:color w:val="334155"/>
          <w:sz w:val="19"/>
        </w:rPr>
        <w:t>proximity to supporting flexible, freight-adjacent</w:t>
      </w:r>
    </w:p>
    <w:p>
      <w:pPr>
        <w:spacing w:before="40" w:after="80" w:line="276" w:lineRule="auto"/>
      </w:pPr>
      <w:r>
        <w:rPr>
          <w:color w:val="334155"/>
          <w:sz w:val="19"/>
        </w:rPr>
        <w:t>land uses as infrastructure staging evolves.</w:t>
      </w:r>
    </w:p>
    <w:p>
      <w:pPr>
        <w:spacing w:before="40" w:after="80" w:line="276" w:lineRule="auto"/>
      </w:pPr>
      <w:r>
        <w:rPr>
          <w:color w:val="334155"/>
          <w:sz w:val="19"/>
        </w:rPr>
        <w:t>Development in this sub-precinct is staged to align</w:t>
      </w:r>
    </w:p>
    <w:p>
      <w:pPr>
        <w:spacing w:before="40" w:after="80" w:line="276" w:lineRule="auto"/>
      </w:pPr>
      <w:r>
        <w:rPr>
          <w:color w:val="334155"/>
          <w:sz w:val="19"/>
        </w:rPr>
        <w:t>with infrastructure delivery. A graduated approach</w:t>
      </w:r>
    </w:p>
    <w:p>
      <w:pPr>
        <w:spacing w:before="40" w:after="80" w:line="276" w:lineRule="auto"/>
      </w:pPr>
      <w:r>
        <w:rPr>
          <w:color w:val="334155"/>
          <w:sz w:val="19"/>
        </w:rPr>
        <w:t>to the staging model is proposed, transitioning</w:t>
      </w:r>
    </w:p>
    <w:p>
      <w:pPr>
        <w:spacing w:before="40" w:after="80" w:line="276" w:lineRule="auto"/>
      </w:pPr>
      <w:r>
        <w:rPr>
          <w:color w:val="334155"/>
          <w:sz w:val="19"/>
        </w:rPr>
        <w:t>from lighter industry near Cockle Creek to heavier</w:t>
      </w:r>
    </w:p>
    <w:p>
      <w:pPr>
        <w:spacing w:before="40" w:after="80" w:line="276" w:lineRule="auto"/>
      </w:pPr>
      <w:r>
        <w:rPr>
          <w:color w:val="334155"/>
          <w:sz w:val="19"/>
        </w:rPr>
        <w:t>industrial and warehousing uses further within the</w:t>
      </w:r>
    </w:p>
    <w:p>
      <w:pPr>
        <w:spacing w:before="40" w:after="80" w:line="276" w:lineRule="auto"/>
      </w:pPr>
      <w:r>
        <w:rPr>
          <w:color w:val="334155"/>
          <w:sz w:val="19"/>
        </w:rPr>
        <w:t>sub-precinct.</w:t>
      </w:r>
    </w:p>
    <w:p>
      <w:pPr>
        <w:spacing w:before="40" w:after="80" w:line="276" w:lineRule="auto"/>
      </w:pPr>
      <w:r>
        <w:rPr>
          <w:color w:val="334155"/>
          <w:sz w:val="19"/>
        </w:rPr>
        <w:t>Early activation</w:t>
      </w:r>
    </w:p>
    <w:p>
      <w:pPr>
        <w:spacing w:before="40" w:after="80" w:line="276" w:lineRule="auto"/>
      </w:pPr>
      <w:r>
        <w:rPr>
          <w:color w:val="334155"/>
          <w:sz w:val="19"/>
        </w:rPr>
        <w:t>is subject to geotechnical investigation and</w:t>
      </w:r>
    </w:p>
    <w:p>
      <w:pPr>
        <w:spacing w:before="40" w:after="80" w:line="276" w:lineRule="auto"/>
      </w:pPr>
      <w:r>
        <w:rPr>
          <w:color w:val="334155"/>
          <w:sz w:val="19"/>
        </w:rPr>
        <w:t>confirmation that development will not</w:t>
      </w:r>
    </w:p>
    <w:p>
      <w:pPr>
        <w:spacing w:before="40" w:after="80" w:line="276" w:lineRule="auto"/>
      </w:pPr>
      <w:r>
        <w:rPr>
          <w:color w:val="334155"/>
          <w:sz w:val="19"/>
        </w:rPr>
        <w:t>compromise TSF rehabilitation or increase societal</w:t>
      </w:r>
    </w:p>
    <w:p>
      <w:pPr>
        <w:spacing w:before="40" w:after="80" w:line="276" w:lineRule="auto"/>
      </w:pPr>
      <w:r>
        <w:rPr>
          <w:color w:val="334155"/>
          <w:sz w:val="19"/>
        </w:rPr>
        <w:t>risk within the dam break inundation zone.</w:t>
      </w:r>
    </w:p>
    <w:p>
      <w:pPr>
        <w:spacing w:before="40" w:after="80" w:line="276" w:lineRule="auto"/>
      </w:pPr>
      <w:r>
        <w:rPr>
          <w:color w:val="334155"/>
          <w:sz w:val="19"/>
        </w:rPr>
        <w:t>Killingworth</w:t>
      </w:r>
    </w:p>
    <w:p>
      <w:pPr>
        <w:spacing w:before="40" w:after="80" w:line="276" w:lineRule="auto"/>
      </w:pPr>
      <w:r>
        <w:rPr>
          <w:color w:val="334155"/>
          <w:sz w:val="19"/>
        </w:rPr>
        <w:t>The northwest area near Killingworth presents</w:t>
      </w:r>
    </w:p>
    <w:p>
      <w:pPr>
        <w:spacing w:before="40" w:after="80" w:line="276" w:lineRule="auto"/>
      </w:pPr>
      <w:r>
        <w:rPr>
          <w:color w:val="334155"/>
          <w:sz w:val="19"/>
        </w:rPr>
        <w:t>a strategic opportunity for land uses such as</w:t>
      </w:r>
    </w:p>
    <w:p>
      <w:pPr>
        <w:spacing w:before="40" w:after="80" w:line="276" w:lineRule="auto"/>
      </w:pPr>
      <w:r>
        <w:rPr>
          <w:color w:val="334155"/>
          <w:sz w:val="19"/>
        </w:rPr>
        <w:t>advanced manufacturing, data-driven uses and</w:t>
      </w:r>
    </w:p>
    <w:p>
      <w:pPr>
        <w:spacing w:before="40" w:after="80" w:line="276" w:lineRule="auto"/>
      </w:pPr>
      <w:r>
        <w:rPr>
          <w:color w:val="334155"/>
          <w:sz w:val="19"/>
        </w:rPr>
        <w:t>business parks, which take advantage of the</w:t>
      </w:r>
    </w:p>
    <w:p>
      <w:pPr>
        <w:spacing w:before="40" w:after="80" w:line="276" w:lineRule="auto"/>
      </w:pPr>
      <w:r>
        <w:rPr>
          <w:color w:val="334155"/>
          <w:sz w:val="19"/>
        </w:rPr>
        <w:t>Transgrid substation and existing electricity</w:t>
      </w:r>
    </w:p>
    <w:p>
      <w:pPr>
        <w:spacing w:before="40" w:after="80" w:line="276" w:lineRule="auto"/>
      </w:pPr>
      <w:r>
        <w:rPr>
          <w:color w:val="334155"/>
          <w:sz w:val="19"/>
        </w:rPr>
        <w:t>capacity. The area offers opportunity for local</w:t>
      </w:r>
    </w:p>
    <w:p>
      <w:pPr>
        <w:spacing w:before="40" w:after="80" w:line="276" w:lineRule="auto"/>
      </w:pPr>
      <w:r>
        <w:rPr>
          <w:color w:val="334155"/>
          <w:sz w:val="19"/>
        </w:rPr>
        <w:t>uplift and diversification through enabling light</w:t>
      </w:r>
    </w:p>
    <w:p>
      <w:pPr>
        <w:spacing w:before="40" w:after="80" w:line="276" w:lineRule="auto"/>
      </w:pPr>
      <w:r>
        <w:rPr>
          <w:color w:val="334155"/>
          <w:sz w:val="19"/>
        </w:rPr>
        <w:t>infrastructure, business parks, technology and</w:t>
      </w:r>
    </w:p>
    <w:p>
      <w:pPr>
        <w:spacing w:before="40" w:after="80" w:line="276" w:lineRule="auto"/>
      </w:pPr>
      <w:r>
        <w:rPr>
          <w:color w:val="334155"/>
          <w:sz w:val="19"/>
        </w:rPr>
        <w:t>data-driven employment to support local jobs and</w:t>
      </w:r>
    </w:p>
    <w:p>
      <w:pPr>
        <w:spacing w:before="40" w:after="80" w:line="276" w:lineRule="auto"/>
      </w:pPr>
      <w:r>
        <w:rPr>
          <w:color w:val="334155"/>
          <w:sz w:val="19"/>
        </w:rPr>
        <w:t>complement existing residential areas.</w:t>
      </w:r>
    </w:p>
    <w:p>
      <w:pPr>
        <w:spacing w:before="40" w:after="80" w:line="276" w:lineRule="auto"/>
      </w:pPr>
      <w:r>
        <w:rPr>
          <w:color w:val="334155"/>
          <w:sz w:val="19"/>
        </w:rPr>
        <w:t>The sub-precinct is well-suited for activation given</w:t>
      </w:r>
    </w:p>
    <w:p>
      <w:pPr>
        <w:spacing w:before="40" w:after="80" w:line="276" w:lineRule="auto"/>
      </w:pPr>
      <w:r>
        <w:rPr>
          <w:color w:val="334155"/>
          <w:sz w:val="19"/>
        </w:rPr>
        <w:t>its previously disturbed land provides a strong</w:t>
      </w:r>
    </w:p>
    <w:p>
      <w:pPr>
        <w:spacing w:before="40" w:after="80" w:line="276" w:lineRule="auto"/>
      </w:pPr>
      <w:r>
        <w:rPr>
          <w:color w:val="334155"/>
          <w:sz w:val="19"/>
        </w:rPr>
        <w:t>foundation for redevelopment, complemented by</w:t>
      </w:r>
    </w:p>
    <w:p>
      <w:pPr>
        <w:spacing w:before="40" w:after="80" w:line="276" w:lineRule="auto"/>
      </w:pPr>
      <w:r>
        <w:rPr>
          <w:color w:val="334155"/>
          <w:sz w:val="19"/>
        </w:rPr>
        <w:t>its proximity to existing high-voltage transmission</w:t>
      </w:r>
    </w:p>
    <w:p>
      <w:pPr>
        <w:spacing w:before="40" w:after="80" w:line="276" w:lineRule="auto"/>
      </w:pPr>
      <w:r>
        <w:rPr>
          <w:color w:val="334155"/>
          <w:sz w:val="19"/>
        </w:rPr>
        <w:t>infrastructure and the Transgrid substation.</w:t>
      </w:r>
    </w:p>
    <w:p>
      <w:pPr>
        <w:spacing w:before="40" w:after="80" w:line="276" w:lineRule="auto"/>
      </w:pPr>
      <w:r>
        <w:rPr>
          <w:color w:val="334155"/>
          <w:sz w:val="19"/>
        </w:rPr>
        <w:t>Additionally, road access is available via the</w:t>
      </w:r>
    </w:p>
    <w:p>
      <w:pPr>
        <w:spacing w:before="40" w:after="80" w:line="276" w:lineRule="auto"/>
      </w:pPr>
      <w:r>
        <w:rPr>
          <w:color w:val="334155"/>
          <w:sz w:val="19"/>
        </w:rPr>
        <w:t>existing local road network, with potential for</w:t>
      </w:r>
    </w:p>
    <w:p>
      <w:pPr>
        <w:spacing w:before="40" w:after="80" w:line="276" w:lineRule="auto"/>
      </w:pPr>
      <w:r>
        <w:rPr>
          <w:color w:val="334155"/>
          <w:sz w:val="19"/>
        </w:rPr>
        <w:t>future upgrades to support new land uses.</w:t>
      </w:r>
    </w:p>
    <w:p>
      <w:pPr>
        <w:spacing w:before="40" w:after="80" w:line="276" w:lineRule="auto"/>
      </w:pPr>
      <w:r>
        <w:rPr>
          <w:color w:val="334155"/>
          <w:sz w:val="19"/>
        </w:rPr>
        <w:t>Water and wastewater servicing requires further</w:t>
      </w:r>
    </w:p>
    <w:p>
      <w:pPr>
        <w:spacing w:before="40" w:after="80" w:line="276" w:lineRule="auto"/>
      </w:pPr>
      <w:r>
        <w:rPr>
          <w:color w:val="334155"/>
          <w:sz w:val="19"/>
        </w:rPr>
        <w:t>investigation. Bush fire and biodiversity interface</w:t>
      </w:r>
    </w:p>
    <w:p>
      <w:pPr>
        <w:spacing w:before="40" w:after="80" w:line="276" w:lineRule="auto"/>
      </w:pPr>
      <w:r>
        <w:rPr>
          <w:color w:val="334155"/>
          <w:sz w:val="19"/>
        </w:rPr>
        <w:t>management will be required along the western</w:t>
      </w:r>
    </w:p>
    <w:p>
      <w:pPr>
        <w:spacing w:before="40" w:after="80" w:line="276" w:lineRule="auto"/>
      </w:pPr>
      <w:r>
        <w:rPr>
          <w:color w:val="334155"/>
          <w:sz w:val="19"/>
        </w:rPr>
        <w:t>edge.</w:t>
      </w:r>
    </w:p>
    <w:p>
      <w:pPr>
        <w:spacing w:before="40" w:after="80" w:line="276" w:lineRule="auto"/>
      </w:pPr>
      <w:r>
        <w:rPr>
          <w:color w:val="334155"/>
          <w:sz w:val="19"/>
        </w:rPr>
        <w:t>Barnsley West</w:t>
      </w:r>
    </w:p>
    <w:p>
      <w:pPr>
        <w:spacing w:before="40" w:after="80" w:line="276" w:lineRule="auto"/>
      </w:pPr>
      <w:r>
        <w:rPr>
          <w:color w:val="334155"/>
          <w:sz w:val="19"/>
        </w:rPr>
        <w:t>Development of previously undisturbed areas</w:t>
      </w:r>
    </w:p>
    <w:p>
      <w:pPr>
        <w:spacing w:before="40" w:after="80" w:line="276" w:lineRule="auto"/>
      </w:pPr>
      <w:r>
        <w:rPr>
          <w:color w:val="334155"/>
          <w:sz w:val="19"/>
        </w:rPr>
        <w:t>adjacent to existing residential in Barnsley is</w:t>
      </w:r>
    </w:p>
    <w:p>
      <w:pPr>
        <w:spacing w:before="40" w:after="80" w:line="276" w:lineRule="auto"/>
      </w:pPr>
      <w:r>
        <w:rPr>
          <w:color w:val="334155"/>
          <w:sz w:val="19"/>
        </w:rPr>
        <w:t>contingent upon assessment of transmission</w:t>
      </w:r>
    </w:p>
    <w:p>
      <w:pPr>
        <w:spacing w:before="40" w:after="80" w:line="276" w:lineRule="auto"/>
      </w:pPr>
      <w:r>
        <w:rPr>
          <w:color w:val="334155"/>
          <w:sz w:val="19"/>
        </w:rPr>
        <w:t>easements, servicing viability and biodiversity</w:t>
      </w:r>
    </w:p>
    <w:p>
      <w:pPr>
        <w:spacing w:before="40" w:after="80" w:line="276" w:lineRule="auto"/>
      </w:pPr>
      <w:r>
        <w:rPr>
          <w:color w:val="334155"/>
          <w:sz w:val="19"/>
        </w:rPr>
        <w:t>values.</w:t>
      </w:r>
    </w:p>
    <w:p>
      <w:pPr>
        <w:spacing w:before="40" w:after="80" w:line="276" w:lineRule="auto"/>
      </w:pPr>
      <w:r>
        <w:rPr>
          <w:color w:val="334155"/>
          <w:sz w:val="19"/>
        </w:rPr>
        <w:t>West Lake</w:t>
      </w:r>
    </w:p>
    <w:p>
      <w:pPr>
        <w:spacing w:before="40" w:after="80" w:line="276" w:lineRule="auto"/>
      </w:pPr>
      <w:r>
        <w:rPr>
          <w:color w:val="334155"/>
          <w:sz w:val="19"/>
        </w:rPr>
        <w:t>The West Lake area offers excellent water quality</w:t>
      </w:r>
    </w:p>
    <w:p>
      <w:pPr>
        <w:spacing w:before="40" w:after="80" w:line="276" w:lineRule="auto"/>
      </w:pPr>
      <w:r>
        <w:rPr>
          <w:color w:val="334155"/>
          <w:sz w:val="19"/>
        </w:rPr>
        <w:t>suitable for recreational use (subject to ongoing</w:t>
      </w:r>
    </w:p>
    <w:p>
      <w:pPr>
        <w:spacing w:before="40" w:after="80" w:line="276" w:lineRule="auto"/>
      </w:pPr>
      <w:r>
        <w:rPr>
          <w:color w:val="334155"/>
          <w:sz w:val="19"/>
        </w:rPr>
        <w:t>monitoring). Rehabilitation around the lake has</w:t>
      </w:r>
    </w:p>
    <w:p>
      <w:pPr>
        <w:spacing w:before="40" w:after="80" w:line="276" w:lineRule="auto"/>
      </w:pPr>
      <w:r>
        <w:rPr>
          <w:color w:val="334155"/>
          <w:sz w:val="19"/>
        </w:rPr>
        <w:t>been progressively signed off, with approximately</w:t>
      </w:r>
    </w:p>
    <w:p>
      <w:pPr>
        <w:spacing w:before="40" w:after="80" w:line="276" w:lineRule="auto"/>
      </w:pPr>
      <w:r>
        <w:rPr>
          <w:color w:val="334155"/>
          <w:sz w:val="19"/>
        </w:rPr>
        <w:t>one-third approved and the balance targeted</w:t>
      </w:r>
    </w:p>
    <w:p>
      <w:pPr>
        <w:spacing w:before="40" w:after="80" w:line="276" w:lineRule="auto"/>
      </w:pPr>
      <w:r>
        <w:rPr>
          <w:color w:val="334155"/>
          <w:sz w:val="19"/>
        </w:rPr>
        <w:t>for completion in 2026, indicating suitability for</w:t>
      </w:r>
    </w:p>
    <w:p>
      <w:pPr>
        <w:spacing w:before="40" w:after="80" w:line="276" w:lineRule="auto"/>
      </w:pPr>
      <w:r>
        <w:rPr>
          <w:color w:val="334155"/>
          <w:sz w:val="19"/>
        </w:rPr>
        <w:t>recreational contact.</w:t>
      </w:r>
    </w:p>
    <w:p>
      <w:pPr>
        <w:spacing w:before="40" w:after="80" w:line="276" w:lineRule="auto"/>
      </w:pPr>
      <w:r>
        <w:rPr>
          <w:color w:val="334155"/>
          <w:sz w:val="19"/>
        </w:rPr>
        <w:t>Existing walking tracks and connection</w:t>
      </w:r>
    </w:p>
    <w:p>
      <w:pPr>
        <w:spacing w:before="40" w:after="80" w:line="276" w:lineRule="auto"/>
      </w:pPr>
      <w:r>
        <w:rPr>
          <w:color w:val="334155"/>
          <w:sz w:val="19"/>
        </w:rPr>
        <w:t>opportunities to Sugarloaf State Conservation</w:t>
      </w:r>
    </w:p>
    <w:p>
      <w:pPr>
        <w:spacing w:before="40" w:after="80" w:line="276" w:lineRule="auto"/>
      </w:pPr>
      <w:r>
        <w:rPr>
          <w:color w:val="334155"/>
          <w:sz w:val="19"/>
        </w:rPr>
        <w:t>Area further enhance the Precinct’s potential for</w:t>
      </w:r>
    </w:p>
    <w:p>
      <w:pPr>
        <w:spacing w:before="40" w:after="80" w:line="276" w:lineRule="auto"/>
      </w:pPr>
      <w:r>
        <w:rPr>
          <w:color w:val="334155"/>
          <w:sz w:val="19"/>
        </w:rPr>
        <w:t>tourism and recreation uses that are compatible</w:t>
      </w:r>
    </w:p>
    <w:p>
      <w:pPr>
        <w:spacing w:before="40" w:after="80" w:line="276" w:lineRule="auto"/>
      </w:pPr>
      <w:r>
        <w:rPr>
          <w:color w:val="334155"/>
          <w:sz w:val="19"/>
        </w:rPr>
        <w:t>with the ecological and landscape values of the</w:t>
      </w:r>
    </w:p>
    <w:p>
      <w:pPr>
        <w:spacing w:before="40" w:after="80" w:line="276" w:lineRule="auto"/>
      </w:pPr>
      <w:r>
        <w:rPr>
          <w:color w:val="334155"/>
          <w:sz w:val="19"/>
        </w:rPr>
        <w:t>area. Basic servicing for visitor amenities would be</w:t>
      </w:r>
    </w:p>
    <w:p>
      <w:pPr>
        <w:spacing w:before="40" w:after="80" w:line="276" w:lineRule="auto"/>
      </w:pPr>
      <w:r>
        <w:rPr>
          <w:color w:val="334155"/>
          <w:sz w:val="19"/>
        </w:rPr>
        <w:t>required, while the western edge of the lake area</w:t>
      </w:r>
    </w:p>
    <w:p>
      <w:pPr>
        <w:spacing w:before="40" w:after="80" w:line="276" w:lineRule="auto"/>
      </w:pPr>
      <w:r>
        <w:rPr>
          <w:color w:val="334155"/>
          <w:sz w:val="19"/>
        </w:rPr>
        <w:t>presents ecological constraints including</w:t>
      </w:r>
    </w:p>
    <w:p>
      <w:pPr>
        <w:spacing w:before="40" w:after="80" w:line="276" w:lineRule="auto"/>
      </w:pPr>
      <w:r>
        <w:rPr>
          <w:color w:val="334155"/>
          <w:sz w:val="19"/>
        </w:rPr>
        <w:t>biodiversity corridors and remnant vegetation that</w:t>
      </w:r>
    </w:p>
    <w:p>
      <w:pPr>
        <w:spacing w:before="40" w:after="80" w:line="276" w:lineRule="auto"/>
      </w:pPr>
      <w:r>
        <w:rPr>
          <w:color w:val="334155"/>
          <w:sz w:val="19"/>
        </w:rPr>
        <w:t>define the extent of any development boundaries.</w:t>
      </w:r>
    </w:p>
    <w:p>
      <w:pPr>
        <w:spacing w:before="40" w:after="80" w:line="276" w:lineRule="auto"/>
      </w:pPr>
      <w:r>
        <w:rPr>
          <w:color w:val="334155"/>
          <w:sz w:val="19"/>
        </w:rPr>
        <w:t>Future development around the lake must</w:t>
      </w:r>
    </w:p>
    <w:p>
      <w:pPr>
        <w:spacing w:before="40" w:after="80" w:line="276" w:lineRule="auto"/>
      </w:pPr>
      <w:r>
        <w:rPr>
          <w:color w:val="334155"/>
          <w:sz w:val="19"/>
        </w:rPr>
        <w:t>maintain water quality through appropriate</w:t>
      </w:r>
    </w:p>
    <w:p>
      <w:pPr>
        <w:spacing w:before="40" w:after="80" w:line="276" w:lineRule="auto"/>
      </w:pPr>
      <w:r>
        <w:rPr>
          <w:color w:val="334155"/>
          <w:sz w:val="19"/>
        </w:rPr>
        <w:t>catchment management measures.</w:t>
      </w:r>
    </w:p>
    <w:p>
      <w:pPr>
        <w:spacing w:before="40" w:after="80" w:line="276" w:lineRule="auto"/>
      </w:pPr>
      <w:r>
        <w:rPr>
          <w:color w:val="334155"/>
          <w:sz w:val="19"/>
        </w:rPr>
        <w:t>29</w:t>
      </w:r>
    </w:p>
    <w:p>
      <w:pPr>
        <w:spacing w:before="40" w:after="80" w:line="276" w:lineRule="auto"/>
      </w:pPr>
      <w:r>
        <w:rPr>
          <w:color w:val="334155"/>
          <w:sz w:val="19"/>
        </w:rPr>
        <w:t>4  Structure plan and sub-precinct framework</w:t>
      </w:r>
    </w:p>
    <w:p>
      <w:pPr>
        <w:pStyle w:val="Heading3"/>
        <w:keepNext/>
        <w:spacing w:before="160" w:after="40"/>
      </w:pPr>
      <w:r>
        <w:rPr>
          <w:b/>
          <w:color w:val="334155"/>
        </w:rPr>
        <w:t>Page 30</w:t>
      </w:r>
    </w:p>
    <w:p>
      <w:pPr>
        <w:spacing w:before="40" w:after="80" w:line="276" w:lineRule="auto"/>
      </w:pPr>
      <w:r>
        <w:rPr>
          <w:color w:val="334155"/>
          <w:sz w:val="19"/>
        </w:rPr>
        <w:t>Teralba</w:t>
      </w:r>
    </w:p>
    <w:p>
      <w:pPr>
        <w:spacing w:before="40" w:after="80" w:line="276" w:lineRule="auto"/>
      </w:pPr>
      <w:r>
        <w:rPr>
          <w:color w:val="334155"/>
          <w:sz w:val="19"/>
        </w:rPr>
        <w:t>Teralba sub-precinct is strategically located</w:t>
      </w:r>
    </w:p>
    <w:p>
      <w:pPr>
        <w:spacing w:before="40" w:after="80" w:line="276" w:lineRule="auto"/>
      </w:pPr>
      <w:r>
        <w:rPr>
          <w:color w:val="334155"/>
          <w:sz w:val="19"/>
        </w:rPr>
        <w:t>between the Teralba and Booragul train stations.</w:t>
      </w:r>
    </w:p>
    <w:p>
      <w:pPr>
        <w:spacing w:before="40" w:after="80" w:line="276" w:lineRule="auto"/>
      </w:pPr>
      <w:r>
        <w:rPr>
          <w:color w:val="334155"/>
          <w:sz w:val="19"/>
        </w:rPr>
        <w:t>Proximity to existing utility networks reduces</w:t>
      </w:r>
    </w:p>
    <w:p>
      <w:pPr>
        <w:spacing w:before="40" w:after="80" w:line="276" w:lineRule="auto"/>
      </w:pPr>
      <w:r>
        <w:rPr>
          <w:color w:val="334155"/>
          <w:sz w:val="19"/>
        </w:rPr>
        <w:t>servicing lead times and upfront infrastructure</w:t>
      </w:r>
    </w:p>
    <w:p>
      <w:pPr>
        <w:spacing w:before="40" w:after="80" w:line="276" w:lineRule="auto"/>
      </w:pPr>
      <w:r>
        <w:rPr>
          <w:color w:val="334155"/>
          <w:sz w:val="19"/>
        </w:rPr>
        <w:t>costs. Established road access and adjacency</w:t>
      </w:r>
    </w:p>
    <w:p>
      <w:pPr>
        <w:spacing w:before="40" w:after="80" w:line="276" w:lineRule="auto"/>
      </w:pPr>
      <w:r>
        <w:rPr>
          <w:color w:val="334155"/>
          <w:sz w:val="19"/>
        </w:rPr>
        <w:t>to nearby rail stations, residential communities</w:t>
      </w:r>
    </w:p>
    <w:p>
      <w:pPr>
        <w:spacing w:before="40" w:after="80" w:line="276" w:lineRule="auto"/>
      </w:pPr>
      <w:r>
        <w:rPr>
          <w:color w:val="334155"/>
          <w:sz w:val="19"/>
        </w:rPr>
        <w:t>and employment areas provide a ready platform</w:t>
      </w:r>
    </w:p>
    <w:p>
      <w:pPr>
        <w:spacing w:before="40" w:after="80" w:line="276" w:lineRule="auto"/>
      </w:pPr>
      <w:r>
        <w:rPr>
          <w:color w:val="334155"/>
          <w:sz w:val="19"/>
        </w:rPr>
        <w:t>for early development. Together, these attributes</w:t>
      </w:r>
    </w:p>
    <w:p>
      <w:pPr>
        <w:spacing w:before="40" w:after="80" w:line="276" w:lineRule="auto"/>
      </w:pPr>
      <w:r>
        <w:rPr>
          <w:color w:val="334155"/>
          <w:sz w:val="19"/>
        </w:rPr>
        <w:t>present a compelling opportunity to deliver</w:t>
      </w:r>
    </w:p>
    <w:p>
      <w:pPr>
        <w:spacing w:before="40" w:after="80" w:line="276" w:lineRule="auto"/>
      </w:pPr>
      <w:r>
        <w:rPr>
          <w:color w:val="334155"/>
          <w:sz w:val="19"/>
        </w:rPr>
        <w:t>residential outcomes that complement the</w:t>
      </w:r>
    </w:p>
    <w:p>
      <w:pPr>
        <w:spacing w:before="40" w:after="80" w:line="276" w:lineRule="auto"/>
      </w:pPr>
      <w:r>
        <w:rPr>
          <w:color w:val="334155"/>
          <w:sz w:val="19"/>
        </w:rPr>
        <w:t>surrounding context and contribute to the</w:t>
      </w:r>
    </w:p>
    <w:p>
      <w:pPr>
        <w:spacing w:before="40" w:after="80" w:line="276" w:lineRule="auto"/>
      </w:pPr>
      <w:r>
        <w:rPr>
          <w:color w:val="334155"/>
          <w:sz w:val="19"/>
        </w:rPr>
        <w:t>Precinct’s early activation and investment</w:t>
      </w:r>
    </w:p>
    <w:p>
      <w:pPr>
        <w:spacing w:before="40" w:after="80" w:line="276" w:lineRule="auto"/>
      </w:pPr>
      <w:r>
        <w:rPr>
          <w:color w:val="334155"/>
          <w:sz w:val="19"/>
        </w:rPr>
        <w:t>momentum.</w:t>
      </w:r>
    </w:p>
    <w:p>
      <w:pPr>
        <w:spacing w:before="40" w:after="80" w:line="276" w:lineRule="auto"/>
      </w:pPr>
      <w:r>
        <w:rPr>
          <w:color w:val="334155"/>
          <w:sz w:val="19"/>
        </w:rPr>
        <w:t>Medium-term activation</w:t>
      </w:r>
    </w:p>
    <w:p>
      <w:pPr>
        <w:spacing w:before="40" w:after="80" w:line="276" w:lineRule="auto"/>
      </w:pPr>
      <w:r>
        <w:rPr>
          <w:color w:val="334155"/>
          <w:sz w:val="19"/>
        </w:rPr>
        <w:t>Medium-term activation areas require the delivery</w:t>
      </w:r>
    </w:p>
    <w:p>
      <w:pPr>
        <w:spacing w:before="40" w:after="80" w:line="276" w:lineRule="auto"/>
      </w:pPr>
      <w:r>
        <w:rPr>
          <w:color w:val="334155"/>
          <w:sz w:val="19"/>
        </w:rPr>
        <w:t>of enabling infrastructure, resolution of key</w:t>
      </w:r>
    </w:p>
    <w:p>
      <w:pPr>
        <w:spacing w:before="40" w:after="80" w:line="276" w:lineRule="auto"/>
      </w:pPr>
      <w:r>
        <w:rPr>
          <w:color w:val="334155"/>
          <w:sz w:val="19"/>
        </w:rPr>
        <w:t>transport and access constraints and progressive</w:t>
      </w:r>
    </w:p>
    <w:p>
      <w:pPr>
        <w:spacing w:before="40" w:after="80" w:line="276" w:lineRule="auto"/>
      </w:pPr>
      <w:r>
        <w:rPr>
          <w:color w:val="334155"/>
          <w:sz w:val="19"/>
        </w:rPr>
        <w:t>risk reduction through ongoing rehabilitation and</w:t>
      </w:r>
    </w:p>
    <w:p>
      <w:pPr>
        <w:spacing w:before="40" w:after="80" w:line="276" w:lineRule="auto"/>
      </w:pPr>
      <w:r>
        <w:rPr>
          <w:color w:val="334155"/>
          <w:sz w:val="19"/>
        </w:rPr>
        <w:t>technical investigations. These areas represent the</w:t>
      </w:r>
    </w:p>
    <w:p>
      <w:pPr>
        <w:spacing w:before="40" w:after="80" w:line="276" w:lineRule="auto"/>
      </w:pPr>
      <w:r>
        <w:rPr>
          <w:color w:val="334155"/>
          <w:sz w:val="19"/>
        </w:rPr>
        <w:t>core employment-generating lands of the Precinct</w:t>
      </w:r>
    </w:p>
    <w:p>
      <w:pPr>
        <w:spacing w:before="40" w:after="80" w:line="276" w:lineRule="auto"/>
      </w:pPr>
      <w:r>
        <w:rPr>
          <w:color w:val="334155"/>
          <w:sz w:val="19"/>
        </w:rPr>
        <w:t>and will require coordinated investment in roads,</w:t>
      </w:r>
    </w:p>
    <w:p>
      <w:pPr>
        <w:spacing w:before="40" w:after="80" w:line="276" w:lineRule="auto"/>
      </w:pPr>
      <w:r>
        <w:rPr>
          <w:color w:val="334155"/>
          <w:sz w:val="19"/>
        </w:rPr>
        <w:t>utilities and potentially rail infrastructure.</w:t>
      </w:r>
    </w:p>
    <w:p>
      <w:pPr>
        <w:spacing w:before="40" w:after="80" w:line="276" w:lineRule="auto"/>
      </w:pPr>
      <w:r>
        <w:rPr>
          <w:color w:val="334155"/>
          <w:sz w:val="19"/>
        </w:rPr>
        <w:t>Progressive development toward the southern and</w:t>
      </w:r>
    </w:p>
    <w:p>
      <w:pPr>
        <w:spacing w:before="40" w:after="80" w:line="276" w:lineRule="auto"/>
      </w:pPr>
      <w:r>
        <w:rPr>
          <w:color w:val="334155"/>
          <w:sz w:val="19"/>
        </w:rPr>
        <w:t>more constrained areas will require coordinated</w:t>
      </w:r>
    </w:p>
    <w:p>
      <w:pPr>
        <w:spacing w:before="40" w:after="80" w:line="276" w:lineRule="auto"/>
      </w:pPr>
      <w:r>
        <w:rPr>
          <w:color w:val="334155"/>
          <w:sz w:val="19"/>
        </w:rPr>
        <w:t>upgrades to transport, utilities and Precinct scale</w:t>
      </w:r>
    </w:p>
    <w:p>
      <w:pPr>
        <w:spacing w:before="40" w:after="80" w:line="276" w:lineRule="auto"/>
      </w:pPr>
      <w:r>
        <w:rPr>
          <w:color w:val="334155"/>
          <w:sz w:val="19"/>
        </w:rPr>
        <w:t>water cycle management. This includes delivery of</w:t>
      </w:r>
    </w:p>
    <w:p>
      <w:pPr>
        <w:spacing w:before="40" w:after="80" w:line="276" w:lineRule="auto"/>
      </w:pPr>
      <w:r>
        <w:rPr>
          <w:color w:val="334155"/>
          <w:sz w:val="19"/>
        </w:rPr>
        <w:t>wastewater infrastructure (currently absent across</w:t>
      </w:r>
    </w:p>
    <w:p>
      <w:pPr>
        <w:spacing w:before="40" w:after="80" w:line="276" w:lineRule="auto"/>
      </w:pPr>
      <w:r>
        <w:rPr>
          <w:color w:val="334155"/>
          <w:sz w:val="19"/>
        </w:rPr>
        <w:t>much of the Precinct), expansion of water networks</w:t>
      </w:r>
    </w:p>
    <w:p>
      <w:pPr>
        <w:spacing w:before="40" w:after="80" w:line="276" w:lineRule="auto"/>
      </w:pPr>
      <w:r>
        <w:rPr>
          <w:color w:val="334155"/>
          <w:sz w:val="19"/>
        </w:rPr>
        <w:t>and potential major electricity augmentation or</w:t>
      </w:r>
    </w:p>
    <w:p>
      <w:pPr>
        <w:spacing w:before="40" w:after="80" w:line="276" w:lineRule="auto"/>
      </w:pPr>
      <w:r>
        <w:rPr>
          <w:color w:val="334155"/>
          <w:sz w:val="19"/>
        </w:rPr>
        <w:t>new substations where demand thresholds are</w:t>
      </w:r>
    </w:p>
    <w:p>
      <w:pPr>
        <w:spacing w:before="40" w:after="80" w:line="276" w:lineRule="auto"/>
      </w:pPr>
      <w:r>
        <w:rPr>
          <w:color w:val="334155"/>
          <w:sz w:val="19"/>
        </w:rPr>
        <w:t>exceeded. Concurrently, transport upgrades,</w:t>
      </w:r>
    </w:p>
    <w:p>
      <w:pPr>
        <w:spacing w:before="40" w:after="80" w:line="276" w:lineRule="auto"/>
      </w:pPr>
      <w:r>
        <w:rPr>
          <w:color w:val="334155"/>
          <w:sz w:val="19"/>
        </w:rPr>
        <w:t>including intersection capacity improvements,</w:t>
      </w:r>
    </w:p>
    <w:p>
      <w:pPr>
        <w:spacing w:before="40" w:after="80" w:line="276" w:lineRule="auto"/>
      </w:pPr>
      <w:r>
        <w:rPr>
          <w:color w:val="334155"/>
          <w:sz w:val="19"/>
        </w:rPr>
        <w:t>new internal road links and potential additional</w:t>
      </w:r>
    </w:p>
    <w:p>
      <w:pPr>
        <w:spacing w:before="40" w:after="80" w:line="276" w:lineRule="auto"/>
      </w:pPr>
      <w:r>
        <w:rPr>
          <w:color w:val="334155"/>
          <w:sz w:val="19"/>
        </w:rPr>
        <w:t>crossings of Cockle Creek, must be staged</w:t>
      </w:r>
    </w:p>
    <w:p>
      <w:pPr>
        <w:spacing w:before="40" w:after="80" w:line="276" w:lineRule="auto"/>
      </w:pPr>
      <w:r>
        <w:rPr>
          <w:color w:val="334155"/>
          <w:sz w:val="19"/>
        </w:rPr>
        <w:t>alongside development to maintain network</w:t>
      </w:r>
    </w:p>
    <w:p>
      <w:pPr>
        <w:spacing w:before="40" w:after="80" w:line="276" w:lineRule="auto"/>
      </w:pPr>
      <w:r>
        <w:rPr>
          <w:color w:val="334155"/>
          <w:sz w:val="19"/>
        </w:rPr>
        <w:t>performance and resilience.</w:t>
      </w:r>
    </w:p>
    <w:p>
      <w:pPr>
        <w:spacing w:before="40" w:after="80" w:line="276" w:lineRule="auto"/>
      </w:pPr>
      <w:r>
        <w:rPr>
          <w:color w:val="334155"/>
          <w:sz w:val="19"/>
        </w:rPr>
        <w:t>Cockle Creek and Killingworth</w:t>
      </w:r>
    </w:p>
    <w:p>
      <w:pPr>
        <w:spacing w:before="40" w:after="80" w:line="276" w:lineRule="auto"/>
      </w:pPr>
      <w:r>
        <w:rPr>
          <w:color w:val="334155"/>
          <w:sz w:val="19"/>
        </w:rPr>
        <w:t>residual land</w:t>
      </w:r>
    </w:p>
    <w:p>
      <w:pPr>
        <w:spacing w:before="40" w:after="80" w:line="276" w:lineRule="auto"/>
      </w:pPr>
      <w:r>
        <w:rPr>
          <w:color w:val="334155"/>
          <w:sz w:val="19"/>
        </w:rPr>
        <w:t>Previously undisturbed areas outside the TSF and</w:t>
      </w:r>
    </w:p>
    <w:p>
      <w:pPr>
        <w:spacing w:before="40" w:after="80" w:line="276" w:lineRule="auto"/>
      </w:pPr>
      <w:r>
        <w:rPr>
          <w:color w:val="334155"/>
          <w:sz w:val="19"/>
        </w:rPr>
        <w:t>dam break inundation zone with existing access to</w:t>
      </w:r>
    </w:p>
    <w:p>
      <w:pPr>
        <w:spacing w:before="40" w:after="80" w:line="276" w:lineRule="auto"/>
      </w:pPr>
      <w:r>
        <w:rPr>
          <w:color w:val="334155"/>
          <w:sz w:val="19"/>
        </w:rPr>
        <w:t>the regional road network. Medium term activation</w:t>
      </w:r>
    </w:p>
    <w:p>
      <w:pPr>
        <w:spacing w:before="40" w:after="80" w:line="276" w:lineRule="auto"/>
      </w:pPr>
      <w:r>
        <w:rPr>
          <w:color w:val="334155"/>
          <w:sz w:val="19"/>
        </w:rPr>
        <w:t>is subject to biodiversity investigations, geotechnical</w:t>
      </w:r>
    </w:p>
    <w:p>
      <w:pPr>
        <w:spacing w:before="40" w:after="80" w:line="276" w:lineRule="auto"/>
      </w:pPr>
      <w:r>
        <w:rPr>
          <w:color w:val="334155"/>
          <w:sz w:val="19"/>
        </w:rPr>
        <w:t>investigation and flood risk assessment.</w:t>
      </w:r>
    </w:p>
    <w:p>
      <w:pPr>
        <w:spacing w:before="40" w:after="80" w:line="276" w:lineRule="auto"/>
      </w:pPr>
      <w:r>
        <w:rPr>
          <w:color w:val="334155"/>
          <w:sz w:val="19"/>
        </w:rPr>
        <w:t>Medium term activation in Cockle Creek sub-</w:t>
      </w:r>
    </w:p>
    <w:p>
      <w:pPr>
        <w:spacing w:before="40" w:after="80" w:line="276" w:lineRule="auto"/>
      </w:pPr>
      <w:r>
        <w:rPr>
          <w:color w:val="334155"/>
          <w:sz w:val="19"/>
        </w:rPr>
        <w:t>precinct requires confirmation that development</w:t>
      </w:r>
    </w:p>
    <w:p>
      <w:pPr>
        <w:spacing w:before="40" w:after="80" w:line="276" w:lineRule="auto"/>
      </w:pPr>
      <w:r>
        <w:rPr>
          <w:color w:val="334155"/>
          <w:sz w:val="19"/>
        </w:rPr>
        <w:t>will not compromise TSF rehabilitation or increase</w:t>
      </w:r>
    </w:p>
    <w:p>
      <w:pPr>
        <w:spacing w:before="40" w:after="80" w:line="276" w:lineRule="auto"/>
      </w:pPr>
      <w:r>
        <w:rPr>
          <w:color w:val="334155"/>
          <w:sz w:val="19"/>
        </w:rPr>
        <w:t>risk within the dam break inundation zone.</w:t>
      </w:r>
    </w:p>
    <w:p>
      <w:pPr>
        <w:spacing w:before="40" w:after="80" w:line="276" w:lineRule="auto"/>
      </w:pPr>
      <w:r>
        <w:rPr>
          <w:color w:val="334155"/>
          <w:sz w:val="19"/>
        </w:rPr>
        <w:t>Long-term activation</w:t>
      </w:r>
    </w:p>
    <w:p>
      <w:pPr>
        <w:spacing w:before="40" w:after="80" w:line="276" w:lineRule="auto"/>
      </w:pPr>
      <w:r>
        <w:rPr>
          <w:color w:val="334155"/>
          <w:sz w:val="19"/>
        </w:rPr>
        <w:t>Release of areas identified for long-term</w:t>
      </w:r>
    </w:p>
    <w:p>
      <w:pPr>
        <w:spacing w:before="40" w:after="80" w:line="276" w:lineRule="auto"/>
      </w:pPr>
      <w:r>
        <w:rPr>
          <w:color w:val="334155"/>
          <w:sz w:val="19"/>
        </w:rPr>
        <w:t>development potential for productive use is</w:t>
      </w:r>
    </w:p>
    <w:p>
      <w:pPr>
        <w:spacing w:before="40" w:after="80" w:line="276" w:lineRule="auto"/>
      </w:pPr>
      <w:r>
        <w:rPr>
          <w:color w:val="334155"/>
          <w:sz w:val="19"/>
        </w:rPr>
        <w:t>contingent upon the completion of critical</w:t>
      </w:r>
    </w:p>
    <w:p>
      <w:pPr>
        <w:spacing w:before="40" w:after="80" w:line="276" w:lineRule="auto"/>
      </w:pPr>
      <w:r>
        <w:rPr>
          <w:color w:val="334155"/>
          <w:sz w:val="19"/>
        </w:rPr>
        <w:t>investigations, successful risk reduction through</w:t>
      </w:r>
    </w:p>
    <w:p>
      <w:pPr>
        <w:spacing w:before="40" w:after="80" w:line="276" w:lineRule="auto"/>
      </w:pPr>
      <w:r>
        <w:rPr>
          <w:color w:val="334155"/>
          <w:sz w:val="19"/>
        </w:rPr>
        <w:t>ongoing rehabilitation and potentially major</w:t>
      </w:r>
    </w:p>
    <w:p>
      <w:pPr>
        <w:spacing w:before="40" w:after="80" w:line="276" w:lineRule="auto"/>
      </w:pPr>
      <w:r>
        <w:rPr>
          <w:color w:val="334155"/>
          <w:sz w:val="19"/>
        </w:rPr>
        <w:t>infrastructure interventions.</w:t>
      </w:r>
    </w:p>
    <w:p>
      <w:pPr>
        <w:spacing w:before="40" w:after="80" w:line="276" w:lineRule="auto"/>
      </w:pPr>
      <w:r>
        <w:rPr>
          <w:color w:val="334155"/>
          <w:sz w:val="19"/>
        </w:rPr>
        <w:t>Cockle Creek (TSF and dam break</w:t>
      </w:r>
    </w:p>
    <w:p>
      <w:pPr>
        <w:spacing w:before="40" w:after="80" w:line="276" w:lineRule="auto"/>
      </w:pPr>
      <w:r>
        <w:rPr>
          <w:color w:val="334155"/>
          <w:sz w:val="19"/>
        </w:rPr>
        <w:t>inundation zone)</w:t>
      </w:r>
    </w:p>
    <w:p>
      <w:pPr>
        <w:spacing w:before="40" w:after="80" w:line="276" w:lineRule="auto"/>
      </w:pPr>
      <w:r>
        <w:rPr>
          <w:color w:val="334155"/>
          <w:sz w:val="19"/>
        </w:rPr>
        <w:t>Development of the TSF area is contingent upon</w:t>
      </w:r>
    </w:p>
    <w:p>
      <w:pPr>
        <w:spacing w:before="40" w:after="80" w:line="276" w:lineRule="auto"/>
      </w:pPr>
      <w:r>
        <w:rPr>
          <w:color w:val="334155"/>
          <w:sz w:val="19"/>
        </w:rPr>
        <w:t>several key prerequisites, including the completion</w:t>
      </w:r>
    </w:p>
    <w:p>
      <w:pPr>
        <w:spacing w:before="40" w:after="80" w:line="276" w:lineRule="auto"/>
      </w:pPr>
      <w:r>
        <w:rPr>
          <w:color w:val="334155"/>
          <w:sz w:val="19"/>
        </w:rPr>
        <w:t>and regulatory acceptance of long-term dewatering</w:t>
      </w:r>
    </w:p>
    <w:p>
      <w:pPr>
        <w:spacing w:before="40" w:after="80" w:line="276" w:lineRule="auto"/>
      </w:pPr>
      <w:r>
        <w:rPr>
          <w:color w:val="334155"/>
          <w:sz w:val="19"/>
        </w:rPr>
        <w:t>and stabilisation, together with an updated dam</w:t>
      </w:r>
    </w:p>
    <w:p>
      <w:pPr>
        <w:spacing w:before="40" w:after="80" w:line="276" w:lineRule="auto"/>
      </w:pPr>
      <w:r>
        <w:rPr>
          <w:color w:val="334155"/>
          <w:sz w:val="19"/>
        </w:rPr>
        <w:t>break failure impact assessment reflecting current</w:t>
      </w:r>
    </w:p>
    <w:p>
      <w:pPr>
        <w:spacing w:before="40" w:after="80" w:line="276" w:lineRule="auto"/>
      </w:pPr>
      <w:r>
        <w:rPr>
          <w:color w:val="334155"/>
          <w:sz w:val="19"/>
        </w:rPr>
        <w:t>capped conditions.</w:t>
      </w:r>
    </w:p>
    <w:p>
      <w:pPr>
        <w:spacing w:before="40" w:after="80" w:line="276" w:lineRule="auto"/>
      </w:pPr>
      <w:r>
        <w:rPr>
          <w:color w:val="334155"/>
          <w:sz w:val="19"/>
        </w:rPr>
        <w:t>As a declared dam, development in both the TSF</w:t>
      </w:r>
    </w:p>
    <w:p>
      <w:pPr>
        <w:spacing w:before="40" w:after="80" w:line="276" w:lineRule="auto"/>
      </w:pPr>
      <w:r>
        <w:rPr>
          <w:color w:val="334155"/>
          <w:sz w:val="19"/>
        </w:rPr>
        <w:t>and dam break inundation zone remain limited to</w:t>
      </w:r>
    </w:p>
    <w:p>
      <w:pPr>
        <w:spacing w:before="40" w:after="80" w:line="276" w:lineRule="auto"/>
      </w:pPr>
      <w:r>
        <w:rPr>
          <w:color w:val="334155"/>
          <w:sz w:val="19"/>
        </w:rPr>
        <w:t>land uses that do not increase the risk to life or</w:t>
      </w:r>
    </w:p>
    <w:p>
      <w:pPr>
        <w:spacing w:before="40" w:after="80" w:line="276" w:lineRule="auto"/>
      </w:pPr>
      <w:r>
        <w:rPr>
          <w:color w:val="334155"/>
          <w:sz w:val="19"/>
        </w:rPr>
        <w:t>undermine the structural stability of the TSF and</w:t>
      </w:r>
    </w:p>
    <w:p>
      <w:pPr>
        <w:spacing w:before="40" w:after="80" w:line="276" w:lineRule="auto"/>
      </w:pPr>
      <w:r>
        <w:rPr>
          <w:color w:val="334155"/>
          <w:sz w:val="19"/>
        </w:rPr>
        <w:t>associated structures. The downstream dam break</w:t>
      </w:r>
    </w:p>
    <w:p>
      <w:pPr>
        <w:spacing w:before="40" w:after="80" w:line="276" w:lineRule="auto"/>
      </w:pPr>
      <w:r>
        <w:rPr>
          <w:color w:val="334155"/>
          <w:sz w:val="19"/>
        </w:rPr>
        <w:t>inundation zone may be reduced in size over time</w:t>
      </w:r>
    </w:p>
    <w:p>
      <w:pPr>
        <w:spacing w:before="40" w:after="80" w:line="276" w:lineRule="auto"/>
      </w:pPr>
      <w:r>
        <w:rPr>
          <w:color w:val="334155"/>
          <w:sz w:val="19"/>
        </w:rPr>
        <w:t>as rehabilitation progresses, potentially to the</w:t>
      </w:r>
    </w:p>
    <w:p>
      <w:pPr>
        <w:spacing w:before="40" w:after="80" w:line="276" w:lineRule="auto"/>
      </w:pPr>
      <w:r>
        <w:rPr>
          <w:color w:val="334155"/>
          <w:sz w:val="19"/>
        </w:rPr>
        <w:t>point of revoking its declaration as a dam. Once</w:t>
      </w:r>
    </w:p>
    <w:p>
      <w:pPr>
        <w:spacing w:before="40" w:after="80" w:line="276" w:lineRule="auto"/>
      </w:pPr>
      <w:r>
        <w:rPr>
          <w:color w:val="334155"/>
          <w:sz w:val="19"/>
        </w:rPr>
        <w:t>the TSF dam declaration is revoked, development</w:t>
      </w:r>
    </w:p>
    <w:p>
      <w:pPr>
        <w:spacing w:before="40" w:after="80" w:line="276" w:lineRule="auto"/>
      </w:pPr>
      <w:r>
        <w:rPr>
          <w:color w:val="334155"/>
          <w:sz w:val="19"/>
        </w:rPr>
        <w:t>downstream of the dam can be achieved, subject to</w:t>
      </w:r>
    </w:p>
    <w:p>
      <w:pPr>
        <w:spacing w:before="40" w:after="80" w:line="276" w:lineRule="auto"/>
      </w:pPr>
      <w:r>
        <w:rPr>
          <w:color w:val="334155"/>
          <w:sz w:val="19"/>
        </w:rPr>
        <w:t>other constraints.</w:t>
      </w:r>
    </w:p>
    <w:p>
      <w:pPr>
        <w:spacing w:before="40" w:after="80" w:line="276" w:lineRule="auto"/>
      </w:pPr>
      <w:r>
        <w:rPr>
          <w:color w:val="334155"/>
          <w:sz w:val="19"/>
        </w:rPr>
        <w:t>Re-purposing and use of the TSF and associated</w:t>
      </w:r>
    </w:p>
    <w:p>
      <w:pPr>
        <w:spacing w:before="40" w:after="80" w:line="276" w:lineRule="auto"/>
      </w:pPr>
      <w:r>
        <w:rPr>
          <w:color w:val="334155"/>
          <w:sz w:val="19"/>
        </w:rPr>
        <w:t>structures can occur provided detailed structural,</w:t>
      </w:r>
    </w:p>
    <w:p>
      <w:pPr>
        <w:spacing w:before="40" w:after="80" w:line="276" w:lineRule="auto"/>
      </w:pPr>
      <w:r>
        <w:rPr>
          <w:color w:val="334155"/>
          <w:sz w:val="19"/>
        </w:rPr>
        <w:t>geotechnical and hydrological investigations occur</w:t>
      </w:r>
    </w:p>
    <w:p>
      <w:pPr>
        <w:spacing w:before="40" w:after="80" w:line="276" w:lineRule="auto"/>
      </w:pPr>
      <w:r>
        <w:rPr>
          <w:color w:val="334155"/>
          <w:sz w:val="19"/>
        </w:rPr>
        <w:t>in parallel to each development application.</w:t>
      </w:r>
    </w:p>
    <w:p>
      <w:pPr>
        <w:spacing w:before="40" w:after="80" w:line="276" w:lineRule="auto"/>
      </w:pPr>
      <w:r>
        <w:rPr>
          <w:color w:val="334155"/>
          <w:sz w:val="19"/>
        </w:rPr>
        <w:t>Until these prerequisites are met, the TSF and its</w:t>
      </w:r>
    </w:p>
    <w:p>
      <w:pPr>
        <w:spacing w:before="40" w:after="80" w:line="276" w:lineRule="auto"/>
      </w:pPr>
      <w:r>
        <w:rPr>
          <w:color w:val="334155"/>
          <w:sz w:val="19"/>
        </w:rPr>
        <w:t>associated inundation zone may support interim</w:t>
      </w:r>
    </w:p>
    <w:p>
      <w:pPr>
        <w:spacing w:before="40" w:after="80" w:line="276" w:lineRule="auto"/>
      </w:pPr>
      <w:r>
        <w:rPr>
          <w:color w:val="334155"/>
          <w:sz w:val="19"/>
        </w:rPr>
        <w:t>or ‘meanwhile’ uses that maintain a low population</w:t>
      </w:r>
    </w:p>
    <w:p>
      <w:pPr>
        <w:spacing w:before="40" w:after="80" w:line="276" w:lineRule="auto"/>
      </w:pPr>
      <w:r>
        <w:rPr>
          <w:color w:val="334155"/>
          <w:sz w:val="19"/>
        </w:rPr>
        <w:t>level. Such interim uses could include solar energy</w:t>
      </w:r>
    </w:p>
    <w:p>
      <w:pPr>
        <w:spacing w:before="40" w:after="80" w:line="276" w:lineRule="auto"/>
      </w:pPr>
      <w:r>
        <w:rPr>
          <w:color w:val="334155"/>
          <w:sz w:val="19"/>
        </w:rPr>
        <w:t>installations, for which international precedents on</w:t>
      </w:r>
    </w:p>
    <w:p>
      <w:pPr>
        <w:spacing w:before="40" w:after="80" w:line="276" w:lineRule="auto"/>
      </w:pPr>
      <w:r>
        <w:rPr>
          <w:color w:val="334155"/>
          <w:sz w:val="19"/>
        </w:rPr>
        <w:t>tailings dams exist, as well as biodiversity corridor</w:t>
      </w:r>
    </w:p>
    <w:p>
      <w:pPr>
        <w:spacing w:before="40" w:after="80" w:line="276" w:lineRule="auto"/>
      </w:pPr>
      <w:r>
        <w:rPr>
          <w:color w:val="334155"/>
          <w:sz w:val="19"/>
        </w:rPr>
        <w:t>functions, landscape rehabilitation and other low</w:t>
      </w:r>
    </w:p>
    <w:p>
      <w:pPr>
        <w:spacing w:before="40" w:after="80" w:line="276" w:lineRule="auto"/>
      </w:pPr>
      <w:r>
        <w:rPr>
          <w:color w:val="334155"/>
          <w:sz w:val="19"/>
        </w:rPr>
        <w:t>occupancy uses.</w:t>
      </w:r>
    </w:p>
    <w:p>
      <w:pPr>
        <w:spacing w:before="40" w:after="80" w:line="276" w:lineRule="auto"/>
      </w:pPr>
      <w:r>
        <w:rPr>
          <w:color w:val="334155"/>
          <w:sz w:val="19"/>
        </w:rPr>
        <w:t>Development within the further investigation areas</w:t>
      </w:r>
    </w:p>
    <w:p>
      <w:pPr>
        <w:spacing w:before="40" w:after="80" w:line="276" w:lineRule="auto"/>
      </w:pPr>
      <w:r>
        <w:rPr>
          <w:color w:val="334155"/>
          <w:sz w:val="19"/>
        </w:rPr>
        <w:t>associated with the TSF and dam break inundation</w:t>
      </w:r>
    </w:p>
    <w:p>
      <w:pPr>
        <w:spacing w:before="40" w:after="80" w:line="276" w:lineRule="auto"/>
      </w:pPr>
      <w:r>
        <w:rPr>
          <w:color w:val="334155"/>
          <w:sz w:val="19"/>
        </w:rPr>
        <w:t>areas may be brought forward to medium</w:t>
      </w:r>
    </w:p>
    <w:p>
      <w:pPr>
        <w:spacing w:before="40" w:after="80" w:line="276" w:lineRule="auto"/>
      </w:pPr>
      <w:r>
        <w:rPr>
          <w:color w:val="334155"/>
          <w:sz w:val="19"/>
        </w:rPr>
        <w:t>horizon, either as a whole or in part, depending on</w:t>
      </w:r>
    </w:p>
    <w:p>
      <w:pPr>
        <w:spacing w:before="40" w:after="80" w:line="276" w:lineRule="auto"/>
      </w:pPr>
      <w:r>
        <w:rPr>
          <w:color w:val="334155"/>
          <w:sz w:val="19"/>
        </w:rPr>
        <w:t>rehabilitation and ongoing monitoring.</w:t>
      </w:r>
    </w:p>
    <w:p>
      <w:pPr>
        <w:spacing w:before="40" w:after="80" w:line="276" w:lineRule="auto"/>
      </w:pPr>
      <w:r>
        <w:rPr>
          <w:color w:val="334155"/>
          <w:sz w:val="19"/>
        </w:rPr>
        <w:t>30</w:t>
      </w:r>
    </w:p>
    <w:p>
      <w:pPr>
        <w:spacing w:before="40" w:after="80" w:line="276" w:lineRule="auto"/>
      </w:pPr>
      <w:r>
        <w:rPr>
          <w:color w:val="334155"/>
          <w:sz w:val="19"/>
        </w:rPr>
        <w:t>4  Structure plan and sub-precinct framework</w:t>
      </w:r>
    </w:p>
    <w:p>
      <w:pPr>
        <w:pStyle w:val="Heading3"/>
        <w:keepNext/>
        <w:spacing w:before="160" w:after="40"/>
      </w:pPr>
      <w:r>
        <w:rPr>
          <w:b/>
          <w:color w:val="334155"/>
        </w:rPr>
        <w:t>Page 31</w:t>
      </w:r>
    </w:p>
    <w:p>
      <w:pPr>
        <w:spacing w:before="40" w:after="80" w:line="276" w:lineRule="auto"/>
      </w:pPr>
      <w:r>
        <w:rPr>
          <w:color w:val="334155"/>
          <w:sz w:val="19"/>
        </w:rPr>
        <w:t>Staging triggers</w:t>
      </w:r>
    </w:p>
    <w:p>
      <w:pPr>
        <w:spacing w:before="40" w:after="80" w:line="276" w:lineRule="auto"/>
      </w:pPr>
      <w:r>
        <w:rPr>
          <w:color w:val="334155"/>
          <w:sz w:val="19"/>
        </w:rPr>
        <w:t>The progressive release of developable land across</w:t>
      </w:r>
    </w:p>
    <w:p>
      <w:pPr>
        <w:spacing w:before="40" w:after="80" w:line="276" w:lineRule="auto"/>
      </w:pPr>
      <w:r>
        <w:rPr>
          <w:color w:val="334155"/>
          <w:sz w:val="19"/>
        </w:rPr>
        <w:t>the Precinct is linked to the completion of key</w:t>
      </w:r>
    </w:p>
    <w:p>
      <w:pPr>
        <w:spacing w:before="40" w:after="80" w:line="276" w:lineRule="auto"/>
      </w:pPr>
      <w:r>
        <w:rPr>
          <w:color w:val="334155"/>
          <w:sz w:val="19"/>
        </w:rPr>
        <w:t>technical investigations and the achievement of</w:t>
      </w:r>
    </w:p>
    <w:p>
      <w:pPr>
        <w:spacing w:before="40" w:after="80" w:line="276" w:lineRule="auto"/>
      </w:pPr>
      <w:r>
        <w:rPr>
          <w:color w:val="334155"/>
          <w:sz w:val="19"/>
        </w:rPr>
        <w:t>rehabilitation milestones. The following staging</w:t>
      </w:r>
    </w:p>
    <w:p>
      <w:pPr>
        <w:spacing w:before="40" w:after="80" w:line="276" w:lineRule="auto"/>
      </w:pPr>
      <w:r>
        <w:rPr>
          <w:color w:val="334155"/>
          <w:sz w:val="19"/>
        </w:rPr>
        <w:t>triggers apply as relevant across the Precinct:</w:t>
      </w:r>
    </w:p>
    <w:p>
      <w:pPr>
        <w:spacing w:before="40" w:after="80" w:line="276" w:lineRule="auto"/>
      </w:pPr>
      <w:r>
        <w:rPr>
          <w:color w:val="334155"/>
          <w:sz w:val="19"/>
        </w:rPr>
        <w:t>•</w:t>
      </w:r>
    </w:p>
    <w:p>
      <w:pPr>
        <w:spacing w:before="40" w:after="80" w:line="276" w:lineRule="auto"/>
      </w:pPr>
      <w:r>
        <w:rPr>
          <w:color w:val="334155"/>
          <w:sz w:val="19"/>
        </w:rPr>
        <w:t>Dam safety and Geotech – Geotechnical</w:t>
      </w:r>
    </w:p>
    <w:p>
      <w:pPr>
        <w:spacing w:before="40" w:after="80" w:line="276" w:lineRule="auto"/>
      </w:pPr>
      <w:r>
        <w:rPr>
          <w:color w:val="334155"/>
          <w:sz w:val="19"/>
        </w:rPr>
        <w:t>monitoring and assessment of TSF, with the view</w:t>
      </w:r>
    </w:p>
    <w:p>
      <w:pPr>
        <w:spacing w:before="40" w:after="80" w:line="276" w:lineRule="auto"/>
      </w:pPr>
      <w:r>
        <w:rPr>
          <w:color w:val="334155"/>
          <w:sz w:val="19"/>
        </w:rPr>
        <w:t>to de-declaring the dam. Updated dam break</w:t>
      </w:r>
    </w:p>
    <w:p>
      <w:pPr>
        <w:spacing w:before="40" w:after="80" w:line="276" w:lineRule="auto"/>
      </w:pPr>
      <w:r>
        <w:rPr>
          <w:color w:val="334155"/>
          <w:sz w:val="19"/>
        </w:rPr>
        <w:t>and consequence assessments demonstrating</w:t>
      </w:r>
    </w:p>
    <w:p>
      <w:pPr>
        <w:spacing w:before="40" w:after="80" w:line="276" w:lineRule="auto"/>
      </w:pPr>
      <w:r>
        <w:rPr>
          <w:color w:val="334155"/>
          <w:sz w:val="19"/>
        </w:rPr>
        <w:t>a reduction in the dam break inundation zone.</w:t>
      </w:r>
    </w:p>
    <w:p>
      <w:pPr>
        <w:spacing w:before="40" w:after="80" w:line="276" w:lineRule="auto"/>
      </w:pPr>
      <w:r>
        <w:rPr>
          <w:color w:val="334155"/>
          <w:sz w:val="19"/>
        </w:rPr>
        <w:t>Refer to Section 9 Sustainability and resilience</w:t>
      </w:r>
    </w:p>
    <w:p>
      <w:pPr>
        <w:spacing w:before="40" w:after="80" w:line="276" w:lineRule="auto"/>
      </w:pPr>
      <w:r>
        <w:rPr>
          <w:color w:val="334155"/>
          <w:sz w:val="19"/>
        </w:rPr>
        <w:t>on page 51 for detailed dam safety aims and</w:t>
      </w:r>
    </w:p>
    <w:p>
      <w:pPr>
        <w:spacing w:before="40" w:after="80" w:line="276" w:lineRule="auto"/>
      </w:pPr>
      <w:r>
        <w:rPr>
          <w:color w:val="334155"/>
          <w:sz w:val="19"/>
        </w:rPr>
        <w:t>performance criteria.</w:t>
      </w:r>
    </w:p>
    <w:p>
      <w:pPr>
        <w:spacing w:before="40" w:after="80" w:line="276" w:lineRule="auto"/>
      </w:pPr>
      <w:r>
        <w:rPr>
          <w:color w:val="334155"/>
          <w:sz w:val="19"/>
        </w:rPr>
        <w:t>•</w:t>
      </w:r>
    </w:p>
    <w:p>
      <w:pPr>
        <w:spacing w:before="40" w:after="80" w:line="276" w:lineRule="auto"/>
      </w:pPr>
      <w:r>
        <w:rPr>
          <w:color w:val="334155"/>
          <w:sz w:val="19"/>
        </w:rPr>
        <w:t>Contamination – Completion of staged</w:t>
      </w:r>
    </w:p>
    <w:p>
      <w:pPr>
        <w:spacing w:before="40" w:after="80" w:line="276" w:lineRule="auto"/>
      </w:pPr>
      <w:r>
        <w:rPr>
          <w:color w:val="334155"/>
          <w:sz w:val="19"/>
        </w:rPr>
        <w:t>contamination investigations and, where</w:t>
      </w:r>
    </w:p>
    <w:p>
      <w:pPr>
        <w:spacing w:before="40" w:after="80" w:line="276" w:lineRule="auto"/>
      </w:pPr>
      <w:r>
        <w:rPr>
          <w:color w:val="334155"/>
          <w:sz w:val="19"/>
        </w:rPr>
        <w:t>required, remediation or management</w:t>
      </w:r>
    </w:p>
    <w:p>
      <w:pPr>
        <w:spacing w:before="40" w:after="80" w:line="276" w:lineRule="auto"/>
      </w:pPr>
      <w:r>
        <w:rPr>
          <w:color w:val="334155"/>
          <w:sz w:val="19"/>
        </w:rPr>
        <w:t>measures appropriate to the proposed land</w:t>
      </w:r>
    </w:p>
    <w:p>
      <w:pPr>
        <w:spacing w:before="40" w:after="80" w:line="276" w:lineRule="auto"/>
      </w:pPr>
      <w:r>
        <w:rPr>
          <w:color w:val="334155"/>
          <w:sz w:val="19"/>
        </w:rPr>
        <w:t>use, in accordance with the Contaminated Land</w:t>
      </w:r>
    </w:p>
    <w:p>
      <w:pPr>
        <w:spacing w:before="40" w:after="80" w:line="276" w:lineRule="auto"/>
      </w:pPr>
      <w:r>
        <w:rPr>
          <w:color w:val="334155"/>
          <w:sz w:val="19"/>
        </w:rPr>
        <w:t>Management Act 1997 and State Environmental</w:t>
      </w:r>
    </w:p>
    <w:p>
      <w:pPr>
        <w:spacing w:before="40" w:after="80" w:line="276" w:lineRule="auto"/>
      </w:pPr>
      <w:r>
        <w:rPr>
          <w:color w:val="334155"/>
          <w:sz w:val="19"/>
        </w:rPr>
        <w:t>Planning Policy (Resilience and Hazards) 2021.</w:t>
      </w:r>
    </w:p>
    <w:p>
      <w:pPr>
        <w:spacing w:before="40" w:after="80" w:line="276" w:lineRule="auto"/>
      </w:pPr>
      <w:r>
        <w:rPr>
          <w:color w:val="334155"/>
          <w:sz w:val="19"/>
        </w:rPr>
        <w:t>•</w:t>
      </w:r>
    </w:p>
    <w:p>
      <w:pPr>
        <w:spacing w:before="40" w:after="80" w:line="276" w:lineRule="auto"/>
      </w:pPr>
      <w:r>
        <w:rPr>
          <w:color w:val="334155"/>
          <w:sz w:val="19"/>
        </w:rPr>
        <w:t>Geotechnical stability – Geotechnical</w:t>
      </w:r>
    </w:p>
    <w:p>
      <w:pPr>
        <w:spacing w:before="40" w:after="80" w:line="276" w:lineRule="auto"/>
      </w:pPr>
      <w:r>
        <w:rPr>
          <w:color w:val="334155"/>
          <w:sz w:val="19"/>
        </w:rPr>
        <w:t>assessments confirming the suitability of land</w:t>
      </w:r>
    </w:p>
    <w:p>
      <w:pPr>
        <w:spacing w:before="40" w:after="80" w:line="276" w:lineRule="auto"/>
      </w:pPr>
      <w:r>
        <w:rPr>
          <w:color w:val="334155"/>
          <w:sz w:val="19"/>
        </w:rPr>
        <w:t>for the proposed development type, particularly</w:t>
      </w:r>
    </w:p>
    <w:p>
      <w:pPr>
        <w:spacing w:before="40" w:after="80" w:line="276" w:lineRule="auto"/>
      </w:pPr>
      <w:r>
        <w:rPr>
          <w:color w:val="334155"/>
          <w:sz w:val="19"/>
        </w:rPr>
        <w:t>rehabilitated landforms.</w:t>
      </w:r>
    </w:p>
    <w:p>
      <w:pPr>
        <w:spacing w:before="40" w:after="80" w:line="276" w:lineRule="auto"/>
      </w:pPr>
      <w:r>
        <w:rPr>
          <w:color w:val="334155"/>
          <w:sz w:val="19"/>
        </w:rPr>
        <w:t>•</w:t>
      </w:r>
    </w:p>
    <w:p>
      <w:pPr>
        <w:spacing w:before="40" w:after="80" w:line="276" w:lineRule="auto"/>
      </w:pPr>
      <w:r>
        <w:rPr>
          <w:color w:val="334155"/>
          <w:sz w:val="19"/>
        </w:rPr>
        <w:t>Flooding – Detailed flood modelling confirming</w:t>
      </w:r>
    </w:p>
    <w:p>
      <w:pPr>
        <w:spacing w:before="40" w:after="80" w:line="276" w:lineRule="auto"/>
      </w:pPr>
      <w:r>
        <w:rPr>
          <w:color w:val="334155"/>
          <w:sz w:val="19"/>
        </w:rPr>
        <w:t>flood planning levels, developable areas</w:t>
      </w:r>
    </w:p>
    <w:p>
      <w:pPr>
        <w:spacing w:before="40" w:after="80" w:line="276" w:lineRule="auto"/>
      </w:pPr>
      <w:r>
        <w:rPr>
          <w:color w:val="334155"/>
          <w:sz w:val="19"/>
        </w:rPr>
        <w:t>and appropriate mitigation measures for</w:t>
      </w:r>
    </w:p>
    <w:p>
      <w:pPr>
        <w:spacing w:before="40" w:after="80" w:line="276" w:lineRule="auto"/>
      </w:pPr>
      <w:r>
        <w:rPr>
          <w:color w:val="334155"/>
          <w:sz w:val="19"/>
        </w:rPr>
        <w:t>development within or adjacent to flood-</w:t>
      </w:r>
    </w:p>
    <w:p>
      <w:pPr>
        <w:spacing w:before="40" w:after="80" w:line="276" w:lineRule="auto"/>
      </w:pPr>
      <w:r>
        <w:rPr>
          <w:color w:val="334155"/>
          <w:sz w:val="19"/>
        </w:rPr>
        <w:t>affected land, including climate change and</w:t>
      </w:r>
    </w:p>
    <w:p>
      <w:pPr>
        <w:spacing w:before="40" w:after="80" w:line="276" w:lineRule="auto"/>
      </w:pPr>
      <w:r>
        <w:rPr>
          <w:color w:val="334155"/>
          <w:sz w:val="19"/>
        </w:rPr>
        <w:t>dam break interaction scenarios.</w:t>
      </w:r>
    </w:p>
    <w:p>
      <w:pPr>
        <w:spacing w:before="40" w:after="80" w:line="276" w:lineRule="auto"/>
      </w:pPr>
      <w:r>
        <w:rPr>
          <w:color w:val="334155"/>
          <w:sz w:val="19"/>
        </w:rPr>
        <w:t>•</w:t>
      </w:r>
    </w:p>
    <w:p>
      <w:pPr>
        <w:spacing w:before="40" w:after="80" w:line="276" w:lineRule="auto"/>
      </w:pPr>
      <w:r>
        <w:rPr>
          <w:color w:val="334155"/>
          <w:sz w:val="19"/>
        </w:rPr>
        <w:t>Infrastructure and servicing – Confirmation of</w:t>
      </w:r>
    </w:p>
    <w:p>
      <w:pPr>
        <w:spacing w:before="40" w:after="80" w:line="276" w:lineRule="auto"/>
      </w:pPr>
      <w:r>
        <w:rPr>
          <w:color w:val="334155"/>
          <w:sz w:val="19"/>
        </w:rPr>
        <w:t>utility servicing capacity (water, wastewater,</w:t>
      </w:r>
    </w:p>
    <w:p>
      <w:pPr>
        <w:spacing w:before="40" w:after="80" w:line="276" w:lineRule="auto"/>
      </w:pPr>
      <w:r>
        <w:rPr>
          <w:color w:val="334155"/>
          <w:sz w:val="19"/>
        </w:rPr>
        <w:t>electricity, telecommunications) and delivery</w:t>
      </w:r>
    </w:p>
    <w:p>
      <w:pPr>
        <w:spacing w:before="40" w:after="80" w:line="276" w:lineRule="auto"/>
      </w:pPr>
      <w:r>
        <w:rPr>
          <w:color w:val="334155"/>
          <w:sz w:val="19"/>
        </w:rPr>
        <w:t>of enabling infrastructure to support</w:t>
      </w:r>
    </w:p>
    <w:p>
      <w:pPr>
        <w:spacing w:before="40" w:after="80" w:line="276" w:lineRule="auto"/>
      </w:pPr>
      <w:r>
        <w:rPr>
          <w:color w:val="334155"/>
          <w:sz w:val="19"/>
        </w:rPr>
        <w:t>staged development. Refer to Section 10</w:t>
      </w:r>
    </w:p>
    <w:p>
      <w:pPr>
        <w:spacing w:before="40" w:after="80" w:line="276" w:lineRule="auto"/>
      </w:pPr>
      <w:r>
        <w:rPr>
          <w:color w:val="334155"/>
          <w:sz w:val="19"/>
        </w:rPr>
        <w:t>Infrastructure, utilities and servicing on page</w:t>
      </w:r>
    </w:p>
    <w:p>
      <w:pPr>
        <w:spacing w:before="40" w:after="80" w:line="276" w:lineRule="auto"/>
      </w:pPr>
      <w:r>
        <w:rPr>
          <w:color w:val="334155"/>
          <w:sz w:val="19"/>
        </w:rPr>
        <w:t>58 for detailed infrastructure and servicing</w:t>
      </w:r>
    </w:p>
    <w:p>
      <w:pPr>
        <w:spacing w:before="40" w:after="80" w:line="276" w:lineRule="auto"/>
      </w:pPr>
      <w:r>
        <w:rPr>
          <w:color w:val="334155"/>
          <w:sz w:val="19"/>
        </w:rPr>
        <w:t>aims and performance criteria.</w:t>
      </w:r>
    </w:p>
    <w:p>
      <w:pPr>
        <w:spacing w:before="40" w:after="80" w:line="276" w:lineRule="auto"/>
      </w:pPr>
      <w:r>
        <w:rPr>
          <w:color w:val="334155"/>
          <w:sz w:val="19"/>
        </w:rPr>
        <w:t>•</w:t>
      </w:r>
    </w:p>
    <w:p>
      <w:pPr>
        <w:spacing w:before="40" w:after="80" w:line="276" w:lineRule="auto"/>
      </w:pPr>
      <w:r>
        <w:rPr>
          <w:color w:val="334155"/>
          <w:sz w:val="19"/>
        </w:rPr>
        <w:t>Biodiversity – Completion of detailed</w:t>
      </w:r>
    </w:p>
    <w:p>
      <w:pPr>
        <w:spacing w:before="40" w:after="80" w:line="276" w:lineRule="auto"/>
      </w:pPr>
      <w:r>
        <w:rPr>
          <w:color w:val="334155"/>
          <w:sz w:val="19"/>
        </w:rPr>
        <w:t>environmental surveys to verify biodiversity</w:t>
      </w:r>
    </w:p>
    <w:p>
      <w:pPr>
        <w:spacing w:before="40" w:after="80" w:line="276" w:lineRule="auto"/>
      </w:pPr>
      <w:r>
        <w:rPr>
          <w:color w:val="334155"/>
          <w:sz w:val="19"/>
        </w:rPr>
        <w:t>values and confirm environmentally constrained</w:t>
      </w:r>
    </w:p>
    <w:p>
      <w:pPr>
        <w:spacing w:before="40" w:after="80" w:line="276" w:lineRule="auto"/>
      </w:pPr>
      <w:r>
        <w:rPr>
          <w:color w:val="334155"/>
          <w:sz w:val="19"/>
        </w:rPr>
        <w:t>area boundaries.</w:t>
      </w:r>
    </w:p>
    <w:p>
      <w:pPr>
        <w:spacing w:before="40" w:after="80" w:line="276" w:lineRule="auto"/>
      </w:pPr>
      <w:r>
        <w:rPr>
          <w:color w:val="334155"/>
          <w:sz w:val="19"/>
        </w:rPr>
        <w:t>•</w:t>
      </w:r>
    </w:p>
    <w:p>
      <w:pPr>
        <w:spacing w:before="40" w:after="80" w:line="276" w:lineRule="auto"/>
      </w:pPr>
      <w:r>
        <w:rPr>
          <w:color w:val="334155"/>
          <w:sz w:val="19"/>
        </w:rPr>
        <w:t>Take-up and market demand – Progressive</w:t>
      </w:r>
    </w:p>
    <w:p>
      <w:pPr>
        <w:spacing w:before="40" w:after="80" w:line="276" w:lineRule="auto"/>
      </w:pPr>
      <w:r>
        <w:rPr>
          <w:color w:val="334155"/>
          <w:sz w:val="19"/>
        </w:rPr>
        <w:t>development is informed by demonstrated</w:t>
      </w:r>
    </w:p>
    <w:p>
      <w:pPr>
        <w:spacing w:before="40" w:after="80" w:line="276" w:lineRule="auto"/>
      </w:pPr>
      <w:r>
        <w:rPr>
          <w:color w:val="334155"/>
          <w:sz w:val="19"/>
        </w:rPr>
        <w:t>market take-up across the Precinct.</w:t>
      </w:r>
    </w:p>
    <w:p>
      <w:pPr>
        <w:spacing w:before="40" w:after="80" w:line="276" w:lineRule="auto"/>
      </w:pPr>
      <w:r>
        <w:rPr>
          <w:color w:val="334155"/>
          <w:sz w:val="19"/>
        </w:rPr>
        <w:t>The sequencing of development is to be</w:t>
      </w:r>
    </w:p>
    <w:p>
      <w:pPr>
        <w:spacing w:before="40" w:after="80" w:line="276" w:lineRule="auto"/>
      </w:pPr>
      <w:r>
        <w:rPr>
          <w:color w:val="334155"/>
          <w:sz w:val="19"/>
        </w:rPr>
        <w:t>coordinated with the delivery of supporting</w:t>
      </w:r>
    </w:p>
    <w:p>
      <w:pPr>
        <w:spacing w:before="40" w:after="80" w:line="276" w:lineRule="auto"/>
      </w:pPr>
      <w:r>
        <w:rPr>
          <w:color w:val="334155"/>
          <w:sz w:val="19"/>
        </w:rPr>
        <w:t>infrastructure to make sure that the transport</w:t>
      </w:r>
    </w:p>
    <w:p>
      <w:pPr>
        <w:spacing w:before="40" w:after="80" w:line="276" w:lineRule="auto"/>
      </w:pPr>
      <w:r>
        <w:rPr>
          <w:color w:val="334155"/>
          <w:sz w:val="19"/>
        </w:rPr>
        <w:t>network, utilities and community facilities can</w:t>
      </w:r>
    </w:p>
    <w:p>
      <w:pPr>
        <w:spacing w:before="40" w:after="80" w:line="276" w:lineRule="auto"/>
      </w:pPr>
      <w:r>
        <w:rPr>
          <w:color w:val="334155"/>
          <w:sz w:val="19"/>
        </w:rPr>
        <w:t>accommodate incremental growth. Development</w:t>
      </w:r>
    </w:p>
    <w:p>
      <w:pPr>
        <w:spacing w:before="40" w:after="80" w:line="276" w:lineRule="auto"/>
      </w:pPr>
      <w:r>
        <w:rPr>
          <w:color w:val="334155"/>
          <w:sz w:val="19"/>
        </w:rPr>
        <w:t>staging should also be coordinated with mine</w:t>
      </w:r>
    </w:p>
    <w:p>
      <w:pPr>
        <w:spacing w:before="40" w:after="80" w:line="276" w:lineRule="auto"/>
      </w:pPr>
      <w:r>
        <w:rPr>
          <w:color w:val="334155"/>
          <w:sz w:val="19"/>
        </w:rPr>
        <w:t>closure and rehabilitation activities so that land</w:t>
      </w:r>
    </w:p>
    <w:p>
      <w:pPr>
        <w:spacing w:before="40" w:after="80" w:line="276" w:lineRule="auto"/>
      </w:pPr>
      <w:r>
        <w:rPr>
          <w:color w:val="334155"/>
          <w:sz w:val="19"/>
        </w:rPr>
        <w:t>use transformation proceeds in an orderly manner.</w:t>
      </w:r>
    </w:p>
    <w:p>
      <w:pPr>
        <w:spacing w:before="40" w:after="80" w:line="276" w:lineRule="auto"/>
      </w:pPr>
      <w:r>
        <w:rPr>
          <w:color w:val="334155"/>
          <w:sz w:val="19"/>
        </w:rPr>
        <w:t>An indicative description of the staging triggers</w:t>
      </w:r>
    </w:p>
    <w:p>
      <w:pPr>
        <w:spacing w:before="40" w:after="80" w:line="276" w:lineRule="auto"/>
      </w:pPr>
      <w:r>
        <w:rPr>
          <w:color w:val="334155"/>
          <w:sz w:val="19"/>
        </w:rPr>
        <w:t>according to sub-precincts is provided in Table 2.</w:t>
      </w:r>
    </w:p>
    <w:p>
      <w:pPr>
        <w:spacing w:before="40" w:after="80" w:line="276" w:lineRule="auto"/>
      </w:pPr>
      <w:r>
        <w:rPr>
          <w:color w:val="334155"/>
          <w:sz w:val="19"/>
        </w:rPr>
        <w:t>31</w:t>
      </w:r>
    </w:p>
    <w:p>
      <w:pPr>
        <w:spacing w:before="40" w:after="80" w:line="276" w:lineRule="auto"/>
      </w:pPr>
      <w:r>
        <w:rPr>
          <w:color w:val="334155"/>
          <w:sz w:val="19"/>
        </w:rPr>
        <w:t>4  Structure plan and sub-precinct framework</w:t>
      </w:r>
    </w:p>
    <w:p>
      <w:pPr>
        <w:pStyle w:val="Heading3"/>
        <w:keepNext/>
        <w:spacing w:before="160" w:after="40"/>
      </w:pPr>
      <w:r>
        <w:rPr>
          <w:b/>
          <w:color w:val="334155"/>
        </w:rPr>
        <w:t>Page 32</w:t>
      </w:r>
    </w:p>
    <w:p>
      <w:pPr>
        <w:spacing w:before="40" w:after="80" w:line="276" w:lineRule="auto"/>
      </w:pPr>
      <w:r>
        <w:rPr>
          <w:color w:val="334155"/>
          <w:sz w:val="19"/>
        </w:rPr>
        <w:t>Table 2: Indicative staging triggers by sub-precinct</w:t>
      </w:r>
    </w:p>
    <w:p>
      <w:pPr>
        <w:spacing w:before="40" w:after="80" w:line="276" w:lineRule="auto"/>
      </w:pPr>
      <w:r>
        <w:rPr>
          <w:color w:val="334155"/>
          <w:sz w:val="19"/>
        </w:rPr>
        <w:t>Sub</w:t>
      </w:r>
    </w:p>
    <w:p>
      <w:pPr>
        <w:spacing w:before="40" w:after="80" w:line="276" w:lineRule="auto"/>
      </w:pPr>
      <w:r>
        <w:rPr>
          <w:color w:val="334155"/>
          <w:sz w:val="19"/>
        </w:rPr>
        <w:t>precinct</w:t>
      </w:r>
    </w:p>
    <w:p>
      <w:pPr>
        <w:spacing w:before="40" w:after="80" w:line="276" w:lineRule="auto"/>
      </w:pPr>
      <w:r>
        <w:rPr>
          <w:color w:val="334155"/>
          <w:sz w:val="19"/>
        </w:rPr>
        <w:t>Timing</w:t>
      </w:r>
    </w:p>
    <w:p>
      <w:pPr>
        <w:spacing w:before="40" w:after="80" w:line="276" w:lineRule="auto"/>
      </w:pPr>
      <w:r>
        <w:rPr>
          <w:color w:val="334155"/>
          <w:sz w:val="19"/>
        </w:rPr>
        <w:t>horizon</w:t>
      </w:r>
    </w:p>
    <w:p>
      <w:pPr>
        <w:spacing w:before="40" w:after="80" w:line="276" w:lineRule="auto"/>
      </w:pPr>
      <w:r>
        <w:rPr>
          <w:color w:val="334155"/>
          <w:sz w:val="19"/>
        </w:rPr>
        <w:t>Staging intent</w:t>
      </w:r>
    </w:p>
    <w:p>
      <w:pPr>
        <w:spacing w:before="40" w:after="80" w:line="276" w:lineRule="auto"/>
      </w:pPr>
      <w:r>
        <w:rPr>
          <w:color w:val="334155"/>
          <w:sz w:val="19"/>
        </w:rPr>
        <w:t>Key enabling triggers</w:t>
      </w:r>
    </w:p>
    <w:p>
      <w:pPr>
        <w:spacing w:before="40" w:after="80" w:line="276" w:lineRule="auto"/>
      </w:pPr>
      <w:r>
        <w:rPr>
          <w:color w:val="334155"/>
          <w:sz w:val="19"/>
        </w:rPr>
        <w:t>Cockle</w:t>
      </w:r>
    </w:p>
    <w:p>
      <w:pPr>
        <w:spacing w:before="40" w:after="80" w:line="276" w:lineRule="auto"/>
      </w:pPr>
      <w:r>
        <w:rPr>
          <w:color w:val="334155"/>
          <w:sz w:val="19"/>
        </w:rPr>
        <w:t>Creek</w:t>
      </w:r>
    </w:p>
    <w:p>
      <w:pPr>
        <w:spacing w:before="40" w:after="80" w:line="276" w:lineRule="auto"/>
      </w:pPr>
      <w:r>
        <w:rPr>
          <w:color w:val="334155"/>
          <w:sz w:val="19"/>
        </w:rPr>
        <w:t>Short-</w:t>
      </w:r>
    </w:p>
    <w:p>
      <w:pPr>
        <w:spacing w:before="40" w:after="80" w:line="276" w:lineRule="auto"/>
      </w:pPr>
      <w:r>
        <w:rPr>
          <w:color w:val="334155"/>
          <w:sz w:val="19"/>
        </w:rPr>
        <w:t>Medium-Long</w:t>
      </w:r>
    </w:p>
    <w:p>
      <w:pPr>
        <w:spacing w:before="40" w:after="80" w:line="276" w:lineRule="auto"/>
      </w:pPr>
      <w:r>
        <w:rPr>
          <w:color w:val="334155"/>
          <w:sz w:val="19"/>
        </w:rPr>
        <w:t>Infrastructure-led and</w:t>
      </w:r>
    </w:p>
    <w:p>
      <w:pPr>
        <w:spacing w:before="40" w:after="80" w:line="276" w:lineRule="auto"/>
      </w:pPr>
      <w:r>
        <w:rPr>
          <w:color w:val="334155"/>
          <w:sz w:val="19"/>
        </w:rPr>
        <w:t>staged development areas</w:t>
      </w:r>
    </w:p>
    <w:p>
      <w:pPr>
        <w:spacing w:before="40" w:after="80" w:line="276" w:lineRule="auto"/>
      </w:pPr>
      <w:r>
        <w:rPr>
          <w:color w:val="334155"/>
          <w:sz w:val="19"/>
        </w:rPr>
        <w:t>linked to triggers</w:t>
      </w:r>
    </w:p>
    <w:p>
      <w:pPr>
        <w:spacing w:before="40" w:after="80" w:line="276" w:lineRule="auto"/>
      </w:pPr>
      <w:r>
        <w:rPr>
          <w:color w:val="334155"/>
          <w:sz w:val="19"/>
        </w:rPr>
        <w:t>•</w:t>
      </w:r>
    </w:p>
    <w:p>
      <w:pPr>
        <w:spacing w:before="40" w:after="80" w:line="276" w:lineRule="auto"/>
      </w:pPr>
      <w:r>
        <w:rPr>
          <w:color w:val="334155"/>
          <w:sz w:val="19"/>
        </w:rPr>
        <w:t>Completion of rehabilitation and Geotechnical verification</w:t>
      </w:r>
    </w:p>
    <w:p>
      <w:pPr>
        <w:spacing w:before="40" w:after="80" w:line="276" w:lineRule="auto"/>
      </w:pPr>
      <w:r>
        <w:rPr>
          <w:color w:val="334155"/>
          <w:sz w:val="19"/>
        </w:rPr>
        <w:t>•</w:t>
      </w:r>
    </w:p>
    <w:p>
      <w:pPr>
        <w:spacing w:before="40" w:after="80" w:line="276" w:lineRule="auto"/>
      </w:pPr>
      <w:r>
        <w:rPr>
          <w:color w:val="334155"/>
          <w:sz w:val="19"/>
        </w:rPr>
        <w:t>Adequate provision for site access (including heavy vehicle and rail</w:t>
      </w:r>
    </w:p>
    <w:p>
      <w:pPr>
        <w:spacing w:before="40" w:after="80" w:line="276" w:lineRule="auto"/>
      </w:pPr>
      <w:r>
        <w:rPr>
          <w:color w:val="334155"/>
          <w:sz w:val="19"/>
        </w:rPr>
        <w:t>interface as required)</w:t>
      </w:r>
    </w:p>
    <w:p>
      <w:pPr>
        <w:spacing w:before="40" w:after="80" w:line="276" w:lineRule="auto"/>
      </w:pPr>
      <w:r>
        <w:rPr>
          <w:color w:val="334155"/>
          <w:sz w:val="19"/>
        </w:rPr>
        <w:t>•</w:t>
      </w:r>
    </w:p>
    <w:p>
      <w:pPr>
        <w:spacing w:before="40" w:after="80" w:line="276" w:lineRule="auto"/>
      </w:pPr>
      <w:r>
        <w:rPr>
          <w:color w:val="334155"/>
          <w:sz w:val="19"/>
        </w:rPr>
        <w:t>Delivery of enabling infrastructure and servicing</w:t>
      </w:r>
    </w:p>
    <w:p>
      <w:pPr>
        <w:spacing w:before="40" w:after="80" w:line="276" w:lineRule="auto"/>
      </w:pPr>
      <w:r>
        <w:rPr>
          <w:color w:val="334155"/>
          <w:sz w:val="19"/>
        </w:rPr>
        <w:t>•</w:t>
      </w:r>
    </w:p>
    <w:p>
      <w:pPr>
        <w:spacing w:before="40" w:after="80" w:line="276" w:lineRule="auto"/>
      </w:pPr>
      <w:r>
        <w:rPr>
          <w:color w:val="334155"/>
          <w:sz w:val="19"/>
        </w:rPr>
        <w:t>Detailed flood assessment in low-lying areas</w:t>
      </w:r>
    </w:p>
    <w:p>
      <w:pPr>
        <w:spacing w:before="40" w:after="80" w:line="276" w:lineRule="auto"/>
      </w:pPr>
      <w:r>
        <w:rPr>
          <w:color w:val="334155"/>
          <w:sz w:val="19"/>
        </w:rPr>
        <w:t>•</w:t>
      </w:r>
    </w:p>
    <w:p>
      <w:pPr>
        <w:spacing w:before="40" w:after="80" w:line="276" w:lineRule="auto"/>
      </w:pPr>
      <w:r>
        <w:rPr>
          <w:color w:val="334155"/>
          <w:sz w:val="19"/>
        </w:rPr>
        <w:t>Resolution of dam safety constraints (including reduction in dam break</w:t>
      </w:r>
    </w:p>
    <w:p>
      <w:pPr>
        <w:spacing w:before="40" w:after="80" w:line="276" w:lineRule="auto"/>
      </w:pPr>
      <w:r>
        <w:rPr>
          <w:color w:val="334155"/>
          <w:sz w:val="19"/>
        </w:rPr>
        <w:t>inundation zone extent) relevant to the proposed development and site</w:t>
      </w:r>
    </w:p>
    <w:p>
      <w:pPr>
        <w:spacing w:before="40" w:after="80" w:line="276" w:lineRule="auto"/>
      </w:pPr>
      <w:r>
        <w:rPr>
          <w:color w:val="334155"/>
          <w:sz w:val="19"/>
        </w:rPr>
        <w:t>access</w:t>
      </w:r>
    </w:p>
    <w:p>
      <w:pPr>
        <w:spacing w:before="40" w:after="80" w:line="276" w:lineRule="auto"/>
      </w:pPr>
      <w:r>
        <w:rPr>
          <w:color w:val="334155"/>
          <w:sz w:val="19"/>
        </w:rPr>
        <w:t>•</w:t>
      </w:r>
    </w:p>
    <w:p>
      <w:pPr>
        <w:spacing w:before="40" w:after="80" w:line="276" w:lineRule="auto"/>
      </w:pPr>
      <w:r>
        <w:rPr>
          <w:color w:val="334155"/>
          <w:sz w:val="19"/>
        </w:rPr>
        <w:t>Demonstrated market take-up of preceding stages within the sub-</w:t>
      </w:r>
    </w:p>
    <w:p>
      <w:pPr>
        <w:spacing w:before="40" w:after="80" w:line="276" w:lineRule="auto"/>
      </w:pPr>
      <w:r>
        <w:rPr>
          <w:color w:val="334155"/>
          <w:sz w:val="19"/>
        </w:rPr>
        <w:t>precinct or across the Precinct.</w:t>
      </w:r>
    </w:p>
    <w:p>
      <w:pPr>
        <w:spacing w:before="40" w:after="80" w:line="276" w:lineRule="auto"/>
      </w:pPr>
      <w:r>
        <w:rPr>
          <w:color w:val="334155"/>
          <w:sz w:val="19"/>
        </w:rPr>
        <w:t>Killingworth Short-Medium Infrastructure-led and</w:t>
      </w:r>
    </w:p>
    <w:p>
      <w:pPr>
        <w:spacing w:before="40" w:after="80" w:line="276" w:lineRule="auto"/>
      </w:pPr>
      <w:r>
        <w:rPr>
          <w:color w:val="334155"/>
          <w:sz w:val="19"/>
        </w:rPr>
        <w:t>staged development areas</w:t>
      </w:r>
    </w:p>
    <w:p>
      <w:pPr>
        <w:spacing w:before="40" w:after="80" w:line="276" w:lineRule="auto"/>
      </w:pPr>
      <w:r>
        <w:rPr>
          <w:color w:val="334155"/>
          <w:sz w:val="19"/>
        </w:rPr>
        <w:t>linked to triggers</w:t>
      </w:r>
    </w:p>
    <w:p>
      <w:pPr>
        <w:spacing w:before="40" w:after="80" w:line="276" w:lineRule="auto"/>
      </w:pPr>
      <w:r>
        <w:rPr>
          <w:color w:val="334155"/>
          <w:sz w:val="19"/>
        </w:rPr>
        <w:t>•</w:t>
      </w:r>
    </w:p>
    <w:p>
      <w:pPr>
        <w:spacing w:before="40" w:after="80" w:line="276" w:lineRule="auto"/>
      </w:pPr>
      <w:r>
        <w:rPr>
          <w:color w:val="334155"/>
          <w:sz w:val="19"/>
        </w:rPr>
        <w:t>Completion of rehabilitation and Geotechnical verification</w:t>
      </w:r>
    </w:p>
    <w:p>
      <w:pPr>
        <w:spacing w:before="40" w:after="80" w:line="276" w:lineRule="auto"/>
      </w:pPr>
      <w:r>
        <w:rPr>
          <w:color w:val="334155"/>
          <w:sz w:val="19"/>
        </w:rPr>
        <w:t>•</w:t>
      </w:r>
    </w:p>
    <w:p>
      <w:pPr>
        <w:spacing w:before="40" w:after="80" w:line="276" w:lineRule="auto"/>
      </w:pPr>
      <w:r>
        <w:rPr>
          <w:color w:val="334155"/>
          <w:sz w:val="19"/>
        </w:rPr>
        <w:t>Detailed flood modelling and confirmation of developable areas</w:t>
      </w:r>
    </w:p>
    <w:p>
      <w:pPr>
        <w:spacing w:before="40" w:after="80" w:line="276" w:lineRule="auto"/>
      </w:pPr>
      <w:r>
        <w:rPr>
          <w:color w:val="334155"/>
          <w:sz w:val="19"/>
        </w:rPr>
        <w:t>•</w:t>
      </w:r>
    </w:p>
    <w:p>
      <w:pPr>
        <w:spacing w:before="40" w:after="80" w:line="276" w:lineRule="auto"/>
      </w:pPr>
      <w:r>
        <w:rPr>
          <w:color w:val="334155"/>
          <w:sz w:val="19"/>
        </w:rPr>
        <w:t>Detailed flood assessment in low-lying areas</w:t>
      </w:r>
    </w:p>
    <w:p>
      <w:pPr>
        <w:spacing w:before="40" w:after="80" w:line="276" w:lineRule="auto"/>
      </w:pPr>
      <w:r>
        <w:rPr>
          <w:color w:val="334155"/>
          <w:sz w:val="19"/>
        </w:rPr>
        <w:t>•</w:t>
      </w:r>
    </w:p>
    <w:p>
      <w:pPr>
        <w:spacing w:before="40" w:after="80" w:line="276" w:lineRule="auto"/>
      </w:pPr>
      <w:r>
        <w:rPr>
          <w:color w:val="334155"/>
          <w:sz w:val="19"/>
        </w:rPr>
        <w:t>Assessment of biodiversity constraints to confirm developable land</w:t>
      </w:r>
    </w:p>
    <w:p>
      <w:pPr>
        <w:spacing w:before="40" w:after="80" w:line="276" w:lineRule="auto"/>
      </w:pPr>
      <w:r>
        <w:rPr>
          <w:color w:val="334155"/>
          <w:sz w:val="19"/>
        </w:rPr>
        <w:t>•</w:t>
      </w:r>
    </w:p>
    <w:p>
      <w:pPr>
        <w:spacing w:before="40" w:after="80" w:line="276" w:lineRule="auto"/>
      </w:pPr>
      <w:r>
        <w:rPr>
          <w:color w:val="334155"/>
          <w:sz w:val="19"/>
        </w:rPr>
        <w:t>Demonstrated market take-up of preceding stages within the sub-</w:t>
      </w:r>
    </w:p>
    <w:p>
      <w:pPr>
        <w:spacing w:before="40" w:after="80" w:line="276" w:lineRule="auto"/>
      </w:pPr>
      <w:r>
        <w:rPr>
          <w:color w:val="334155"/>
          <w:sz w:val="19"/>
        </w:rPr>
        <w:t>precinct or across the Precinct.</w:t>
      </w:r>
    </w:p>
    <w:p>
      <w:pPr>
        <w:spacing w:before="40" w:after="80" w:line="276" w:lineRule="auto"/>
      </w:pPr>
      <w:r>
        <w:rPr>
          <w:color w:val="334155"/>
          <w:sz w:val="19"/>
        </w:rPr>
        <w:t>West Lake</w:t>
      </w:r>
    </w:p>
    <w:p>
      <w:pPr>
        <w:spacing w:before="40" w:after="80" w:line="276" w:lineRule="auto"/>
      </w:pPr>
      <w:r>
        <w:rPr>
          <w:color w:val="334155"/>
          <w:sz w:val="19"/>
        </w:rPr>
        <w:t>Short–</w:t>
      </w:r>
    </w:p>
    <w:p>
      <w:pPr>
        <w:spacing w:before="40" w:after="80" w:line="276" w:lineRule="auto"/>
      </w:pPr>
      <w:r>
        <w:rPr>
          <w:color w:val="334155"/>
          <w:sz w:val="19"/>
        </w:rPr>
        <w:t>Medium</w:t>
      </w:r>
    </w:p>
    <w:p>
      <w:pPr>
        <w:spacing w:before="40" w:after="80" w:line="276" w:lineRule="auto"/>
      </w:pPr>
      <w:r>
        <w:rPr>
          <w:color w:val="334155"/>
          <w:sz w:val="19"/>
        </w:rPr>
        <w:t>Infrastructure-led and</w:t>
      </w:r>
    </w:p>
    <w:p>
      <w:pPr>
        <w:spacing w:before="40" w:after="80" w:line="276" w:lineRule="auto"/>
      </w:pPr>
      <w:r>
        <w:rPr>
          <w:color w:val="334155"/>
          <w:sz w:val="19"/>
        </w:rPr>
        <w:t>staged development areas</w:t>
      </w:r>
    </w:p>
    <w:p>
      <w:pPr>
        <w:spacing w:before="40" w:after="80" w:line="276" w:lineRule="auto"/>
      </w:pPr>
      <w:r>
        <w:rPr>
          <w:color w:val="334155"/>
          <w:sz w:val="19"/>
        </w:rPr>
        <w:t>linked to triggers</w:t>
      </w:r>
    </w:p>
    <w:p>
      <w:pPr>
        <w:spacing w:before="40" w:after="80" w:line="276" w:lineRule="auto"/>
      </w:pPr>
      <w:r>
        <w:rPr>
          <w:color w:val="334155"/>
          <w:sz w:val="19"/>
        </w:rPr>
        <w:t>•</w:t>
      </w:r>
    </w:p>
    <w:p>
      <w:pPr>
        <w:spacing w:before="40" w:after="80" w:line="276" w:lineRule="auto"/>
      </w:pPr>
      <w:r>
        <w:rPr>
          <w:color w:val="334155"/>
          <w:sz w:val="19"/>
        </w:rPr>
        <w:t>Completion of rehabilitation and Geotechnical verification</w:t>
      </w:r>
    </w:p>
    <w:p>
      <w:pPr>
        <w:spacing w:before="40" w:after="80" w:line="276" w:lineRule="auto"/>
      </w:pPr>
      <w:r>
        <w:rPr>
          <w:color w:val="334155"/>
          <w:sz w:val="19"/>
        </w:rPr>
        <w:t>•</w:t>
      </w:r>
    </w:p>
    <w:p>
      <w:pPr>
        <w:spacing w:before="40" w:after="80" w:line="276" w:lineRule="auto"/>
      </w:pPr>
      <w:r>
        <w:rPr>
          <w:color w:val="334155"/>
          <w:sz w:val="19"/>
        </w:rPr>
        <w:t>Detailed flood assessment (including climate change and interaction</w:t>
      </w:r>
    </w:p>
    <w:p>
      <w:pPr>
        <w:spacing w:before="40" w:after="80" w:line="276" w:lineRule="auto"/>
      </w:pPr>
      <w:r>
        <w:rPr>
          <w:color w:val="334155"/>
          <w:sz w:val="19"/>
        </w:rPr>
        <w:t>scenarios)</w:t>
      </w:r>
    </w:p>
    <w:p>
      <w:pPr>
        <w:spacing w:before="40" w:after="80" w:line="276" w:lineRule="auto"/>
      </w:pPr>
      <w:r>
        <w:rPr>
          <w:color w:val="334155"/>
          <w:sz w:val="19"/>
        </w:rPr>
        <w:t>•</w:t>
      </w:r>
    </w:p>
    <w:p>
      <w:pPr>
        <w:spacing w:before="40" w:after="80" w:line="276" w:lineRule="auto"/>
      </w:pPr>
      <w:r>
        <w:rPr>
          <w:color w:val="334155"/>
          <w:sz w:val="19"/>
        </w:rPr>
        <w:t>Delivery of enabling infrastructure and servicing (including consideration</w:t>
      </w:r>
    </w:p>
    <w:p>
      <w:pPr>
        <w:spacing w:before="40" w:after="80" w:line="276" w:lineRule="auto"/>
      </w:pPr>
      <w:r>
        <w:rPr>
          <w:color w:val="334155"/>
          <w:sz w:val="19"/>
        </w:rPr>
        <w:t>of onsite servicing)</w:t>
      </w:r>
    </w:p>
    <w:p>
      <w:pPr>
        <w:spacing w:before="40" w:after="80" w:line="276" w:lineRule="auto"/>
      </w:pPr>
      <w:r>
        <w:rPr>
          <w:color w:val="334155"/>
          <w:sz w:val="19"/>
        </w:rPr>
        <w:t>•</w:t>
      </w:r>
    </w:p>
    <w:p>
      <w:pPr>
        <w:spacing w:before="40" w:after="80" w:line="276" w:lineRule="auto"/>
      </w:pPr>
      <w:r>
        <w:rPr>
          <w:color w:val="334155"/>
          <w:sz w:val="19"/>
        </w:rPr>
        <w:t>Assessment of biodiversity constraints to confirm developable land</w:t>
      </w:r>
    </w:p>
    <w:p>
      <w:pPr>
        <w:spacing w:before="40" w:after="80" w:line="276" w:lineRule="auto"/>
      </w:pPr>
      <w:r>
        <w:rPr>
          <w:color w:val="334155"/>
          <w:sz w:val="19"/>
        </w:rPr>
        <w:t>•</w:t>
      </w:r>
    </w:p>
    <w:p>
      <w:pPr>
        <w:spacing w:before="40" w:after="80" w:line="276" w:lineRule="auto"/>
      </w:pPr>
      <w:r>
        <w:rPr>
          <w:color w:val="334155"/>
          <w:sz w:val="19"/>
        </w:rPr>
        <w:t>Demonstrated market take-up of preceding stages within the sub-</w:t>
      </w:r>
    </w:p>
    <w:p>
      <w:pPr>
        <w:spacing w:before="40" w:after="80" w:line="276" w:lineRule="auto"/>
      </w:pPr>
      <w:r>
        <w:rPr>
          <w:color w:val="334155"/>
          <w:sz w:val="19"/>
        </w:rPr>
        <w:t>precinct or across the Precinct.</w:t>
      </w:r>
    </w:p>
    <w:p>
      <w:pPr>
        <w:spacing w:before="40" w:after="80" w:line="276" w:lineRule="auto"/>
      </w:pPr>
      <w:r>
        <w:rPr>
          <w:color w:val="334155"/>
          <w:sz w:val="19"/>
        </w:rPr>
        <w:t>Barnsley</w:t>
      </w:r>
    </w:p>
    <w:p>
      <w:pPr>
        <w:spacing w:before="40" w:after="80" w:line="276" w:lineRule="auto"/>
      </w:pPr>
      <w:r>
        <w:rPr>
          <w:color w:val="334155"/>
          <w:sz w:val="19"/>
        </w:rPr>
        <w:t>West</w:t>
      </w:r>
    </w:p>
    <w:p>
      <w:pPr>
        <w:spacing w:before="40" w:after="80" w:line="276" w:lineRule="auto"/>
      </w:pPr>
      <w:r>
        <w:rPr>
          <w:color w:val="334155"/>
          <w:sz w:val="19"/>
        </w:rPr>
        <w:t>Short–</w:t>
      </w:r>
    </w:p>
    <w:p>
      <w:pPr>
        <w:spacing w:before="40" w:after="80" w:line="276" w:lineRule="auto"/>
      </w:pPr>
      <w:r>
        <w:rPr>
          <w:color w:val="334155"/>
          <w:sz w:val="19"/>
        </w:rPr>
        <w:t>Medium</w:t>
      </w:r>
    </w:p>
    <w:p>
      <w:pPr>
        <w:spacing w:before="40" w:after="80" w:line="276" w:lineRule="auto"/>
      </w:pPr>
      <w:r>
        <w:rPr>
          <w:color w:val="334155"/>
          <w:sz w:val="19"/>
        </w:rPr>
        <w:t>Early to progressive</w:t>
      </w:r>
    </w:p>
    <w:p>
      <w:pPr>
        <w:spacing w:before="40" w:after="80" w:line="276" w:lineRule="auto"/>
      </w:pPr>
      <w:r>
        <w:rPr>
          <w:color w:val="334155"/>
          <w:sz w:val="19"/>
        </w:rPr>
        <w:t>activation</w:t>
      </w:r>
    </w:p>
    <w:p>
      <w:pPr>
        <w:spacing w:before="40" w:after="80" w:line="276" w:lineRule="auto"/>
      </w:pPr>
      <w:r>
        <w:rPr>
          <w:color w:val="334155"/>
          <w:sz w:val="19"/>
        </w:rPr>
        <w:t>•</w:t>
      </w:r>
    </w:p>
    <w:p>
      <w:pPr>
        <w:spacing w:before="40" w:after="80" w:line="276" w:lineRule="auto"/>
      </w:pPr>
      <w:r>
        <w:rPr>
          <w:color w:val="334155"/>
          <w:sz w:val="19"/>
        </w:rPr>
        <w:t>Confirmation of servicing capacity</w:t>
      </w:r>
    </w:p>
    <w:p>
      <w:pPr>
        <w:spacing w:before="40" w:after="80" w:line="276" w:lineRule="auto"/>
      </w:pPr>
      <w:r>
        <w:rPr>
          <w:color w:val="334155"/>
          <w:sz w:val="19"/>
        </w:rPr>
        <w:t>•</w:t>
      </w:r>
    </w:p>
    <w:p>
      <w:pPr>
        <w:spacing w:before="40" w:after="80" w:line="276" w:lineRule="auto"/>
      </w:pPr>
      <w:r>
        <w:rPr>
          <w:color w:val="334155"/>
          <w:sz w:val="19"/>
        </w:rPr>
        <w:t>Local access upgrades</w:t>
      </w:r>
    </w:p>
    <w:p>
      <w:pPr>
        <w:spacing w:before="40" w:after="80" w:line="276" w:lineRule="auto"/>
      </w:pPr>
      <w:r>
        <w:rPr>
          <w:color w:val="334155"/>
          <w:sz w:val="19"/>
        </w:rPr>
        <w:t>•</w:t>
      </w:r>
    </w:p>
    <w:p>
      <w:pPr>
        <w:spacing w:before="40" w:after="80" w:line="276" w:lineRule="auto"/>
      </w:pPr>
      <w:r>
        <w:rPr>
          <w:color w:val="334155"/>
          <w:sz w:val="19"/>
        </w:rPr>
        <w:t>Verification of biodiversity and transmission easement constraints</w:t>
      </w:r>
    </w:p>
    <w:p>
      <w:pPr>
        <w:spacing w:before="40" w:after="80" w:line="276" w:lineRule="auto"/>
      </w:pPr>
      <w:r>
        <w:rPr>
          <w:color w:val="334155"/>
          <w:sz w:val="19"/>
        </w:rPr>
        <w:t>•</w:t>
      </w:r>
    </w:p>
    <w:p>
      <w:pPr>
        <w:spacing w:before="40" w:after="80" w:line="276" w:lineRule="auto"/>
      </w:pPr>
      <w:r>
        <w:rPr>
          <w:color w:val="334155"/>
          <w:sz w:val="19"/>
        </w:rPr>
        <w:t>Assessment and response to local constraints and management of</w:t>
      </w:r>
    </w:p>
    <w:p>
      <w:pPr>
        <w:spacing w:before="40" w:after="80" w:line="276" w:lineRule="auto"/>
      </w:pPr>
      <w:r>
        <w:rPr>
          <w:color w:val="334155"/>
          <w:sz w:val="19"/>
        </w:rPr>
        <w:t>interface conditions with adjacent sensitive land uses</w:t>
      </w:r>
    </w:p>
    <w:p>
      <w:pPr>
        <w:spacing w:before="40" w:after="80" w:line="276" w:lineRule="auto"/>
      </w:pPr>
      <w:r>
        <w:rPr>
          <w:color w:val="334155"/>
          <w:sz w:val="19"/>
        </w:rPr>
        <w:t>Teralba</w:t>
      </w:r>
    </w:p>
    <w:p>
      <w:pPr>
        <w:spacing w:before="40" w:after="80" w:line="276" w:lineRule="auto"/>
      </w:pPr>
      <w:r>
        <w:rPr>
          <w:color w:val="334155"/>
          <w:sz w:val="19"/>
        </w:rPr>
        <w:t>Short</w:t>
      </w:r>
    </w:p>
    <w:p>
      <w:pPr>
        <w:spacing w:before="40" w:after="80" w:line="276" w:lineRule="auto"/>
      </w:pPr>
      <w:r>
        <w:rPr>
          <w:color w:val="334155"/>
          <w:sz w:val="19"/>
        </w:rPr>
        <w:t>Early activation of</w:t>
      </w:r>
    </w:p>
    <w:p>
      <w:pPr>
        <w:spacing w:before="40" w:after="80" w:line="276" w:lineRule="auto"/>
      </w:pPr>
      <w:r>
        <w:rPr>
          <w:color w:val="334155"/>
          <w:sz w:val="19"/>
        </w:rPr>
        <w:t>residential development</w:t>
      </w:r>
    </w:p>
    <w:p>
      <w:pPr>
        <w:spacing w:before="40" w:after="80" w:line="276" w:lineRule="auto"/>
      </w:pPr>
      <w:r>
        <w:rPr>
          <w:color w:val="334155"/>
          <w:sz w:val="19"/>
        </w:rPr>
        <w:t>leveraging existing</w:t>
      </w:r>
    </w:p>
    <w:p>
      <w:pPr>
        <w:spacing w:before="40" w:after="80" w:line="276" w:lineRule="auto"/>
      </w:pPr>
      <w:r>
        <w:rPr>
          <w:color w:val="334155"/>
          <w:sz w:val="19"/>
        </w:rPr>
        <w:t>infrastructure, transport</w:t>
      </w:r>
    </w:p>
    <w:p>
      <w:pPr>
        <w:spacing w:before="40" w:after="80" w:line="276" w:lineRule="auto"/>
      </w:pPr>
      <w:r>
        <w:rPr>
          <w:color w:val="334155"/>
          <w:sz w:val="19"/>
        </w:rPr>
        <w:t>and adjoining centre</w:t>
      </w:r>
    </w:p>
    <w:p>
      <w:pPr>
        <w:spacing w:before="40" w:after="80" w:line="276" w:lineRule="auto"/>
      </w:pPr>
      <w:r>
        <w:rPr>
          <w:color w:val="334155"/>
          <w:sz w:val="19"/>
        </w:rPr>
        <w:t>•</w:t>
      </w:r>
    </w:p>
    <w:p>
      <w:pPr>
        <w:spacing w:before="40" w:after="80" w:line="276" w:lineRule="auto"/>
      </w:pPr>
      <w:r>
        <w:rPr>
          <w:color w:val="334155"/>
          <w:sz w:val="19"/>
        </w:rPr>
        <w:t>Completion of rehabilitation and Geotechnical verification</w:t>
      </w:r>
    </w:p>
    <w:p>
      <w:pPr>
        <w:spacing w:before="40" w:after="80" w:line="276" w:lineRule="auto"/>
      </w:pPr>
      <w:r>
        <w:rPr>
          <w:color w:val="334155"/>
          <w:sz w:val="19"/>
        </w:rPr>
        <w:t>•</w:t>
      </w:r>
    </w:p>
    <w:p>
      <w:pPr>
        <w:spacing w:before="40" w:after="80" w:line="276" w:lineRule="auto"/>
      </w:pPr>
      <w:r>
        <w:rPr>
          <w:color w:val="334155"/>
          <w:sz w:val="19"/>
        </w:rPr>
        <w:t>Completion of Detailed Site Investigation (DSI) and, where required,</w:t>
      </w:r>
    </w:p>
    <w:p>
      <w:pPr>
        <w:spacing w:before="40" w:after="80" w:line="276" w:lineRule="auto"/>
      </w:pPr>
      <w:r>
        <w:rPr>
          <w:color w:val="334155"/>
          <w:sz w:val="19"/>
        </w:rPr>
        <w:t>Remedial Action Plan (RAP)</w:t>
      </w:r>
    </w:p>
    <w:p>
      <w:pPr>
        <w:spacing w:before="40" w:after="80" w:line="276" w:lineRule="auto"/>
      </w:pPr>
      <w:r>
        <w:rPr>
          <w:color w:val="334155"/>
          <w:sz w:val="19"/>
        </w:rPr>
        <w:t>•</w:t>
      </w:r>
    </w:p>
    <w:p>
      <w:pPr>
        <w:spacing w:before="40" w:after="80" w:line="276" w:lineRule="auto"/>
      </w:pPr>
      <w:r>
        <w:rPr>
          <w:color w:val="334155"/>
          <w:sz w:val="19"/>
        </w:rPr>
        <w:t>Confirmation of water and wastewater servicing capacity</w:t>
      </w:r>
    </w:p>
    <w:p>
      <w:pPr>
        <w:spacing w:before="40" w:after="80" w:line="276" w:lineRule="auto"/>
      </w:pPr>
      <w:r>
        <w:rPr>
          <w:color w:val="334155"/>
          <w:sz w:val="19"/>
        </w:rPr>
        <w:t>32</w:t>
      </w:r>
    </w:p>
    <w:p>
      <w:pPr>
        <w:spacing w:before="40" w:after="80" w:line="276" w:lineRule="auto"/>
      </w:pPr>
      <w:r>
        <w:rPr>
          <w:color w:val="334155"/>
          <w:sz w:val="19"/>
        </w:rPr>
        <w:t>4  Structure plan and sub-precinct framework</w:t>
      </w:r>
    </w:p>
    <w:p>
      <w:pPr>
        <w:pStyle w:val="Heading3"/>
        <w:keepNext/>
        <w:spacing w:before="160" w:after="40"/>
      </w:pPr>
      <w:r>
        <w:rPr>
          <w:b/>
          <w:color w:val="334155"/>
        </w:rPr>
        <w:t>Page 33</w:t>
      </w:r>
    </w:p>
    <w:p>
      <w:pPr>
        <w:spacing w:before="40" w:after="80" w:line="276" w:lineRule="auto"/>
      </w:pPr>
      <w:r>
        <w:rPr>
          <w:color w:val="334155"/>
          <w:sz w:val="19"/>
        </w:rPr>
        <w:t>Desired future</w:t>
      </w:r>
    </w:p>
    <w:p>
      <w:pPr>
        <w:spacing w:before="40" w:after="80" w:line="276" w:lineRule="auto"/>
      </w:pPr>
      <w:r>
        <w:rPr>
          <w:color w:val="334155"/>
          <w:sz w:val="19"/>
        </w:rPr>
        <w:t>character</w:t>
      </w:r>
    </w:p>
    <w:p>
      <w:pPr>
        <w:spacing w:before="40" w:after="80" w:line="276" w:lineRule="auto"/>
      </w:pPr>
      <w:r>
        <w:rPr>
          <w:color w:val="334155"/>
          <w:sz w:val="19"/>
        </w:rPr>
        <w:t>The Precinct offers the</w:t>
      </w:r>
    </w:p>
    <w:p>
      <w:pPr>
        <w:spacing w:before="40" w:after="80" w:line="276" w:lineRule="auto"/>
      </w:pPr>
      <w:r>
        <w:rPr>
          <w:color w:val="334155"/>
          <w:sz w:val="19"/>
        </w:rPr>
        <w:t>opportunity to deliver a</w:t>
      </w:r>
    </w:p>
    <w:p>
      <w:pPr>
        <w:spacing w:before="40" w:after="80" w:line="276" w:lineRule="auto"/>
      </w:pPr>
      <w:r>
        <w:rPr>
          <w:color w:val="334155"/>
          <w:sz w:val="19"/>
        </w:rPr>
        <w:t>distinctive future character,</w:t>
      </w:r>
    </w:p>
    <w:p>
      <w:pPr>
        <w:spacing w:before="40" w:after="80" w:line="276" w:lineRule="auto"/>
      </w:pPr>
      <w:r>
        <w:rPr>
          <w:color w:val="334155"/>
          <w:sz w:val="19"/>
        </w:rPr>
        <w:t>shaped by its post mining</w:t>
      </w:r>
    </w:p>
    <w:p>
      <w:pPr>
        <w:spacing w:before="40" w:after="80" w:line="276" w:lineRule="auto"/>
      </w:pPr>
      <w:r>
        <w:rPr>
          <w:color w:val="334155"/>
          <w:sz w:val="19"/>
        </w:rPr>
        <w:t>landscape and a diverse mix</w:t>
      </w:r>
    </w:p>
    <w:p>
      <w:pPr>
        <w:spacing w:before="40" w:after="80" w:line="276" w:lineRule="auto"/>
      </w:pPr>
      <w:r>
        <w:rPr>
          <w:color w:val="334155"/>
          <w:sz w:val="19"/>
        </w:rPr>
        <w:t>of land uses. Employment-</w:t>
      </w:r>
    </w:p>
    <w:p>
      <w:pPr>
        <w:spacing w:before="40" w:after="80" w:line="276" w:lineRule="auto"/>
      </w:pPr>
      <w:r>
        <w:rPr>
          <w:color w:val="334155"/>
          <w:sz w:val="19"/>
        </w:rPr>
        <w:t>generating activity will anchor</w:t>
      </w:r>
    </w:p>
    <w:p>
      <w:pPr>
        <w:spacing w:before="40" w:after="80" w:line="276" w:lineRule="auto"/>
      </w:pPr>
      <w:r>
        <w:rPr>
          <w:color w:val="334155"/>
          <w:sz w:val="19"/>
        </w:rPr>
        <w:t>the Precinct, complemented</w:t>
      </w:r>
    </w:p>
    <w:p>
      <w:pPr>
        <w:spacing w:before="40" w:after="80" w:line="276" w:lineRule="auto"/>
      </w:pPr>
      <w:r>
        <w:rPr>
          <w:color w:val="334155"/>
          <w:sz w:val="19"/>
        </w:rPr>
        <w:t>by commercial, recreation,</w:t>
      </w:r>
    </w:p>
    <w:p>
      <w:pPr>
        <w:spacing w:before="40" w:after="80" w:line="276" w:lineRule="auto"/>
      </w:pPr>
      <w:r>
        <w:rPr>
          <w:color w:val="334155"/>
          <w:sz w:val="19"/>
        </w:rPr>
        <w:t>community and visitor uses.</w:t>
      </w:r>
    </w:p>
    <w:p>
      <w:pPr>
        <w:spacing w:before="40" w:after="80" w:line="276" w:lineRule="auto"/>
      </w:pPr>
      <w:r>
        <w:rPr>
          <w:color w:val="334155"/>
          <w:sz w:val="19"/>
        </w:rPr>
        <w:t>The Precinct will transform a legacy mining</w:t>
      </w:r>
    </w:p>
    <w:p>
      <w:pPr>
        <w:spacing w:before="40" w:after="80" w:line="276" w:lineRule="auto"/>
      </w:pPr>
      <w:r>
        <w:rPr>
          <w:color w:val="334155"/>
          <w:sz w:val="19"/>
        </w:rPr>
        <w:t>landscape into the Lower Hunter’s leading post</w:t>
      </w:r>
    </w:p>
    <w:p>
      <w:pPr>
        <w:spacing w:before="40" w:after="80" w:line="276" w:lineRule="auto"/>
      </w:pPr>
      <w:r>
        <w:rPr>
          <w:color w:val="334155"/>
          <w:sz w:val="19"/>
        </w:rPr>
        <w:t>mining employment precinct, becoming a well-</w:t>
      </w:r>
    </w:p>
    <w:p>
      <w:pPr>
        <w:spacing w:before="40" w:after="80" w:line="276" w:lineRule="auto"/>
      </w:pPr>
      <w:r>
        <w:rPr>
          <w:color w:val="334155"/>
          <w:sz w:val="19"/>
        </w:rPr>
        <w:t>connected, productive and resilient destination</w:t>
      </w:r>
    </w:p>
    <w:p>
      <w:pPr>
        <w:spacing w:before="40" w:after="80" w:line="276" w:lineRule="auto"/>
      </w:pPr>
      <w:r>
        <w:rPr>
          <w:color w:val="334155"/>
          <w:sz w:val="19"/>
        </w:rPr>
        <w:t>that is an attractive place to work, invest,</w:t>
      </w:r>
    </w:p>
    <w:p>
      <w:pPr>
        <w:spacing w:before="40" w:after="80" w:line="276" w:lineRule="auto"/>
      </w:pPr>
      <w:r>
        <w:rPr>
          <w:color w:val="334155"/>
          <w:sz w:val="19"/>
        </w:rPr>
        <w:t>recreate and visit, with high-quality urban form</w:t>
      </w:r>
    </w:p>
    <w:p>
      <w:pPr>
        <w:spacing w:before="40" w:after="80" w:line="276" w:lineRule="auto"/>
      </w:pPr>
      <w:r>
        <w:rPr>
          <w:color w:val="334155"/>
          <w:sz w:val="19"/>
        </w:rPr>
        <w:t>and integrated landscape.</w:t>
      </w:r>
    </w:p>
    <w:p>
      <w:pPr>
        <w:spacing w:before="40" w:after="80" w:line="276" w:lineRule="auto"/>
      </w:pPr>
      <w:r>
        <w:rPr>
          <w:color w:val="334155"/>
          <w:sz w:val="19"/>
        </w:rPr>
        <w:t>5</w:t>
        <w:tab/>
        <w:t xml:space="preserve"> Built form and landscape</w:t>
      </w:r>
    </w:p>
    <w:p>
      <w:pPr>
        <w:spacing w:before="40" w:after="80" w:line="276" w:lineRule="auto"/>
      </w:pPr>
      <w:r>
        <w:rPr>
          <w:color w:val="334155"/>
          <w:sz w:val="19"/>
        </w:rPr>
        <w:t>33</w:t>
      </w:r>
    </w:p>
    <w:p>
      <w:pPr>
        <w:pStyle w:val="Heading3"/>
        <w:keepNext/>
        <w:spacing w:before="160" w:after="40"/>
      </w:pPr>
      <w:r>
        <w:rPr>
          <w:b/>
          <w:color w:val="334155"/>
        </w:rPr>
        <w:t>Page 34</w:t>
      </w:r>
    </w:p>
    <w:p>
      <w:pPr>
        <w:spacing w:before="40" w:after="80" w:line="276" w:lineRule="auto"/>
      </w:pPr>
      <w:r>
        <w:rPr>
          <w:color w:val="334155"/>
          <w:sz w:val="19"/>
        </w:rPr>
        <w:t>The following character principles guide Precinct development.</w:t>
      </w:r>
    </w:p>
    <w:p>
      <w:pPr>
        <w:spacing w:before="40" w:after="80" w:line="276" w:lineRule="auto"/>
      </w:pPr>
      <w:r>
        <w:rPr>
          <w:color w:val="334155"/>
          <w:sz w:val="19"/>
        </w:rPr>
        <w:t>Built form</w:t>
      </w:r>
    </w:p>
    <w:p>
      <w:pPr>
        <w:spacing w:before="40" w:after="80" w:line="276" w:lineRule="auto"/>
      </w:pPr>
      <w:r>
        <w:rPr>
          <w:color w:val="334155"/>
          <w:sz w:val="19"/>
        </w:rPr>
        <w:t>The Precinct supports employment generating development responsive to its</w:t>
      </w:r>
    </w:p>
    <w:p>
      <w:pPr>
        <w:spacing w:before="40" w:after="80" w:line="276" w:lineRule="auto"/>
      </w:pPr>
      <w:r>
        <w:rPr>
          <w:color w:val="334155"/>
          <w:sz w:val="19"/>
        </w:rPr>
        <w:t>landscape context setting. Building orientation, scale and siting is carefully</w:t>
      </w:r>
    </w:p>
    <w:p>
      <w:pPr>
        <w:spacing w:before="40" w:after="80" w:line="276" w:lineRule="auto"/>
      </w:pPr>
      <w:r>
        <w:rPr>
          <w:color w:val="334155"/>
          <w:sz w:val="19"/>
        </w:rPr>
        <w:t>considered to integrate with the site’s natural features.</w:t>
      </w:r>
    </w:p>
    <w:p>
      <w:pPr>
        <w:spacing w:before="40" w:after="80" w:line="276" w:lineRule="auto"/>
      </w:pPr>
      <w:r>
        <w:rPr>
          <w:color w:val="334155"/>
          <w:sz w:val="19"/>
        </w:rPr>
        <w:t>Landscape</w:t>
      </w:r>
    </w:p>
    <w:p>
      <w:pPr>
        <w:spacing w:before="40" w:after="80" w:line="276" w:lineRule="auto"/>
      </w:pPr>
      <w:r>
        <w:rPr>
          <w:color w:val="334155"/>
          <w:sz w:val="19"/>
        </w:rPr>
        <w:t>Building on existing high environmental value, the Precinct protects and</w:t>
      </w:r>
    </w:p>
    <w:p>
      <w:pPr>
        <w:spacing w:before="40" w:after="80" w:line="276" w:lineRule="auto"/>
      </w:pPr>
      <w:r>
        <w:rPr>
          <w:color w:val="334155"/>
          <w:sz w:val="19"/>
        </w:rPr>
        <w:t>enhances its natural landscape, with remnant vegetation and waterways</w:t>
      </w:r>
    </w:p>
    <w:p>
      <w:pPr>
        <w:spacing w:before="40" w:after="80" w:line="276" w:lineRule="auto"/>
      </w:pPr>
      <w:r>
        <w:rPr>
          <w:color w:val="334155"/>
          <w:sz w:val="19"/>
        </w:rPr>
        <w:t>treated as defining landscape elements that shape the Precinct’s character.</w:t>
      </w:r>
    </w:p>
    <w:p>
      <w:pPr>
        <w:spacing w:before="40" w:after="80" w:line="276" w:lineRule="auto"/>
      </w:pPr>
      <w:r>
        <w:rPr>
          <w:color w:val="334155"/>
          <w:sz w:val="19"/>
        </w:rPr>
        <w:t>Biodiversity can be protected near development areas through the</w:t>
      </w:r>
    </w:p>
    <w:p>
      <w:pPr>
        <w:spacing w:before="40" w:after="80" w:line="276" w:lineRule="auto"/>
      </w:pPr>
      <w:r>
        <w:rPr>
          <w:color w:val="334155"/>
          <w:sz w:val="19"/>
        </w:rPr>
        <w:t>establishment of green corridors, landscape buffers and setbacks that</w:t>
      </w:r>
    </w:p>
    <w:p>
      <w:pPr>
        <w:spacing w:before="40" w:after="80" w:line="276" w:lineRule="auto"/>
      </w:pPr>
      <w:r>
        <w:rPr>
          <w:color w:val="334155"/>
          <w:sz w:val="19"/>
        </w:rPr>
        <w:t>respond to topography and ecological systems.</w:t>
      </w:r>
    </w:p>
    <w:p>
      <w:pPr>
        <w:spacing w:before="40" w:after="80" w:line="276" w:lineRule="auto"/>
      </w:pPr>
      <w:r>
        <w:rPr>
          <w:color w:val="334155"/>
          <w:sz w:val="19"/>
        </w:rPr>
        <w:t>Place and identity</w:t>
      </w:r>
    </w:p>
    <w:p>
      <w:pPr>
        <w:spacing w:before="40" w:after="80" w:line="276" w:lineRule="auto"/>
      </w:pPr>
      <w:r>
        <w:rPr>
          <w:color w:val="334155"/>
          <w:sz w:val="19"/>
        </w:rPr>
        <w:t>The Precinct offers the opportunity to create a distinctive identity that</w:t>
      </w:r>
    </w:p>
    <w:p>
      <w:pPr>
        <w:spacing w:before="40" w:after="80" w:line="276" w:lineRule="auto"/>
      </w:pPr>
      <w:r>
        <w:rPr>
          <w:color w:val="334155"/>
          <w:sz w:val="19"/>
        </w:rPr>
        <w:t>reflects its natural qualities, cultural values and industrial history.</w:t>
      </w:r>
    </w:p>
    <w:p>
      <w:pPr>
        <w:spacing w:before="40" w:after="80" w:line="276" w:lineRule="auto"/>
      </w:pPr>
      <w:r>
        <w:rPr>
          <w:color w:val="334155"/>
          <w:sz w:val="19"/>
        </w:rPr>
        <w:t>Public realm and mobility</w:t>
      </w:r>
    </w:p>
    <w:p>
      <w:pPr>
        <w:spacing w:before="40" w:after="80" w:line="276" w:lineRule="auto"/>
      </w:pPr>
      <w:r>
        <w:rPr>
          <w:color w:val="334155"/>
          <w:sz w:val="19"/>
        </w:rPr>
        <w:t>Well-connected to surrounding networks, the site supports safe, clear</w:t>
      </w:r>
    </w:p>
    <w:p>
      <w:pPr>
        <w:spacing w:before="40" w:after="80" w:line="276" w:lineRule="auto"/>
      </w:pPr>
      <w:r>
        <w:rPr>
          <w:color w:val="334155"/>
          <w:sz w:val="19"/>
        </w:rPr>
        <w:t>and legible movement systems that connect sub-precincts, support active</w:t>
      </w:r>
    </w:p>
    <w:p>
      <w:pPr>
        <w:spacing w:before="40" w:after="80" w:line="276" w:lineRule="auto"/>
      </w:pPr>
      <w:r>
        <w:rPr>
          <w:color w:val="334155"/>
          <w:sz w:val="19"/>
        </w:rPr>
        <w:t>transport and prioritise pedestrian amenity and landscape integration at key</w:t>
      </w:r>
    </w:p>
    <w:p>
      <w:pPr>
        <w:spacing w:before="40" w:after="80" w:line="276" w:lineRule="auto"/>
      </w:pPr>
      <w:r>
        <w:rPr>
          <w:color w:val="334155"/>
          <w:sz w:val="19"/>
        </w:rPr>
        <w:t>interfaces. Access and circulation are designed to respond to the scale of</w:t>
      </w:r>
    </w:p>
    <w:p>
      <w:pPr>
        <w:spacing w:before="40" w:after="80" w:line="276" w:lineRule="auto"/>
      </w:pPr>
      <w:r>
        <w:rPr>
          <w:color w:val="334155"/>
          <w:sz w:val="19"/>
        </w:rPr>
        <w:t>employment uses.</w:t>
      </w:r>
    </w:p>
    <w:p>
      <w:pPr>
        <w:spacing w:before="40" w:after="80" w:line="276" w:lineRule="auto"/>
      </w:pPr>
      <w:r>
        <w:rPr>
          <w:color w:val="334155"/>
          <w:sz w:val="19"/>
        </w:rPr>
        <w:t>Sustainability and resilience</w:t>
      </w:r>
    </w:p>
    <w:p>
      <w:pPr>
        <w:spacing w:before="40" w:after="80" w:line="276" w:lineRule="auto"/>
      </w:pPr>
      <w:r>
        <w:rPr>
          <w:color w:val="334155"/>
          <w:sz w:val="19"/>
        </w:rPr>
        <w:t>Built form and landscape design embed water sensitive urban design</w:t>
      </w:r>
    </w:p>
    <w:p>
      <w:pPr>
        <w:spacing w:before="40" w:after="80" w:line="276" w:lineRule="auto"/>
      </w:pPr>
      <w:r>
        <w:rPr>
          <w:color w:val="334155"/>
          <w:sz w:val="19"/>
        </w:rPr>
        <w:t>(WSUD), ecological restoration, efficient resource use and climate resilience,</w:t>
      </w:r>
    </w:p>
    <w:p>
      <w:pPr>
        <w:spacing w:before="40" w:after="80" w:line="276" w:lineRule="auto"/>
      </w:pPr>
      <w:r>
        <w:rPr>
          <w:color w:val="334155"/>
          <w:sz w:val="19"/>
        </w:rPr>
        <w:t>delivering a precinct that performs as a productive landscape.</w:t>
      </w:r>
    </w:p>
    <w:p>
      <w:pPr>
        <w:spacing w:before="40" w:after="80" w:line="276" w:lineRule="auto"/>
      </w:pPr>
      <w:r>
        <w:rPr>
          <w:color w:val="334155"/>
          <w:sz w:val="19"/>
        </w:rPr>
        <w:t>Interface and transition</w:t>
      </w:r>
    </w:p>
    <w:p>
      <w:pPr>
        <w:spacing w:before="40" w:after="80" w:line="276" w:lineRule="auto"/>
      </w:pPr>
      <w:r>
        <w:rPr>
          <w:color w:val="334155"/>
          <w:sz w:val="19"/>
        </w:rPr>
        <w:t>Development at precinct edges manages the transition to environmentally</w:t>
      </w:r>
    </w:p>
    <w:p>
      <w:pPr>
        <w:spacing w:before="40" w:after="80" w:line="276" w:lineRule="auto"/>
      </w:pPr>
      <w:r>
        <w:rPr>
          <w:color w:val="334155"/>
          <w:sz w:val="19"/>
        </w:rPr>
        <w:t>constrained areas and surrounding communities through graduated built</w:t>
      </w:r>
    </w:p>
    <w:p>
      <w:pPr>
        <w:spacing w:before="40" w:after="80" w:line="276" w:lineRule="auto"/>
      </w:pPr>
      <w:r>
        <w:rPr>
          <w:color w:val="334155"/>
          <w:sz w:val="19"/>
        </w:rPr>
        <w:t>form, generous setbacks and landscape buffers that protect amenity and</w:t>
      </w:r>
    </w:p>
    <w:p>
      <w:pPr>
        <w:spacing w:before="40" w:after="80" w:line="276" w:lineRule="auto"/>
      </w:pPr>
      <w:r>
        <w:rPr>
          <w:color w:val="334155"/>
          <w:sz w:val="19"/>
        </w:rPr>
        <w:t>maintain natural character.</w:t>
      </w:r>
    </w:p>
    <w:p>
      <w:pPr>
        <w:spacing w:before="40" w:after="80" w:line="276" w:lineRule="auto"/>
      </w:pPr>
      <w:r>
        <w:rPr>
          <w:color w:val="334155"/>
          <w:sz w:val="19"/>
        </w:rPr>
        <w:t>Flexibility and staged activation</w:t>
      </w:r>
    </w:p>
    <w:p>
      <w:pPr>
        <w:spacing w:before="40" w:after="80" w:line="276" w:lineRule="auto"/>
      </w:pPr>
      <w:r>
        <w:rPr>
          <w:color w:val="334155"/>
          <w:sz w:val="19"/>
        </w:rPr>
        <w:t>Built form and subdivision patterns accommodate staged delivery and</w:t>
      </w:r>
    </w:p>
    <w:p>
      <w:pPr>
        <w:spacing w:before="40" w:after="80" w:line="276" w:lineRule="auto"/>
      </w:pPr>
      <w:r>
        <w:rPr>
          <w:color w:val="334155"/>
          <w:sz w:val="19"/>
        </w:rPr>
        <w:t>evolving uses over time, ensuring that interim conditions and early activation</w:t>
      </w:r>
    </w:p>
    <w:p>
      <w:pPr>
        <w:spacing w:before="40" w:after="80" w:line="276" w:lineRule="auto"/>
      </w:pPr>
      <w:r>
        <w:rPr>
          <w:color w:val="334155"/>
          <w:sz w:val="19"/>
        </w:rPr>
        <w:t>areas contribute positively to precinct character without compromising long-</w:t>
      </w:r>
    </w:p>
    <w:p>
      <w:pPr>
        <w:spacing w:before="40" w:after="80" w:line="276" w:lineRule="auto"/>
      </w:pPr>
      <w:r>
        <w:rPr>
          <w:color w:val="334155"/>
          <w:sz w:val="19"/>
        </w:rPr>
        <w:t>term outcomes.</w:t>
      </w:r>
    </w:p>
    <w:p>
      <w:pPr>
        <w:spacing w:before="40" w:after="80" w:line="276" w:lineRule="auto"/>
      </w:pPr>
      <w:r>
        <w:rPr>
          <w:color w:val="334155"/>
          <w:sz w:val="19"/>
        </w:rPr>
        <w:t>34</w:t>
      </w:r>
    </w:p>
    <w:p>
      <w:pPr>
        <w:spacing w:before="40" w:after="80" w:line="276" w:lineRule="auto"/>
      </w:pPr>
      <w:r>
        <w:rPr>
          <w:color w:val="334155"/>
          <w:sz w:val="19"/>
        </w:rPr>
        <w:t>5  Built form and landscape</w:t>
      </w:r>
    </w:p>
    <w:p>
      <w:pPr>
        <w:pStyle w:val="Heading3"/>
        <w:keepNext/>
        <w:spacing w:before="160" w:after="40"/>
      </w:pPr>
      <w:r>
        <w:rPr>
          <w:b/>
          <w:color w:val="334155"/>
        </w:rPr>
        <w:t>Page 35</w:t>
      </w:r>
    </w:p>
    <w:p>
      <w:pPr>
        <w:spacing w:before="40" w:after="80" w:line="276" w:lineRule="auto"/>
      </w:pPr>
      <w:r>
        <w:rPr>
          <w:color w:val="334155"/>
          <w:sz w:val="19"/>
        </w:rPr>
        <w:t>Urban design and public realm</w:t>
      </w:r>
    </w:p>
    <w:p>
      <w:pPr>
        <w:spacing w:before="40" w:after="80" w:line="276" w:lineRule="auto"/>
      </w:pPr>
      <w:r>
        <w:rPr>
          <w:color w:val="334155"/>
          <w:sz w:val="19"/>
        </w:rPr>
        <w:t>Urban design is guided by shift from mining to</w:t>
      </w:r>
    </w:p>
    <w:p>
      <w:pPr>
        <w:spacing w:before="40" w:after="80" w:line="276" w:lineRule="auto"/>
      </w:pPr>
      <w:r>
        <w:rPr>
          <w:color w:val="334155"/>
          <w:sz w:val="19"/>
        </w:rPr>
        <w:t>employment-generating uses, as well as</w:t>
      </w:r>
    </w:p>
    <w:p>
      <w:pPr>
        <w:spacing w:before="40" w:after="80" w:line="276" w:lineRule="auto"/>
      </w:pPr>
      <w:r>
        <w:rPr>
          <w:color w:val="334155"/>
          <w:sz w:val="19"/>
        </w:rPr>
        <w:t>opportunities for tourism and recreation. The</w:t>
      </w:r>
    </w:p>
    <w:p>
      <w:pPr>
        <w:spacing w:before="40" w:after="80" w:line="276" w:lineRule="auto"/>
      </w:pPr>
      <w:r>
        <w:rPr>
          <w:color w:val="334155"/>
          <w:sz w:val="19"/>
        </w:rPr>
        <w:t>design approach prioritises functional, robust</w:t>
      </w:r>
    </w:p>
    <w:p>
      <w:pPr>
        <w:spacing w:before="40" w:after="80" w:line="276" w:lineRule="auto"/>
      </w:pPr>
      <w:r>
        <w:rPr>
          <w:color w:val="334155"/>
          <w:sz w:val="19"/>
        </w:rPr>
        <w:t>and adaptable built form outcomes that support</w:t>
      </w:r>
    </w:p>
    <w:p>
      <w:pPr>
        <w:spacing w:before="40" w:after="80" w:line="276" w:lineRule="auto"/>
      </w:pPr>
      <w:r>
        <w:rPr>
          <w:color w:val="334155"/>
          <w:sz w:val="19"/>
        </w:rPr>
        <w:t>a range of industrial, logistics and contemporary</w:t>
      </w:r>
    </w:p>
    <w:p>
      <w:pPr>
        <w:spacing w:before="40" w:after="80" w:line="276" w:lineRule="auto"/>
      </w:pPr>
      <w:r>
        <w:rPr>
          <w:color w:val="334155"/>
          <w:sz w:val="19"/>
        </w:rPr>
        <w:t>employment uses.</w:t>
      </w:r>
    </w:p>
    <w:p>
      <w:pPr>
        <w:spacing w:before="40" w:after="80" w:line="276" w:lineRule="auto"/>
      </w:pPr>
      <w:r>
        <w:rPr>
          <w:color w:val="334155"/>
          <w:sz w:val="19"/>
        </w:rPr>
        <w:t>Aims</w:t>
      </w:r>
    </w:p>
    <w:p>
      <w:pPr>
        <w:spacing w:before="40" w:after="80" w:line="276" w:lineRule="auto"/>
      </w:pPr>
      <w:r>
        <w:rPr>
          <w:color w:val="334155"/>
          <w:sz w:val="19"/>
        </w:rPr>
        <w:t>•</w:t>
      </w:r>
    </w:p>
    <w:p>
      <w:pPr>
        <w:spacing w:before="40" w:after="80" w:line="276" w:lineRule="auto"/>
      </w:pPr>
      <w:r>
        <w:rPr>
          <w:color w:val="334155"/>
          <w:sz w:val="19"/>
        </w:rPr>
        <w:t>Achieve high-quality urban design outcomes</w:t>
      </w:r>
    </w:p>
    <w:p>
      <w:pPr>
        <w:spacing w:before="40" w:after="80" w:line="276" w:lineRule="auto"/>
      </w:pPr>
      <w:r>
        <w:rPr>
          <w:color w:val="334155"/>
          <w:sz w:val="19"/>
        </w:rPr>
        <w:t>consistent with the Better Placed (GANSW, 2017)</w:t>
      </w:r>
    </w:p>
    <w:p>
      <w:pPr>
        <w:spacing w:before="40" w:after="80" w:line="276" w:lineRule="auto"/>
      </w:pPr>
      <w:r>
        <w:rPr>
          <w:color w:val="334155"/>
          <w:sz w:val="19"/>
        </w:rPr>
        <w:t>objectives.</w:t>
      </w:r>
    </w:p>
    <w:p>
      <w:pPr>
        <w:spacing w:before="40" w:after="80" w:line="276" w:lineRule="auto"/>
      </w:pPr>
      <w:r>
        <w:rPr>
          <w:color w:val="334155"/>
          <w:sz w:val="19"/>
        </w:rPr>
        <w:t>•</w:t>
      </w:r>
    </w:p>
    <w:p>
      <w:pPr>
        <w:spacing w:before="40" w:after="80" w:line="276" w:lineRule="auto"/>
      </w:pPr>
      <w:r>
        <w:rPr>
          <w:color w:val="334155"/>
          <w:sz w:val="19"/>
        </w:rPr>
        <w:t>Provide a mix of contemporary, high-quality</w:t>
      </w:r>
    </w:p>
    <w:p>
      <w:pPr>
        <w:spacing w:before="40" w:after="80" w:line="276" w:lineRule="auto"/>
      </w:pPr>
      <w:r>
        <w:rPr>
          <w:color w:val="334155"/>
          <w:sz w:val="19"/>
        </w:rPr>
        <w:t>building types and sizes to support employment</w:t>
      </w:r>
    </w:p>
    <w:p>
      <w:pPr>
        <w:spacing w:before="40" w:after="80" w:line="276" w:lineRule="auto"/>
      </w:pPr>
      <w:r>
        <w:rPr>
          <w:color w:val="334155"/>
          <w:sz w:val="19"/>
        </w:rPr>
        <w:t>opportunities that evolve in line with changing</w:t>
      </w:r>
    </w:p>
    <w:p>
      <w:pPr>
        <w:spacing w:before="40" w:after="80" w:line="276" w:lineRule="auto"/>
      </w:pPr>
      <w:r>
        <w:rPr>
          <w:color w:val="334155"/>
          <w:sz w:val="19"/>
        </w:rPr>
        <w:t>economic drivers</w:t>
      </w:r>
    </w:p>
    <w:p>
      <w:pPr>
        <w:spacing w:before="40" w:after="80" w:line="276" w:lineRule="auto"/>
      </w:pPr>
      <w:r>
        <w:rPr>
          <w:color w:val="334155"/>
          <w:sz w:val="19"/>
        </w:rPr>
        <w:t>•</w:t>
      </w:r>
    </w:p>
    <w:p>
      <w:pPr>
        <w:spacing w:before="40" w:after="80" w:line="276" w:lineRule="auto"/>
      </w:pPr>
      <w:r>
        <w:rPr>
          <w:color w:val="334155"/>
          <w:sz w:val="19"/>
        </w:rPr>
        <w:t>Built form to be of high quality, with facades</w:t>
      </w:r>
    </w:p>
    <w:p>
      <w:pPr>
        <w:spacing w:before="40" w:after="80" w:line="276" w:lineRule="auto"/>
      </w:pPr>
      <w:r>
        <w:rPr>
          <w:color w:val="334155"/>
          <w:sz w:val="19"/>
        </w:rPr>
        <w:t>that address the street and that have</w:t>
      </w:r>
    </w:p>
    <w:p>
      <w:pPr>
        <w:spacing w:before="40" w:after="80" w:line="276" w:lineRule="auto"/>
      </w:pPr>
      <w:r>
        <w:rPr>
          <w:color w:val="334155"/>
          <w:sz w:val="19"/>
        </w:rPr>
        <w:t>articulation, modulation, passive surveillance</w:t>
      </w:r>
    </w:p>
    <w:p>
      <w:pPr>
        <w:spacing w:before="40" w:after="80" w:line="276" w:lineRule="auto"/>
      </w:pPr>
      <w:r>
        <w:rPr>
          <w:color w:val="334155"/>
          <w:sz w:val="19"/>
        </w:rPr>
        <w:t>and street activation</w:t>
      </w:r>
    </w:p>
    <w:p>
      <w:pPr>
        <w:spacing w:before="40" w:after="80" w:line="276" w:lineRule="auto"/>
      </w:pPr>
      <w:r>
        <w:rPr>
          <w:color w:val="334155"/>
          <w:sz w:val="19"/>
        </w:rPr>
        <w:t>•</w:t>
      </w:r>
    </w:p>
    <w:p>
      <w:pPr>
        <w:spacing w:before="40" w:after="80" w:line="276" w:lineRule="auto"/>
      </w:pPr>
      <w:r>
        <w:rPr>
          <w:color w:val="334155"/>
          <w:sz w:val="19"/>
        </w:rPr>
        <w:t>Make sure building siting and scale respond to</w:t>
      </w:r>
    </w:p>
    <w:p>
      <w:pPr>
        <w:spacing w:before="40" w:after="80" w:line="276" w:lineRule="auto"/>
      </w:pPr>
      <w:r>
        <w:rPr>
          <w:color w:val="334155"/>
          <w:sz w:val="19"/>
        </w:rPr>
        <w:t>landscape, context, environmental values and</w:t>
      </w:r>
    </w:p>
    <w:p>
      <w:pPr>
        <w:spacing w:before="40" w:after="80" w:line="276" w:lineRule="auto"/>
      </w:pPr>
      <w:r>
        <w:rPr>
          <w:color w:val="334155"/>
          <w:sz w:val="19"/>
        </w:rPr>
        <w:t>interface conditions.</w:t>
      </w:r>
    </w:p>
    <w:p>
      <w:pPr>
        <w:spacing w:before="40" w:after="80" w:line="276" w:lineRule="auto"/>
      </w:pPr>
      <w:r>
        <w:rPr>
          <w:color w:val="334155"/>
          <w:sz w:val="19"/>
        </w:rPr>
        <w:t>•</w:t>
      </w:r>
    </w:p>
    <w:p>
      <w:pPr>
        <w:spacing w:before="40" w:after="80" w:line="276" w:lineRule="auto"/>
      </w:pPr>
      <w:r>
        <w:rPr>
          <w:color w:val="334155"/>
          <w:sz w:val="19"/>
        </w:rPr>
        <w:t>Strengthen precinct identity through landscape,</w:t>
      </w:r>
    </w:p>
    <w:p>
      <w:pPr>
        <w:spacing w:before="40" w:after="80" w:line="276" w:lineRule="auto"/>
      </w:pPr>
      <w:r>
        <w:rPr>
          <w:color w:val="334155"/>
          <w:sz w:val="19"/>
        </w:rPr>
        <w:t>signage, landmarks and heritage-informed</w:t>
      </w:r>
    </w:p>
    <w:p>
      <w:pPr>
        <w:spacing w:before="40" w:after="80" w:line="276" w:lineRule="auto"/>
      </w:pPr>
      <w:r>
        <w:rPr>
          <w:color w:val="334155"/>
          <w:sz w:val="19"/>
        </w:rPr>
        <w:t>placemaking.</w:t>
      </w:r>
    </w:p>
    <w:p>
      <w:pPr>
        <w:spacing w:before="40" w:after="80" w:line="276" w:lineRule="auto"/>
      </w:pPr>
      <w:r>
        <w:rPr>
          <w:color w:val="334155"/>
          <w:sz w:val="19"/>
        </w:rPr>
        <w:t>•</w:t>
      </w:r>
    </w:p>
    <w:p>
      <w:pPr>
        <w:spacing w:before="40" w:after="80" w:line="276" w:lineRule="auto"/>
      </w:pPr>
      <w:r>
        <w:rPr>
          <w:color w:val="334155"/>
          <w:sz w:val="19"/>
        </w:rPr>
        <w:t>Provide landscape setbacks and public realm</w:t>
      </w:r>
    </w:p>
    <w:p>
      <w:pPr>
        <w:spacing w:before="40" w:after="80" w:line="276" w:lineRule="auto"/>
      </w:pPr>
      <w:r>
        <w:rPr>
          <w:color w:val="334155"/>
          <w:sz w:val="19"/>
        </w:rPr>
        <w:t>outcomes that support amenity, biodiversity and</w:t>
      </w:r>
    </w:p>
    <w:p>
      <w:pPr>
        <w:spacing w:before="40" w:after="80" w:line="276" w:lineRule="auto"/>
      </w:pPr>
      <w:r>
        <w:rPr>
          <w:color w:val="334155"/>
          <w:sz w:val="19"/>
        </w:rPr>
        <w:t>movement.</w:t>
      </w:r>
    </w:p>
    <w:p>
      <w:pPr>
        <w:spacing w:before="40" w:after="80" w:line="276" w:lineRule="auto"/>
      </w:pPr>
      <w:r>
        <w:rPr>
          <w:color w:val="334155"/>
          <w:sz w:val="19"/>
        </w:rPr>
        <w:t>•</w:t>
      </w:r>
    </w:p>
    <w:p>
      <w:pPr>
        <w:spacing w:before="40" w:after="80" w:line="276" w:lineRule="auto"/>
      </w:pPr>
      <w:r>
        <w:rPr>
          <w:color w:val="334155"/>
          <w:sz w:val="19"/>
        </w:rPr>
        <w:t>Create an employment precinct, with well-</w:t>
      </w:r>
    </w:p>
    <w:p>
      <w:pPr>
        <w:spacing w:before="40" w:after="80" w:line="276" w:lineRule="auto"/>
      </w:pPr>
      <w:r>
        <w:rPr>
          <w:color w:val="334155"/>
          <w:sz w:val="19"/>
        </w:rPr>
        <w:t>connected buildings, commercial nodes and</w:t>
      </w:r>
    </w:p>
    <w:p>
      <w:pPr>
        <w:spacing w:before="40" w:after="80" w:line="276" w:lineRule="auto"/>
      </w:pPr>
      <w:r>
        <w:rPr>
          <w:color w:val="334155"/>
          <w:sz w:val="19"/>
        </w:rPr>
        <w:t>integrated public and active transport.</w:t>
      </w:r>
    </w:p>
    <w:p>
      <w:pPr>
        <w:spacing w:before="40" w:after="80" w:line="276" w:lineRule="auto"/>
      </w:pPr>
      <w:r>
        <w:rPr>
          <w:color w:val="334155"/>
          <w:sz w:val="19"/>
        </w:rPr>
        <w:t>Performance criteria</w:t>
      </w:r>
    </w:p>
    <w:p>
      <w:pPr>
        <w:spacing w:before="40" w:after="80" w:line="276" w:lineRule="auto"/>
      </w:pPr>
      <w:r>
        <w:rPr>
          <w:color w:val="334155"/>
          <w:sz w:val="19"/>
        </w:rPr>
        <w:t>A. Built form, subdivision patterns, open space</w:t>
      </w:r>
    </w:p>
    <w:p>
      <w:pPr>
        <w:spacing w:before="40" w:after="80" w:line="276" w:lineRule="auto"/>
      </w:pPr>
      <w:r>
        <w:rPr>
          <w:color w:val="334155"/>
          <w:sz w:val="19"/>
        </w:rPr>
        <w:t>and interface treatments must respond to</w:t>
      </w:r>
    </w:p>
    <w:p>
      <w:pPr>
        <w:spacing w:before="40" w:after="80" w:line="276" w:lineRule="auto"/>
      </w:pPr>
      <w:r>
        <w:rPr>
          <w:color w:val="334155"/>
          <w:sz w:val="19"/>
        </w:rPr>
        <w:t>rehabilitated landforms, engineered surfaces</w:t>
      </w:r>
    </w:p>
    <w:p>
      <w:pPr>
        <w:spacing w:before="40" w:after="80" w:line="276" w:lineRule="auto"/>
      </w:pPr>
      <w:r>
        <w:rPr>
          <w:color w:val="334155"/>
          <w:sz w:val="19"/>
        </w:rPr>
        <w:t>and the post mining landscape character of the</w:t>
      </w:r>
    </w:p>
    <w:p>
      <w:pPr>
        <w:spacing w:before="40" w:after="80" w:line="276" w:lineRule="auto"/>
      </w:pPr>
      <w:r>
        <w:rPr>
          <w:color w:val="334155"/>
          <w:sz w:val="19"/>
        </w:rPr>
        <w:t>Precinct.</w:t>
      </w:r>
    </w:p>
    <w:p>
      <w:pPr>
        <w:spacing w:before="40" w:after="80" w:line="276" w:lineRule="auto"/>
      </w:pPr>
      <w:r>
        <w:rPr>
          <w:color w:val="334155"/>
          <w:sz w:val="19"/>
        </w:rPr>
        <w:t>B. Development must contribute to a coherent</w:t>
      </w:r>
    </w:p>
    <w:p>
      <w:pPr>
        <w:spacing w:before="40" w:after="80" w:line="276" w:lineRule="auto"/>
      </w:pPr>
      <w:r>
        <w:rPr>
          <w:color w:val="334155"/>
          <w:sz w:val="19"/>
        </w:rPr>
        <w:t>precinct identity by integrating mining heritage,</w:t>
      </w:r>
    </w:p>
    <w:p>
      <w:pPr>
        <w:spacing w:before="40" w:after="80" w:line="276" w:lineRule="auto"/>
      </w:pPr>
      <w:r>
        <w:rPr>
          <w:color w:val="334155"/>
          <w:sz w:val="19"/>
        </w:rPr>
        <w:t>landscape character and, where relevant,</w:t>
      </w:r>
    </w:p>
    <w:p>
      <w:pPr>
        <w:spacing w:before="40" w:after="80" w:line="276" w:lineRule="auto"/>
      </w:pPr>
      <w:r>
        <w:rPr>
          <w:color w:val="334155"/>
          <w:sz w:val="19"/>
        </w:rPr>
        <w:t>Connecting with Country outcomes into built</w:t>
      </w:r>
    </w:p>
    <w:p>
      <w:pPr>
        <w:spacing w:before="40" w:after="80" w:line="276" w:lineRule="auto"/>
      </w:pPr>
      <w:r>
        <w:rPr>
          <w:color w:val="334155"/>
          <w:sz w:val="19"/>
        </w:rPr>
        <w:t>form, landscape and material selection.</w:t>
      </w:r>
    </w:p>
    <w:p>
      <w:pPr>
        <w:spacing w:before="40" w:after="80" w:line="276" w:lineRule="auto"/>
      </w:pPr>
      <w:r>
        <w:rPr>
          <w:color w:val="334155"/>
          <w:sz w:val="19"/>
        </w:rPr>
        <w:t>C. Buildings must respond to landscape character,</w:t>
      </w:r>
    </w:p>
    <w:p>
      <w:pPr>
        <w:spacing w:before="40" w:after="80" w:line="276" w:lineRule="auto"/>
      </w:pPr>
      <w:r>
        <w:rPr>
          <w:color w:val="334155"/>
          <w:sz w:val="19"/>
        </w:rPr>
        <w:t>topography and interface conditions.</w:t>
      </w:r>
    </w:p>
    <w:p>
      <w:pPr>
        <w:spacing w:before="40" w:after="80" w:line="276" w:lineRule="auto"/>
      </w:pPr>
      <w:r>
        <w:rPr>
          <w:color w:val="334155"/>
          <w:sz w:val="19"/>
        </w:rPr>
        <w:t>D. Building scale and height must respond to the</w:t>
      </w:r>
    </w:p>
    <w:p>
      <w:pPr>
        <w:spacing w:before="40" w:after="80" w:line="276" w:lineRule="auto"/>
      </w:pPr>
      <w:r>
        <w:rPr>
          <w:color w:val="334155"/>
          <w:sz w:val="19"/>
        </w:rPr>
        <w:t>surrounding context, consider visual impact and</w:t>
      </w:r>
    </w:p>
    <w:p>
      <w:pPr>
        <w:spacing w:before="40" w:after="80" w:line="276" w:lineRule="auto"/>
      </w:pPr>
      <w:r>
        <w:rPr>
          <w:color w:val="334155"/>
          <w:sz w:val="19"/>
        </w:rPr>
        <w:t>contribute to an appropriate variation in built</w:t>
      </w:r>
    </w:p>
    <w:p>
      <w:pPr>
        <w:spacing w:before="40" w:after="80" w:line="276" w:lineRule="auto"/>
      </w:pPr>
      <w:r>
        <w:rPr>
          <w:color w:val="334155"/>
          <w:sz w:val="19"/>
        </w:rPr>
        <w:t>form character across the Precinct.</w:t>
      </w:r>
    </w:p>
    <w:p>
      <w:pPr>
        <w:spacing w:before="40" w:after="80" w:line="276" w:lineRule="auto"/>
      </w:pPr>
      <w:r>
        <w:rPr>
          <w:color w:val="334155"/>
          <w:sz w:val="19"/>
        </w:rPr>
        <w:t>E. Road setbacks must incorporate landscape</w:t>
      </w:r>
    </w:p>
    <w:p>
      <w:pPr>
        <w:spacing w:before="40" w:after="80" w:line="276" w:lineRule="auto"/>
      </w:pPr>
      <w:r>
        <w:rPr>
          <w:color w:val="334155"/>
          <w:sz w:val="19"/>
        </w:rPr>
        <w:t>treatments that strengthen precinct character</w:t>
      </w:r>
    </w:p>
    <w:p>
      <w:pPr>
        <w:spacing w:before="40" w:after="80" w:line="276" w:lineRule="auto"/>
      </w:pPr>
      <w:r>
        <w:rPr>
          <w:color w:val="334155"/>
          <w:sz w:val="19"/>
        </w:rPr>
        <w:t>and support biodiversity and amenity outcomes.</w:t>
      </w:r>
    </w:p>
    <w:p>
      <w:pPr>
        <w:spacing w:before="40" w:after="80" w:line="276" w:lineRule="auto"/>
      </w:pPr>
      <w:r>
        <w:rPr>
          <w:color w:val="334155"/>
          <w:sz w:val="19"/>
        </w:rPr>
        <w:t>F.</w:t>
        <w:tab/>
        <w:t xml:space="preserve"> Where existing structures are retained, adaptive</w:t>
      </w:r>
    </w:p>
    <w:p>
      <w:pPr>
        <w:spacing w:before="40" w:after="80" w:line="276" w:lineRule="auto"/>
      </w:pPr>
      <w:r>
        <w:rPr>
          <w:color w:val="334155"/>
          <w:sz w:val="19"/>
        </w:rPr>
        <w:t>reuse must demonstrate compliance with</w:t>
      </w:r>
    </w:p>
    <w:p>
      <w:pPr>
        <w:spacing w:before="40" w:after="80" w:line="276" w:lineRule="auto"/>
      </w:pPr>
      <w:r>
        <w:rPr>
          <w:color w:val="334155"/>
          <w:sz w:val="19"/>
        </w:rPr>
        <w:t>current safety and accessibility requirements.</w:t>
      </w:r>
    </w:p>
    <w:p>
      <w:pPr>
        <w:spacing w:before="40" w:after="80" w:line="276" w:lineRule="auto"/>
      </w:pPr>
      <w:r>
        <w:rPr>
          <w:color w:val="334155"/>
          <w:sz w:val="19"/>
        </w:rPr>
        <w:t>G. Public domain, landscape and street design</w:t>
      </w:r>
    </w:p>
    <w:p>
      <w:pPr>
        <w:spacing w:before="40" w:after="80" w:line="276" w:lineRule="auto"/>
      </w:pPr>
      <w:r>
        <w:rPr>
          <w:color w:val="334155"/>
          <w:sz w:val="19"/>
        </w:rPr>
        <w:t>must integrate WSUD assets to support urban</w:t>
      </w:r>
    </w:p>
    <w:p>
      <w:pPr>
        <w:spacing w:before="40" w:after="80" w:line="276" w:lineRule="auto"/>
      </w:pPr>
      <w:r>
        <w:rPr>
          <w:color w:val="334155"/>
          <w:sz w:val="19"/>
        </w:rPr>
        <w:t>cooling, biodiversity, amenity and place identity.</w:t>
      </w:r>
    </w:p>
    <w:p>
      <w:pPr>
        <w:spacing w:before="40" w:after="80" w:line="276" w:lineRule="auto"/>
      </w:pPr>
      <w:r>
        <w:rPr>
          <w:color w:val="334155"/>
          <w:sz w:val="19"/>
        </w:rPr>
        <w:t>Figure 23: Indicative industrial built form</w:t>
      </w:r>
    </w:p>
    <w:p>
      <w:pPr>
        <w:spacing w:before="40" w:after="80" w:line="276" w:lineRule="auto"/>
      </w:pPr>
      <w:r>
        <w:rPr>
          <w:color w:val="334155"/>
          <w:sz w:val="19"/>
        </w:rPr>
        <w:t>development concept</w:t>
      </w:r>
    </w:p>
    <w:p>
      <w:pPr>
        <w:spacing w:before="40" w:after="80" w:line="276" w:lineRule="auto"/>
      </w:pPr>
      <w:r>
        <w:rPr>
          <w:color w:val="334155"/>
          <w:sz w:val="19"/>
        </w:rPr>
        <w:t>Figure 24:  Indicative public realm development</w:t>
      </w:r>
    </w:p>
    <w:p>
      <w:pPr>
        <w:spacing w:before="40" w:after="80" w:line="276" w:lineRule="auto"/>
      </w:pPr>
      <w:r>
        <w:rPr>
          <w:color w:val="334155"/>
          <w:sz w:val="19"/>
        </w:rPr>
        <w:t>concept</w:t>
      </w:r>
    </w:p>
    <w:p>
      <w:pPr>
        <w:spacing w:before="40" w:after="80" w:line="276" w:lineRule="auto"/>
      </w:pPr>
      <w:r>
        <w:rPr>
          <w:color w:val="334155"/>
          <w:sz w:val="19"/>
        </w:rPr>
        <w:t>35</w:t>
      </w:r>
    </w:p>
    <w:p>
      <w:pPr>
        <w:spacing w:before="40" w:after="80" w:line="276" w:lineRule="auto"/>
      </w:pPr>
      <w:r>
        <w:rPr>
          <w:color w:val="334155"/>
          <w:sz w:val="19"/>
        </w:rPr>
        <w:t>5  Built form and landscape</w:t>
      </w:r>
    </w:p>
    <w:p>
      <w:pPr>
        <w:pStyle w:val="Heading3"/>
        <w:keepNext/>
        <w:spacing w:before="160" w:after="40"/>
      </w:pPr>
      <w:r>
        <w:rPr>
          <w:b/>
          <w:color w:val="334155"/>
        </w:rPr>
        <w:t>Page 36</w:t>
      </w:r>
    </w:p>
    <w:p>
      <w:pPr>
        <w:spacing w:before="40" w:after="80" w:line="276" w:lineRule="auto"/>
      </w:pPr>
      <w:r>
        <w:rPr>
          <w:color w:val="334155"/>
          <w:sz w:val="19"/>
        </w:rPr>
        <w:t>Sub-precinct interface consideration</w:t>
      </w:r>
    </w:p>
    <w:p>
      <w:pPr>
        <w:spacing w:before="40" w:after="80" w:line="276" w:lineRule="auto"/>
      </w:pPr>
      <w:r>
        <w:rPr>
          <w:color w:val="334155"/>
          <w:sz w:val="19"/>
        </w:rPr>
        <w:t>The Precinct incorporates a range of contextual</w:t>
      </w:r>
    </w:p>
    <w:p>
      <w:pPr>
        <w:spacing w:before="40" w:after="80" w:line="276" w:lineRule="auto"/>
      </w:pPr>
      <w:r>
        <w:rPr>
          <w:color w:val="334155"/>
          <w:sz w:val="19"/>
        </w:rPr>
        <w:t>interfaces, including environmentally constrained</w:t>
      </w:r>
    </w:p>
    <w:p>
      <w:pPr>
        <w:spacing w:before="40" w:after="80" w:line="276" w:lineRule="auto"/>
      </w:pPr>
      <w:r>
        <w:rPr>
          <w:color w:val="334155"/>
          <w:sz w:val="19"/>
        </w:rPr>
        <w:t>areas, open space and recreation areas, and</w:t>
      </w:r>
    </w:p>
    <w:p>
      <w:pPr>
        <w:spacing w:before="40" w:after="80" w:line="276" w:lineRule="auto"/>
      </w:pPr>
      <w:r>
        <w:rPr>
          <w:color w:val="334155"/>
          <w:sz w:val="19"/>
        </w:rPr>
        <w:t>external sensitive receivers such as established</w:t>
      </w:r>
    </w:p>
    <w:p>
      <w:pPr>
        <w:spacing w:before="40" w:after="80" w:line="276" w:lineRule="auto"/>
      </w:pPr>
      <w:r>
        <w:rPr>
          <w:color w:val="334155"/>
          <w:sz w:val="19"/>
        </w:rPr>
        <w:t>residential communities. Three interface typologies</w:t>
      </w:r>
    </w:p>
    <w:p>
      <w:pPr>
        <w:spacing w:before="40" w:after="80" w:line="276" w:lineRule="auto"/>
      </w:pPr>
      <w:r>
        <w:rPr>
          <w:color w:val="334155"/>
          <w:sz w:val="19"/>
        </w:rPr>
        <w:t>guide the design of the Precinct’s edges, each</w:t>
      </w:r>
    </w:p>
    <w:p>
      <w:pPr>
        <w:spacing w:before="40" w:after="80" w:line="276" w:lineRule="auto"/>
      </w:pPr>
      <w:r>
        <w:rPr>
          <w:color w:val="334155"/>
          <w:sz w:val="19"/>
        </w:rPr>
        <w:t>shaped by the values of the adjoining land and</w:t>
      </w:r>
    </w:p>
    <w:p>
      <w:pPr>
        <w:spacing w:before="40" w:after="80" w:line="276" w:lineRule="auto"/>
      </w:pPr>
      <w:r>
        <w:rPr>
          <w:color w:val="334155"/>
          <w:sz w:val="19"/>
        </w:rPr>
        <w:t>the role of the interface in protecting amenity,</w:t>
      </w:r>
    </w:p>
    <w:p>
      <w:pPr>
        <w:spacing w:before="40" w:after="80" w:line="276" w:lineRule="auto"/>
      </w:pPr>
      <w:r>
        <w:rPr>
          <w:color w:val="334155"/>
          <w:sz w:val="19"/>
        </w:rPr>
        <w:t>biodiversity and bushfire safety outcomes:</w:t>
      </w:r>
    </w:p>
    <w:p>
      <w:pPr>
        <w:spacing w:before="40" w:after="80" w:line="276" w:lineRule="auto"/>
      </w:pPr>
      <w:r>
        <w:rPr>
          <w:color w:val="334155"/>
          <w:sz w:val="19"/>
        </w:rPr>
        <w:t>•</w:t>
      </w:r>
    </w:p>
    <w:p>
      <w:pPr>
        <w:spacing w:before="40" w:after="80" w:line="276" w:lineRule="auto"/>
      </w:pPr>
      <w:r>
        <w:rPr>
          <w:color w:val="334155"/>
          <w:sz w:val="19"/>
        </w:rPr>
        <w:t>Typology 1 – Development adjoining</w:t>
      </w:r>
    </w:p>
    <w:p>
      <w:pPr>
        <w:spacing w:before="40" w:after="80" w:line="276" w:lineRule="auto"/>
      </w:pPr>
      <w:r>
        <w:rPr>
          <w:color w:val="334155"/>
          <w:sz w:val="19"/>
        </w:rPr>
        <w:t>environmentally constrained areas (including</w:t>
      </w:r>
    </w:p>
    <w:p>
      <w:pPr>
        <w:spacing w:before="40" w:after="80" w:line="276" w:lineRule="auto"/>
      </w:pPr>
      <w:r>
        <w:rPr>
          <w:color w:val="334155"/>
          <w:sz w:val="19"/>
        </w:rPr>
        <w:t>heavily vegetated and bushfire-prone areas)</w:t>
      </w:r>
    </w:p>
    <w:p>
      <w:pPr>
        <w:spacing w:before="40" w:after="80" w:line="276" w:lineRule="auto"/>
      </w:pPr>
      <w:r>
        <w:rPr>
          <w:color w:val="334155"/>
          <w:sz w:val="19"/>
        </w:rPr>
        <w:t>•</w:t>
      </w:r>
    </w:p>
    <w:p>
      <w:pPr>
        <w:spacing w:before="40" w:after="80" w:line="276" w:lineRule="auto"/>
      </w:pPr>
      <w:r>
        <w:rPr>
          <w:color w:val="334155"/>
          <w:sz w:val="19"/>
        </w:rPr>
        <w:t>Typology 2 – Developable area to open space</w:t>
      </w:r>
    </w:p>
    <w:p>
      <w:pPr>
        <w:spacing w:before="40" w:after="80" w:line="276" w:lineRule="auto"/>
      </w:pPr>
      <w:r>
        <w:rPr>
          <w:color w:val="334155"/>
          <w:sz w:val="19"/>
        </w:rPr>
        <w:t>and recreation areas</w:t>
      </w:r>
    </w:p>
    <w:p>
      <w:pPr>
        <w:spacing w:before="40" w:after="80" w:line="276" w:lineRule="auto"/>
      </w:pPr>
      <w:r>
        <w:rPr>
          <w:color w:val="334155"/>
          <w:sz w:val="19"/>
        </w:rPr>
        <w:t>•</w:t>
      </w:r>
    </w:p>
    <w:p>
      <w:pPr>
        <w:spacing w:before="40" w:after="80" w:line="276" w:lineRule="auto"/>
      </w:pPr>
      <w:r>
        <w:rPr>
          <w:color w:val="334155"/>
          <w:sz w:val="19"/>
        </w:rPr>
        <w:t>Typology 3 – Precinct boundary to external</w:t>
      </w:r>
    </w:p>
    <w:p>
      <w:pPr>
        <w:spacing w:before="40" w:after="80" w:line="276" w:lineRule="auto"/>
      </w:pPr>
      <w:r>
        <w:rPr>
          <w:color w:val="334155"/>
          <w:sz w:val="19"/>
        </w:rPr>
        <w:t>context (including adjoining residential and</w:t>
      </w:r>
    </w:p>
    <w:p>
      <w:pPr>
        <w:spacing w:before="40" w:after="80" w:line="276" w:lineRule="auto"/>
      </w:pPr>
      <w:r>
        <w:rPr>
          <w:color w:val="334155"/>
          <w:sz w:val="19"/>
        </w:rPr>
        <w:t>other sensitive receivers).</w:t>
      </w:r>
    </w:p>
    <w:p>
      <w:pPr>
        <w:spacing w:before="40" w:after="80" w:line="276" w:lineRule="auto"/>
      </w:pPr>
      <w:r>
        <w:rPr>
          <w:color w:val="334155"/>
          <w:sz w:val="19"/>
        </w:rPr>
        <w:t>Each typology is illustrated separately in Figure 25</w:t>
      </w:r>
    </w:p>
    <w:p>
      <w:pPr>
        <w:spacing w:before="40" w:after="80" w:line="276" w:lineRule="auto"/>
      </w:pPr>
      <w:r>
        <w:rPr>
          <w:color w:val="334155"/>
          <w:sz w:val="19"/>
        </w:rPr>
        <w:t>to Figure 27. Together, these treatments establish</w:t>
      </w:r>
    </w:p>
    <w:p>
      <w:pPr>
        <w:spacing w:before="40" w:after="80" w:line="276" w:lineRule="auto"/>
      </w:pPr>
      <w:r>
        <w:rPr>
          <w:color w:val="334155"/>
          <w:sz w:val="19"/>
        </w:rPr>
        <w:t>high-quality, well-managed edges that retain</w:t>
      </w:r>
    </w:p>
    <w:p>
      <w:pPr>
        <w:spacing w:before="40" w:after="80" w:line="276" w:lineRule="auto"/>
      </w:pPr>
      <w:r>
        <w:rPr>
          <w:color w:val="334155"/>
          <w:sz w:val="19"/>
        </w:rPr>
        <w:t>the values of adjoining land while supporting the</w:t>
      </w:r>
    </w:p>
    <w:p>
      <w:pPr>
        <w:spacing w:before="40" w:after="80" w:line="276" w:lineRule="auto"/>
      </w:pPr>
      <w:r>
        <w:rPr>
          <w:color w:val="334155"/>
          <w:sz w:val="19"/>
        </w:rPr>
        <w:t>Precinct’s long-term productive use.</w:t>
      </w:r>
    </w:p>
    <w:p>
      <w:pPr>
        <w:spacing w:before="40" w:after="80" w:line="276" w:lineRule="auto"/>
      </w:pPr>
      <w:r>
        <w:rPr>
          <w:color w:val="334155"/>
          <w:sz w:val="19"/>
        </w:rPr>
        <w:t>Aims</w:t>
      </w:r>
    </w:p>
    <w:p>
      <w:pPr>
        <w:spacing w:before="40" w:after="80" w:line="276" w:lineRule="auto"/>
      </w:pPr>
      <w:r>
        <w:rPr>
          <w:color w:val="334155"/>
          <w:sz w:val="19"/>
        </w:rPr>
        <w:t>•</w:t>
      </w:r>
    </w:p>
    <w:p>
      <w:pPr>
        <w:spacing w:before="40" w:after="80" w:line="276" w:lineRule="auto"/>
      </w:pPr>
      <w:r>
        <w:rPr>
          <w:color w:val="334155"/>
          <w:sz w:val="19"/>
        </w:rPr>
        <w:t>Establish clear, durable transitions between</w:t>
      </w:r>
    </w:p>
    <w:p>
      <w:pPr>
        <w:spacing w:before="40" w:after="80" w:line="276" w:lineRule="auto"/>
      </w:pPr>
      <w:r>
        <w:rPr>
          <w:color w:val="334155"/>
          <w:sz w:val="19"/>
        </w:rPr>
        <w:t>developable areas, environmentally constrained</w:t>
      </w:r>
    </w:p>
    <w:p>
      <w:pPr>
        <w:spacing w:before="40" w:after="80" w:line="276" w:lineRule="auto"/>
      </w:pPr>
      <w:r>
        <w:rPr>
          <w:color w:val="334155"/>
          <w:sz w:val="19"/>
        </w:rPr>
        <w:t>areas, open space and surrounding</w:t>
      </w:r>
    </w:p>
    <w:p>
      <w:pPr>
        <w:spacing w:before="40" w:after="80" w:line="276" w:lineRule="auto"/>
      </w:pPr>
      <w:r>
        <w:rPr>
          <w:color w:val="334155"/>
          <w:sz w:val="19"/>
        </w:rPr>
        <w:t>communities.</w:t>
      </w:r>
    </w:p>
    <w:p>
      <w:pPr>
        <w:spacing w:before="40" w:after="80" w:line="276" w:lineRule="auto"/>
      </w:pPr>
      <w:r>
        <w:rPr>
          <w:color w:val="334155"/>
          <w:sz w:val="19"/>
        </w:rPr>
        <w:t>•</w:t>
      </w:r>
    </w:p>
    <w:p>
      <w:pPr>
        <w:spacing w:before="40" w:after="80" w:line="276" w:lineRule="auto"/>
      </w:pPr>
      <w:r>
        <w:rPr>
          <w:color w:val="334155"/>
          <w:sz w:val="19"/>
        </w:rPr>
        <w:t>Protect biodiversity values, ecological corridors,</w:t>
      </w:r>
    </w:p>
    <w:p>
      <w:pPr>
        <w:spacing w:before="40" w:after="80" w:line="276" w:lineRule="auto"/>
      </w:pPr>
      <w:r>
        <w:rPr>
          <w:color w:val="334155"/>
          <w:sz w:val="19"/>
        </w:rPr>
        <w:t>waterways and cultural heritage from the</w:t>
      </w:r>
    </w:p>
    <w:p>
      <w:pPr>
        <w:spacing w:before="40" w:after="80" w:line="276" w:lineRule="auto"/>
      </w:pPr>
      <w:r>
        <w:rPr>
          <w:color w:val="334155"/>
          <w:sz w:val="19"/>
        </w:rPr>
        <w:t>indirect effects of adjacent development,</w:t>
      </w:r>
    </w:p>
    <w:p>
      <w:pPr>
        <w:spacing w:before="40" w:after="80" w:line="276" w:lineRule="auto"/>
      </w:pPr>
      <w:r>
        <w:rPr>
          <w:color w:val="334155"/>
          <w:sz w:val="19"/>
        </w:rPr>
        <w:t>including noise, light, dust, stormwater runoff,</w:t>
      </w:r>
    </w:p>
    <w:p>
      <w:pPr>
        <w:spacing w:before="40" w:after="80" w:line="276" w:lineRule="auto"/>
      </w:pPr>
      <w:r>
        <w:rPr>
          <w:color w:val="334155"/>
          <w:sz w:val="19"/>
        </w:rPr>
        <w:t>weed invasion and uncontrolled access.</w:t>
      </w:r>
    </w:p>
    <w:p>
      <w:pPr>
        <w:spacing w:before="40" w:after="80" w:line="276" w:lineRule="auto"/>
      </w:pPr>
      <w:r>
        <w:rPr>
          <w:color w:val="334155"/>
          <w:sz w:val="19"/>
        </w:rPr>
        <w:t>•</w:t>
      </w:r>
    </w:p>
    <w:p>
      <w:pPr>
        <w:spacing w:before="40" w:after="80" w:line="276" w:lineRule="auto"/>
      </w:pPr>
      <w:r>
        <w:rPr>
          <w:color w:val="334155"/>
          <w:sz w:val="19"/>
        </w:rPr>
        <w:t>Provide that interface built form responds to the</w:t>
      </w:r>
    </w:p>
    <w:p>
      <w:pPr>
        <w:spacing w:before="40" w:after="80" w:line="276" w:lineRule="auto"/>
      </w:pPr>
      <w:r>
        <w:rPr>
          <w:color w:val="334155"/>
          <w:sz w:val="19"/>
        </w:rPr>
        <w:t>scale, character and amenity of adjoining land.</w:t>
      </w:r>
    </w:p>
    <w:p>
      <w:pPr>
        <w:spacing w:before="40" w:after="80" w:line="276" w:lineRule="auto"/>
      </w:pPr>
      <w:r>
        <w:rPr>
          <w:color w:val="334155"/>
          <w:sz w:val="19"/>
        </w:rPr>
        <w:t>•</w:t>
      </w:r>
    </w:p>
    <w:p>
      <w:pPr>
        <w:spacing w:before="40" w:after="80" w:line="276" w:lineRule="auto"/>
      </w:pPr>
      <w:r>
        <w:rPr>
          <w:color w:val="334155"/>
          <w:sz w:val="19"/>
        </w:rPr>
        <w:t>Maintain permeability and connectivity</w:t>
      </w:r>
    </w:p>
    <w:p>
      <w:pPr>
        <w:spacing w:before="40" w:after="80" w:line="276" w:lineRule="auto"/>
      </w:pPr>
      <w:r>
        <w:rPr>
          <w:color w:val="334155"/>
          <w:sz w:val="19"/>
        </w:rPr>
        <w:t>for people while managing access to</w:t>
      </w:r>
    </w:p>
    <w:p>
      <w:pPr>
        <w:spacing w:before="40" w:after="80" w:line="276" w:lineRule="auto"/>
      </w:pPr>
      <w:r>
        <w:rPr>
          <w:color w:val="334155"/>
          <w:sz w:val="19"/>
        </w:rPr>
        <w:t>environmentally constrained areas.</w:t>
      </w:r>
    </w:p>
    <w:p>
      <w:pPr>
        <w:spacing w:before="40" w:after="80" w:line="276" w:lineRule="auto"/>
      </w:pPr>
      <w:r>
        <w:rPr>
          <w:color w:val="334155"/>
          <w:sz w:val="19"/>
        </w:rPr>
        <w:t>Performance criteria</w:t>
      </w:r>
    </w:p>
    <w:p>
      <w:pPr>
        <w:spacing w:before="40" w:after="80" w:line="276" w:lineRule="auto"/>
      </w:pPr>
      <w:r>
        <w:rPr>
          <w:color w:val="334155"/>
          <w:sz w:val="19"/>
        </w:rPr>
        <w:t>Typology 1 - Development adjoining</w:t>
      </w:r>
    </w:p>
    <w:p>
      <w:pPr>
        <w:spacing w:before="40" w:after="80" w:line="276" w:lineRule="auto"/>
      </w:pPr>
      <w:r>
        <w:rPr>
          <w:color w:val="334155"/>
          <w:sz w:val="19"/>
        </w:rPr>
        <w:t>environmentally constrained areas</w:t>
      </w:r>
    </w:p>
    <w:p>
      <w:pPr>
        <w:spacing w:before="40" w:after="80" w:line="276" w:lineRule="auto"/>
      </w:pPr>
      <w:r>
        <w:rPr>
          <w:color w:val="334155"/>
          <w:sz w:val="19"/>
        </w:rPr>
        <w:t>A. Development adjoining environmentally</w:t>
      </w:r>
    </w:p>
    <w:p>
      <w:pPr>
        <w:spacing w:before="40" w:after="80" w:line="276" w:lineRule="auto"/>
      </w:pPr>
      <w:r>
        <w:rPr>
          <w:color w:val="334155"/>
          <w:sz w:val="19"/>
        </w:rPr>
        <w:t>constrained areas protects ecological values,</w:t>
      </w:r>
    </w:p>
    <w:p>
      <w:pPr>
        <w:spacing w:before="40" w:after="80" w:line="276" w:lineRule="auto"/>
      </w:pPr>
      <w:r>
        <w:rPr>
          <w:color w:val="334155"/>
          <w:sz w:val="19"/>
        </w:rPr>
        <w:t>manages edge effects, accommodates bushfire</w:t>
      </w:r>
    </w:p>
    <w:p>
      <w:pPr>
        <w:spacing w:before="40" w:after="80" w:line="276" w:lineRule="auto"/>
      </w:pPr>
      <w:r>
        <w:rPr>
          <w:color w:val="334155"/>
          <w:sz w:val="19"/>
        </w:rPr>
        <w:t>asset protection requirements and supports a</w:t>
      </w:r>
    </w:p>
    <w:p>
      <w:pPr>
        <w:spacing w:before="40" w:after="80" w:line="276" w:lineRule="auto"/>
      </w:pPr>
      <w:r>
        <w:rPr>
          <w:color w:val="334155"/>
          <w:sz w:val="19"/>
        </w:rPr>
        <w:t>clear, maintainable boundary between urban and</w:t>
      </w:r>
    </w:p>
    <w:p>
      <w:pPr>
        <w:spacing w:before="40" w:after="80" w:line="276" w:lineRule="auto"/>
      </w:pPr>
      <w:r>
        <w:rPr>
          <w:color w:val="334155"/>
          <w:sz w:val="19"/>
        </w:rPr>
        <w:t>conservation land.</w:t>
      </w:r>
    </w:p>
    <w:p>
      <w:pPr>
        <w:spacing w:before="40" w:after="80" w:line="276" w:lineRule="auto"/>
      </w:pPr>
      <w:r>
        <w:rPr>
          <w:color w:val="334155"/>
          <w:sz w:val="19"/>
        </w:rPr>
        <w:t>B. A vegetated buffer planted with locally endemic</w:t>
      </w:r>
    </w:p>
    <w:p>
      <w:pPr>
        <w:spacing w:before="40" w:after="80" w:line="276" w:lineRule="auto"/>
      </w:pPr>
      <w:r>
        <w:rPr>
          <w:color w:val="334155"/>
          <w:sz w:val="19"/>
        </w:rPr>
        <w:t>species must be provided to the environmentally</w:t>
      </w:r>
    </w:p>
    <w:p>
      <w:pPr>
        <w:spacing w:before="40" w:after="80" w:line="276" w:lineRule="auto"/>
      </w:pPr>
      <w:r>
        <w:rPr>
          <w:color w:val="334155"/>
          <w:sz w:val="19"/>
        </w:rPr>
        <w:t>constrained areas, with a baseline width of 30</w:t>
      </w:r>
    </w:p>
    <w:p>
      <w:pPr>
        <w:spacing w:before="40" w:after="80" w:line="276" w:lineRule="auto"/>
      </w:pPr>
      <w:r>
        <w:rPr>
          <w:color w:val="334155"/>
          <w:sz w:val="19"/>
        </w:rPr>
        <w:t>metres. This width may be reduced where a site-</w:t>
      </w:r>
    </w:p>
    <w:p>
      <w:pPr>
        <w:spacing w:before="40" w:after="80" w:line="276" w:lineRule="auto"/>
      </w:pPr>
      <w:r>
        <w:rPr>
          <w:color w:val="334155"/>
          <w:sz w:val="19"/>
        </w:rPr>
        <w:t>specific ecological assessment demonstrates</w:t>
      </w:r>
    </w:p>
    <w:p>
      <w:pPr>
        <w:spacing w:before="40" w:after="80" w:line="276" w:lineRule="auto"/>
      </w:pPr>
      <w:r>
        <w:rPr>
          <w:color w:val="334155"/>
          <w:sz w:val="19"/>
        </w:rPr>
        <w:t>that a narrower buffer will achieve equivalent or</w:t>
      </w:r>
    </w:p>
    <w:p>
      <w:pPr>
        <w:spacing w:before="40" w:after="80" w:line="276" w:lineRule="auto"/>
      </w:pPr>
      <w:r>
        <w:rPr>
          <w:color w:val="334155"/>
          <w:sz w:val="19"/>
        </w:rPr>
        <w:t>improved ecological outcomes, having regard to</w:t>
      </w:r>
    </w:p>
    <w:p>
      <w:pPr>
        <w:spacing w:before="40" w:after="80" w:line="276" w:lineRule="auto"/>
      </w:pPr>
      <w:r>
        <w:rPr>
          <w:color w:val="334155"/>
          <w:sz w:val="19"/>
        </w:rPr>
        <w:t>the sensitivity of the adjoining environmentally</w:t>
      </w:r>
    </w:p>
    <w:p>
      <w:pPr>
        <w:spacing w:before="40" w:after="80" w:line="276" w:lineRule="auto"/>
      </w:pPr>
      <w:r>
        <w:rPr>
          <w:color w:val="334155"/>
          <w:sz w:val="19"/>
        </w:rPr>
        <w:t>constrained area.</w:t>
      </w:r>
    </w:p>
    <w:p>
      <w:pPr>
        <w:spacing w:before="40" w:after="80" w:line="276" w:lineRule="auto"/>
      </w:pPr>
      <w:r>
        <w:rPr>
          <w:color w:val="334155"/>
          <w:sz w:val="19"/>
        </w:rPr>
        <w:t>C. Where a perimeter road provides the interface</w:t>
      </w:r>
    </w:p>
    <w:p>
      <w:pPr>
        <w:spacing w:before="40" w:after="80" w:line="276" w:lineRule="auto"/>
      </w:pPr>
      <w:r>
        <w:rPr>
          <w:color w:val="334155"/>
          <w:sz w:val="19"/>
        </w:rPr>
        <w:t>between developable land and environmentally</w:t>
      </w:r>
    </w:p>
    <w:p>
      <w:pPr>
        <w:spacing w:before="40" w:after="80" w:line="276" w:lineRule="auto"/>
      </w:pPr>
      <w:r>
        <w:rPr>
          <w:color w:val="334155"/>
          <w:sz w:val="19"/>
        </w:rPr>
        <w:t>constrained area, the road reserve may form part</w:t>
      </w:r>
    </w:p>
    <w:p>
      <w:pPr>
        <w:spacing w:before="40" w:after="80" w:line="276" w:lineRule="auto"/>
      </w:pPr>
      <w:r>
        <w:rPr>
          <w:color w:val="334155"/>
          <w:sz w:val="19"/>
        </w:rPr>
        <w:t>of the buffer function.</w:t>
      </w:r>
    </w:p>
    <w:p>
      <w:pPr>
        <w:spacing w:before="40" w:after="80" w:line="276" w:lineRule="auto"/>
      </w:pPr>
      <w:r>
        <w:rPr>
          <w:color w:val="334155"/>
          <w:sz w:val="19"/>
        </w:rPr>
        <w:t>D. The bushland side of any perimeter road must</w:t>
      </w:r>
    </w:p>
    <w:p>
      <w:pPr>
        <w:spacing w:before="40" w:after="80" w:line="276" w:lineRule="auto"/>
      </w:pPr>
      <w:r>
        <w:rPr>
          <w:color w:val="334155"/>
          <w:sz w:val="19"/>
        </w:rPr>
        <w:t>be managed through bush regeneration to retain</w:t>
      </w:r>
    </w:p>
    <w:p>
      <w:pPr>
        <w:spacing w:before="40" w:after="80" w:line="276" w:lineRule="auto"/>
      </w:pPr>
      <w:r>
        <w:rPr>
          <w:color w:val="334155"/>
          <w:sz w:val="19"/>
        </w:rPr>
        <w:t>endemic vegetation and ecological values. The</w:t>
      </w:r>
    </w:p>
    <w:p>
      <w:pPr>
        <w:spacing w:before="40" w:after="80" w:line="276" w:lineRule="auto"/>
      </w:pPr>
      <w:r>
        <w:rPr>
          <w:color w:val="334155"/>
          <w:sz w:val="19"/>
        </w:rPr>
        <w:t>development side of the road must incorporate</w:t>
      </w:r>
    </w:p>
    <w:p>
      <w:pPr>
        <w:spacing w:before="40" w:after="80" w:line="276" w:lineRule="auto"/>
      </w:pPr>
      <w:r>
        <w:rPr>
          <w:color w:val="334155"/>
          <w:sz w:val="19"/>
        </w:rPr>
        <w:t>low-maintenance bushfire asset protection</w:t>
      </w:r>
    </w:p>
    <w:p>
      <w:pPr>
        <w:spacing w:before="40" w:after="80" w:line="276" w:lineRule="auto"/>
      </w:pPr>
      <w:r>
        <w:rPr>
          <w:color w:val="334155"/>
          <w:sz w:val="19"/>
        </w:rPr>
        <w:t>zones (e.g. wide road verges, managed grassed</w:t>
      </w:r>
    </w:p>
    <w:p>
      <w:pPr>
        <w:spacing w:before="40" w:after="80" w:line="276" w:lineRule="auto"/>
      </w:pPr>
      <w:r>
        <w:rPr>
          <w:color w:val="334155"/>
          <w:sz w:val="19"/>
        </w:rPr>
        <w:t>verges) that integrate with the urban edge.</w:t>
      </w:r>
    </w:p>
    <w:p>
      <w:pPr>
        <w:spacing w:before="40" w:after="80" w:line="276" w:lineRule="auto"/>
      </w:pPr>
      <w:r>
        <w:rPr>
          <w:color w:val="334155"/>
          <w:sz w:val="19"/>
        </w:rPr>
        <w:t>E. Buildings, hardstand, storage and operational</w:t>
      </w:r>
    </w:p>
    <w:p>
      <w:pPr>
        <w:spacing w:before="40" w:after="80" w:line="276" w:lineRule="auto"/>
      </w:pPr>
      <w:r>
        <w:rPr>
          <w:color w:val="334155"/>
          <w:sz w:val="19"/>
        </w:rPr>
        <w:t>activities must not be located within the</w:t>
      </w:r>
    </w:p>
    <w:p>
      <w:pPr>
        <w:spacing w:before="40" w:after="80" w:line="276" w:lineRule="auto"/>
      </w:pPr>
      <w:r>
        <w:rPr>
          <w:color w:val="334155"/>
          <w:sz w:val="19"/>
        </w:rPr>
        <w:t>ecological buffer or asset protection zone.</w:t>
      </w:r>
    </w:p>
    <w:p>
      <w:pPr>
        <w:spacing w:before="40" w:after="80" w:line="276" w:lineRule="auto"/>
      </w:pPr>
      <w:r>
        <w:rPr>
          <w:color w:val="334155"/>
          <w:sz w:val="19"/>
        </w:rPr>
        <w:t>F.</w:t>
        <w:tab/>
        <w:t xml:space="preserve"> Development intensity at sensitive environmentally</w:t>
      </w:r>
    </w:p>
    <w:p>
      <w:pPr>
        <w:spacing w:before="40" w:after="80" w:line="276" w:lineRule="auto"/>
      </w:pPr>
      <w:r>
        <w:rPr>
          <w:color w:val="334155"/>
          <w:sz w:val="19"/>
        </w:rPr>
        <w:t>constrained area interfaces is to be reduced</w:t>
      </w:r>
    </w:p>
    <w:p>
      <w:pPr>
        <w:spacing w:before="40" w:after="80" w:line="276" w:lineRule="auto"/>
      </w:pPr>
      <w:r>
        <w:rPr>
          <w:color w:val="334155"/>
          <w:sz w:val="19"/>
        </w:rPr>
        <w:t>through setbacks, lower built form scale where</w:t>
      </w:r>
    </w:p>
    <w:p>
      <w:pPr>
        <w:spacing w:before="40" w:after="80" w:line="276" w:lineRule="auto"/>
      </w:pPr>
      <w:r>
        <w:rPr>
          <w:color w:val="334155"/>
          <w:sz w:val="19"/>
        </w:rPr>
        <w:t>appropriate, and landscape screening to minimise</w:t>
      </w:r>
    </w:p>
    <w:p>
      <w:pPr>
        <w:spacing w:before="40" w:after="80" w:line="276" w:lineRule="auto"/>
      </w:pPr>
      <w:r>
        <w:rPr>
          <w:color w:val="334155"/>
          <w:sz w:val="19"/>
        </w:rPr>
        <w:t>visual and ecological edge effects.</w:t>
      </w:r>
    </w:p>
    <w:p>
      <w:pPr>
        <w:spacing w:before="40" w:after="80" w:line="276" w:lineRule="auto"/>
      </w:pPr>
      <w:r>
        <w:rPr>
          <w:color w:val="334155"/>
          <w:sz w:val="19"/>
        </w:rPr>
        <w:t>G. Lighting adjacent to environmentally constrained</w:t>
      </w:r>
    </w:p>
    <w:p>
      <w:pPr>
        <w:spacing w:before="40" w:after="80" w:line="276" w:lineRule="auto"/>
      </w:pPr>
      <w:r>
        <w:rPr>
          <w:color w:val="334155"/>
          <w:sz w:val="19"/>
        </w:rPr>
        <w:t>areas is to be designed to minimise light spill,</w:t>
      </w:r>
    </w:p>
    <w:p>
      <w:pPr>
        <w:spacing w:before="40" w:after="80" w:line="276" w:lineRule="auto"/>
      </w:pPr>
      <w:r>
        <w:rPr>
          <w:color w:val="334155"/>
          <w:sz w:val="19"/>
        </w:rPr>
        <w:t>glare and ecological disturbance to habitat areas.</w:t>
      </w:r>
    </w:p>
    <w:p>
      <w:pPr>
        <w:spacing w:before="40" w:after="80" w:line="276" w:lineRule="auto"/>
      </w:pPr>
      <w:r>
        <w:rPr>
          <w:color w:val="334155"/>
          <w:sz w:val="19"/>
        </w:rPr>
        <w:t>H. Fencing at environmentally constrained</w:t>
      </w:r>
    </w:p>
    <w:p>
      <w:pPr>
        <w:spacing w:before="40" w:after="80" w:line="276" w:lineRule="auto"/>
      </w:pPr>
      <w:r>
        <w:rPr>
          <w:color w:val="334155"/>
          <w:sz w:val="19"/>
        </w:rPr>
        <w:t>area interfaces must be in the form of a</w:t>
      </w:r>
    </w:p>
    <w:p>
      <w:pPr>
        <w:spacing w:before="40" w:after="80" w:line="276" w:lineRule="auto"/>
      </w:pPr>
      <w:r>
        <w:rPr>
          <w:color w:val="334155"/>
          <w:sz w:val="19"/>
        </w:rPr>
        <w:t>maintainable barrier that controls access to the</w:t>
      </w:r>
    </w:p>
    <w:p>
      <w:pPr>
        <w:spacing w:before="40" w:after="80" w:line="276" w:lineRule="auto"/>
      </w:pPr>
      <w:r>
        <w:rPr>
          <w:color w:val="334155"/>
          <w:sz w:val="19"/>
        </w:rPr>
        <w:t>environmentally constrained area while retaining</w:t>
      </w:r>
    </w:p>
    <w:p>
      <w:pPr>
        <w:spacing w:before="40" w:after="80" w:line="276" w:lineRule="auto"/>
      </w:pPr>
      <w:r>
        <w:rPr>
          <w:color w:val="334155"/>
          <w:sz w:val="19"/>
        </w:rPr>
        <w:t>visual permeability where appropriate.</w:t>
      </w:r>
    </w:p>
    <w:p>
      <w:pPr>
        <w:spacing w:before="40" w:after="80" w:line="276" w:lineRule="auto"/>
      </w:pPr>
      <w:r>
        <w:rPr>
          <w:color w:val="334155"/>
          <w:sz w:val="19"/>
        </w:rPr>
        <w:t>I.</w:t>
      </w:r>
    </w:p>
    <w:p>
      <w:pPr>
        <w:spacing w:before="40" w:after="80" w:line="276" w:lineRule="auto"/>
      </w:pPr>
      <w:r>
        <w:rPr>
          <w:color w:val="334155"/>
          <w:sz w:val="19"/>
        </w:rPr>
        <w:t>Stormwater treatment measures must be located</w:t>
      </w:r>
    </w:p>
    <w:p>
      <w:pPr>
        <w:spacing w:before="40" w:after="80" w:line="276" w:lineRule="auto"/>
      </w:pPr>
      <w:r>
        <w:rPr>
          <w:color w:val="334155"/>
          <w:sz w:val="19"/>
        </w:rPr>
        <w:t>within the developable area and outside riparian</w:t>
      </w:r>
    </w:p>
    <w:p>
      <w:pPr>
        <w:spacing w:before="40" w:after="80" w:line="276" w:lineRule="auto"/>
      </w:pPr>
      <w:r>
        <w:rPr>
          <w:color w:val="334155"/>
          <w:sz w:val="19"/>
        </w:rPr>
        <w:t>buffers and environmentally constrained areas.</w:t>
      </w:r>
    </w:p>
    <w:p>
      <w:pPr>
        <w:spacing w:before="40" w:after="80" w:line="276" w:lineRule="auto"/>
      </w:pPr>
      <w:r>
        <w:rPr>
          <w:color w:val="334155"/>
          <w:sz w:val="19"/>
        </w:rPr>
        <w:t>J.</w:t>
      </w:r>
    </w:p>
    <w:p>
      <w:pPr>
        <w:spacing w:before="40" w:after="80" w:line="276" w:lineRule="auto"/>
      </w:pPr>
      <w:r>
        <w:rPr>
          <w:color w:val="334155"/>
          <w:sz w:val="19"/>
        </w:rPr>
        <w:t>Edge treatments must be designed to prevent</w:t>
      </w:r>
    </w:p>
    <w:p>
      <w:pPr>
        <w:spacing w:before="40" w:after="80" w:line="276" w:lineRule="auto"/>
      </w:pPr>
      <w:r>
        <w:rPr>
          <w:color w:val="334155"/>
          <w:sz w:val="19"/>
        </w:rPr>
        <w:t>ongoing weed invasion into adjacent native</w:t>
      </w:r>
    </w:p>
    <w:p>
      <w:pPr>
        <w:spacing w:before="40" w:after="80" w:line="276" w:lineRule="auto"/>
      </w:pPr>
      <w:r>
        <w:rPr>
          <w:color w:val="334155"/>
          <w:sz w:val="19"/>
        </w:rPr>
        <w:t>vegetation, including through selection of</w:t>
      </w:r>
    </w:p>
    <w:p>
      <w:pPr>
        <w:spacing w:before="40" w:after="80" w:line="276" w:lineRule="auto"/>
      </w:pPr>
      <w:r>
        <w:rPr>
          <w:color w:val="334155"/>
          <w:sz w:val="19"/>
        </w:rPr>
        <w:t>non-invasive landscape species, ongoing</w:t>
      </w:r>
    </w:p>
    <w:p>
      <w:pPr>
        <w:spacing w:before="40" w:after="80" w:line="276" w:lineRule="auto"/>
      </w:pPr>
      <w:r>
        <w:rPr>
          <w:color w:val="334155"/>
          <w:sz w:val="19"/>
        </w:rPr>
        <w:t>36</w:t>
      </w:r>
    </w:p>
    <w:p>
      <w:pPr>
        <w:spacing w:before="40" w:after="80" w:line="276" w:lineRule="auto"/>
      </w:pPr>
      <w:r>
        <w:rPr>
          <w:color w:val="334155"/>
          <w:sz w:val="19"/>
        </w:rPr>
        <w:t>5  Built form and landscape</w:t>
      </w:r>
    </w:p>
    <w:p>
      <w:pPr>
        <w:pStyle w:val="Heading3"/>
        <w:keepNext/>
        <w:spacing w:before="160" w:after="40"/>
      </w:pPr>
      <w:r>
        <w:rPr>
          <w:b/>
          <w:color w:val="334155"/>
        </w:rPr>
        <w:t>Page 37</w:t>
      </w:r>
    </w:p>
    <w:p>
      <w:pPr>
        <w:spacing w:before="40" w:after="80" w:line="276" w:lineRule="auto"/>
      </w:pPr>
      <w:r>
        <w:rPr>
          <w:color w:val="334155"/>
          <w:sz w:val="19"/>
        </w:rPr>
        <w:t>maintenance arrangements and clear physical</w:t>
      </w:r>
    </w:p>
    <w:p>
      <w:pPr>
        <w:spacing w:before="40" w:after="80" w:line="276" w:lineRule="auto"/>
      </w:pPr>
      <w:r>
        <w:rPr>
          <w:color w:val="334155"/>
          <w:sz w:val="19"/>
        </w:rPr>
        <w:t>demarcation.</w:t>
      </w:r>
    </w:p>
    <w:p>
      <w:pPr>
        <w:spacing w:before="40" w:after="80" w:line="276" w:lineRule="auto"/>
      </w:pPr>
      <w:r>
        <w:rPr>
          <w:color w:val="334155"/>
          <w:sz w:val="19"/>
        </w:rPr>
        <w:t>Typology 2 – Developable area to open space and</w:t>
      </w:r>
    </w:p>
    <w:p>
      <w:pPr>
        <w:spacing w:before="40" w:after="80" w:line="276" w:lineRule="auto"/>
      </w:pPr>
      <w:r>
        <w:rPr>
          <w:color w:val="334155"/>
          <w:sz w:val="19"/>
        </w:rPr>
        <w:t>recreation areas</w:t>
      </w:r>
    </w:p>
    <w:p>
      <w:pPr>
        <w:spacing w:before="40" w:after="80" w:line="276" w:lineRule="auto"/>
      </w:pPr>
      <w:r>
        <w:rPr>
          <w:color w:val="334155"/>
          <w:sz w:val="19"/>
        </w:rPr>
        <w:t>A.</w:t>
        <w:tab/>
        <w:t xml:space="preserve"> Development adjoining open space or recreation</w:t>
      </w:r>
    </w:p>
    <w:p>
      <w:pPr>
        <w:spacing w:before="40" w:after="80" w:line="276" w:lineRule="auto"/>
      </w:pPr>
      <w:r>
        <w:rPr>
          <w:color w:val="334155"/>
          <w:sz w:val="19"/>
        </w:rPr>
        <w:t>areas must provide a positive, legible and active</w:t>
      </w:r>
    </w:p>
    <w:p>
      <w:pPr>
        <w:spacing w:before="40" w:after="80" w:line="276" w:lineRule="auto"/>
      </w:pPr>
      <w:r>
        <w:rPr>
          <w:color w:val="334155"/>
          <w:sz w:val="19"/>
        </w:rPr>
        <w:t>interface to the public realm.</w:t>
      </w:r>
    </w:p>
    <w:p>
      <w:pPr>
        <w:spacing w:before="40" w:after="80" w:line="276" w:lineRule="auto"/>
      </w:pPr>
      <w:r>
        <w:rPr>
          <w:color w:val="334155"/>
          <w:sz w:val="19"/>
        </w:rPr>
        <w:t>B.</w:t>
        <w:tab/>
        <w:t xml:space="preserve"> Pedestrian access points and landscape</w:t>
      </w:r>
    </w:p>
    <w:p>
      <w:pPr>
        <w:spacing w:before="40" w:after="80" w:line="276" w:lineRule="auto"/>
      </w:pPr>
      <w:r>
        <w:rPr>
          <w:color w:val="334155"/>
          <w:sz w:val="19"/>
        </w:rPr>
        <w:t>treatments are to integrate seamlessly with</w:t>
      </w:r>
    </w:p>
    <w:p>
      <w:pPr>
        <w:spacing w:before="40" w:after="80" w:line="276" w:lineRule="auto"/>
      </w:pPr>
      <w:r>
        <w:rPr>
          <w:color w:val="334155"/>
          <w:sz w:val="19"/>
        </w:rPr>
        <w:t>adjoining open space.</w:t>
      </w:r>
    </w:p>
    <w:p>
      <w:pPr>
        <w:spacing w:before="40" w:after="80" w:line="276" w:lineRule="auto"/>
      </w:pPr>
      <w:r>
        <w:rPr>
          <w:color w:val="334155"/>
          <w:sz w:val="19"/>
        </w:rPr>
        <w:t>C.</w:t>
        <w:tab/>
        <w:t xml:space="preserve"> Buildings must be oriented to support Crime</w:t>
      </w:r>
    </w:p>
    <w:p>
      <w:pPr>
        <w:spacing w:before="40" w:after="80" w:line="276" w:lineRule="auto"/>
      </w:pPr>
      <w:r>
        <w:rPr>
          <w:color w:val="334155"/>
          <w:sz w:val="19"/>
        </w:rPr>
        <w:t>Prevention Through Environmental Design</w:t>
      </w:r>
    </w:p>
    <w:p>
      <w:pPr>
        <w:spacing w:before="40" w:after="80" w:line="276" w:lineRule="auto"/>
      </w:pPr>
      <w:r>
        <w:rPr>
          <w:color w:val="334155"/>
          <w:sz w:val="19"/>
        </w:rPr>
        <w:t>(CPTED) principles and provide passive</w:t>
      </w:r>
    </w:p>
    <w:p>
      <w:pPr>
        <w:spacing w:before="40" w:after="80" w:line="276" w:lineRule="auto"/>
      </w:pPr>
      <w:r>
        <w:rPr>
          <w:color w:val="334155"/>
          <w:sz w:val="19"/>
        </w:rPr>
        <w:t>surveillance of public open space, where</w:t>
      </w:r>
    </w:p>
    <w:p>
      <w:pPr>
        <w:spacing w:before="40" w:after="80" w:line="276" w:lineRule="auto"/>
      </w:pPr>
      <w:r>
        <w:rPr>
          <w:color w:val="334155"/>
          <w:sz w:val="19"/>
        </w:rPr>
        <w:t>appropriate to the proposed use.</w:t>
      </w:r>
    </w:p>
    <w:p>
      <w:pPr>
        <w:spacing w:before="40" w:after="80" w:line="276" w:lineRule="auto"/>
      </w:pPr>
      <w:r>
        <w:rPr>
          <w:color w:val="334155"/>
          <w:sz w:val="19"/>
        </w:rPr>
        <w:t>D.</w:t>
        <w:tab/>
        <w:t xml:space="preserve"> Open space at sub-precinct interfaces are</w:t>
      </w:r>
    </w:p>
    <w:p>
      <w:pPr>
        <w:spacing w:before="40" w:after="80" w:line="276" w:lineRule="auto"/>
      </w:pPr>
      <w:r>
        <w:rPr>
          <w:color w:val="334155"/>
          <w:sz w:val="19"/>
        </w:rPr>
        <w:t>to function as a connected system that links</w:t>
      </w:r>
    </w:p>
    <w:p>
      <w:pPr>
        <w:spacing w:before="40" w:after="80" w:line="276" w:lineRule="auto"/>
      </w:pPr>
      <w:r>
        <w:rPr>
          <w:color w:val="334155"/>
          <w:sz w:val="19"/>
        </w:rPr>
        <w:t>environmentally constrained areas, walking and</w:t>
      </w:r>
    </w:p>
    <w:p>
      <w:pPr>
        <w:spacing w:before="40" w:after="80" w:line="276" w:lineRule="auto"/>
      </w:pPr>
      <w:r>
        <w:rPr>
          <w:color w:val="334155"/>
          <w:sz w:val="19"/>
        </w:rPr>
        <w:t>cycling routes, significant vegetation and natural</w:t>
      </w:r>
    </w:p>
    <w:p>
      <w:pPr>
        <w:spacing w:before="40" w:after="80" w:line="276" w:lineRule="auto"/>
      </w:pPr>
      <w:r>
        <w:rPr>
          <w:color w:val="334155"/>
          <w:sz w:val="19"/>
        </w:rPr>
        <w:t>landforms.</w:t>
      </w:r>
    </w:p>
    <w:p>
      <w:pPr>
        <w:spacing w:before="40" w:after="80" w:line="276" w:lineRule="auto"/>
      </w:pPr>
      <w:r>
        <w:rPr>
          <w:color w:val="334155"/>
          <w:sz w:val="19"/>
        </w:rPr>
        <w:t>E.</w:t>
        <w:tab/>
        <w:t xml:space="preserve"> Lighting at open space interfaces must support</w:t>
      </w:r>
    </w:p>
    <w:p>
      <w:pPr>
        <w:spacing w:before="40" w:after="80" w:line="276" w:lineRule="auto"/>
      </w:pPr>
      <w:r>
        <w:rPr>
          <w:color w:val="334155"/>
          <w:sz w:val="19"/>
        </w:rPr>
        <w:t>safe pedestrian movement while applying</w:t>
      </w:r>
    </w:p>
    <w:p>
      <w:pPr>
        <w:spacing w:before="40" w:after="80" w:line="276" w:lineRule="auto"/>
      </w:pPr>
      <w:r>
        <w:rPr>
          <w:color w:val="334155"/>
          <w:sz w:val="19"/>
        </w:rPr>
        <w:t>CPTED and wildlife-friendly lighting principles</w:t>
      </w:r>
    </w:p>
    <w:p>
      <w:pPr>
        <w:spacing w:before="40" w:after="80" w:line="276" w:lineRule="auto"/>
      </w:pPr>
      <w:r>
        <w:rPr>
          <w:color w:val="334155"/>
          <w:sz w:val="19"/>
        </w:rPr>
        <w:t>where the open space adjoins or connects to</w:t>
      </w:r>
    </w:p>
    <w:p>
      <w:pPr>
        <w:spacing w:before="40" w:after="80" w:line="276" w:lineRule="auto"/>
      </w:pPr>
      <w:r>
        <w:rPr>
          <w:color w:val="334155"/>
          <w:sz w:val="19"/>
        </w:rPr>
        <w:t>environmentally constrained areas.</w:t>
      </w:r>
    </w:p>
    <w:p>
      <w:pPr>
        <w:spacing w:before="40" w:after="80" w:line="276" w:lineRule="auto"/>
      </w:pPr>
      <w:r>
        <w:rPr>
          <w:color w:val="334155"/>
          <w:sz w:val="19"/>
        </w:rPr>
        <w:t>Typology 3 – Precinct boundary to external context</w:t>
      </w:r>
    </w:p>
    <w:p>
      <w:pPr>
        <w:spacing w:before="40" w:after="80" w:line="276" w:lineRule="auto"/>
      </w:pPr>
      <w:r>
        <w:rPr>
          <w:color w:val="334155"/>
          <w:sz w:val="19"/>
        </w:rPr>
        <w:t>A.</w:t>
        <w:tab/>
        <w:t xml:space="preserve"> Development adjoining residential areas or other</w:t>
      </w:r>
    </w:p>
    <w:p>
      <w:pPr>
        <w:spacing w:before="40" w:after="80" w:line="276" w:lineRule="auto"/>
      </w:pPr>
      <w:r>
        <w:rPr>
          <w:color w:val="334155"/>
          <w:sz w:val="19"/>
        </w:rPr>
        <w:t>sensitive receivers must provide setbacks and</w:t>
      </w:r>
    </w:p>
    <w:p>
      <w:pPr>
        <w:spacing w:before="40" w:after="80" w:line="276" w:lineRule="auto"/>
      </w:pPr>
      <w:r>
        <w:rPr>
          <w:color w:val="334155"/>
          <w:sz w:val="19"/>
        </w:rPr>
        <w:t>landscape buffers informed by detailed land use</w:t>
      </w:r>
    </w:p>
    <w:p>
      <w:pPr>
        <w:spacing w:before="40" w:after="80" w:line="276" w:lineRule="auto"/>
      </w:pPr>
      <w:r>
        <w:rPr>
          <w:color w:val="334155"/>
          <w:sz w:val="19"/>
        </w:rPr>
        <w:t>compatibility and acoustic assessment.</w:t>
      </w:r>
    </w:p>
    <w:p>
      <w:pPr>
        <w:spacing w:before="40" w:after="80" w:line="276" w:lineRule="auto"/>
      </w:pPr>
      <w:r>
        <w:rPr>
          <w:color w:val="334155"/>
          <w:sz w:val="19"/>
        </w:rPr>
        <w:t>B.</w:t>
        <w:tab/>
        <w:t xml:space="preserve"> Buildings at sensitive interfaces must be</w:t>
      </w:r>
    </w:p>
    <w:p>
      <w:pPr>
        <w:spacing w:before="40" w:after="80" w:line="276" w:lineRule="auto"/>
      </w:pPr>
      <w:r>
        <w:rPr>
          <w:color w:val="334155"/>
          <w:sz w:val="19"/>
        </w:rPr>
        <w:t>sited and designed to minimise overlooking,</w:t>
      </w:r>
    </w:p>
    <w:p>
      <w:pPr>
        <w:spacing w:before="40" w:after="80" w:line="276" w:lineRule="auto"/>
      </w:pPr>
      <w:r>
        <w:rPr>
          <w:color w:val="334155"/>
          <w:sz w:val="19"/>
        </w:rPr>
        <w:t>overshadowing and visual dominance.</w:t>
      </w:r>
    </w:p>
    <w:p>
      <w:pPr>
        <w:spacing w:before="40" w:after="80" w:line="276" w:lineRule="auto"/>
      </w:pPr>
      <w:r>
        <w:rPr>
          <w:color w:val="334155"/>
          <w:sz w:val="19"/>
        </w:rPr>
        <w:t>C.</w:t>
        <w:tab/>
        <w:t xml:space="preserve"> Acoustic, air quality and operational mitigation</w:t>
      </w:r>
    </w:p>
    <w:p>
      <w:pPr>
        <w:spacing w:before="40" w:after="80" w:line="276" w:lineRule="auto"/>
      </w:pPr>
      <w:r>
        <w:rPr>
          <w:color w:val="334155"/>
          <w:sz w:val="19"/>
        </w:rPr>
        <w:t>measures must be incorporated where required</w:t>
      </w:r>
    </w:p>
    <w:p>
      <w:pPr>
        <w:spacing w:before="40" w:after="80" w:line="276" w:lineRule="auto"/>
      </w:pPr>
      <w:r>
        <w:rPr>
          <w:color w:val="334155"/>
          <w:sz w:val="19"/>
        </w:rPr>
        <w:t>to manage amenity impacts.</w:t>
      </w:r>
    </w:p>
    <w:p>
      <w:pPr>
        <w:spacing w:before="40" w:after="80" w:line="276" w:lineRule="auto"/>
      </w:pPr>
      <w:r>
        <w:rPr>
          <w:color w:val="334155"/>
          <w:sz w:val="19"/>
        </w:rPr>
        <w:t>D.</w:t>
        <w:tab/>
        <w:t xml:space="preserve"> Heavy vehicle access, loading and servicing</w:t>
      </w:r>
    </w:p>
    <w:p>
      <w:pPr>
        <w:spacing w:before="40" w:after="80" w:line="276" w:lineRule="auto"/>
      </w:pPr>
      <w:r>
        <w:rPr>
          <w:color w:val="334155"/>
          <w:sz w:val="19"/>
        </w:rPr>
        <w:t>areas are not to be located at residential</w:t>
      </w:r>
    </w:p>
    <w:p>
      <w:pPr>
        <w:spacing w:before="40" w:after="80" w:line="276" w:lineRule="auto"/>
      </w:pPr>
      <w:r>
        <w:rPr>
          <w:color w:val="334155"/>
          <w:sz w:val="19"/>
        </w:rPr>
        <w:t>interfaces unless no feasible alternative</w:t>
      </w:r>
    </w:p>
    <w:p>
      <w:pPr>
        <w:spacing w:before="40" w:after="80" w:line="276" w:lineRule="auto"/>
      </w:pPr>
      <w:r>
        <w:rPr>
          <w:color w:val="334155"/>
          <w:sz w:val="19"/>
        </w:rPr>
        <w:t>is available and mitigation measures are</w:t>
      </w:r>
    </w:p>
    <w:p>
      <w:pPr>
        <w:spacing w:before="40" w:after="80" w:line="276" w:lineRule="auto"/>
      </w:pPr>
      <w:r>
        <w:rPr>
          <w:color w:val="334155"/>
          <w:sz w:val="19"/>
        </w:rPr>
        <w:t>implemented to minimise noise, air quality and</w:t>
      </w:r>
    </w:p>
    <w:p>
      <w:pPr>
        <w:spacing w:before="40" w:after="80" w:line="276" w:lineRule="auto"/>
      </w:pPr>
      <w:r>
        <w:rPr>
          <w:color w:val="334155"/>
          <w:sz w:val="19"/>
        </w:rPr>
        <w:t>amenity impacts.</w:t>
      </w:r>
    </w:p>
    <w:p>
      <w:pPr>
        <w:spacing w:before="40" w:after="80" w:line="276" w:lineRule="auto"/>
      </w:pPr>
      <w:r>
        <w:rPr>
          <w:color w:val="334155"/>
          <w:sz w:val="19"/>
        </w:rPr>
        <w:t>E.</w:t>
        <w:tab/>
        <w:t xml:space="preserve"> Landscape screening must use locally</w:t>
      </w:r>
    </w:p>
    <w:p>
      <w:pPr>
        <w:spacing w:before="40" w:after="80" w:line="276" w:lineRule="auto"/>
      </w:pPr>
      <w:r>
        <w:rPr>
          <w:color w:val="334155"/>
          <w:sz w:val="19"/>
        </w:rPr>
        <w:t>endemic species and contribute to amenity and</w:t>
      </w:r>
    </w:p>
    <w:p>
      <w:pPr>
        <w:spacing w:before="40" w:after="80" w:line="276" w:lineRule="auto"/>
      </w:pPr>
      <w:r>
        <w:rPr>
          <w:color w:val="334155"/>
          <w:sz w:val="19"/>
        </w:rPr>
        <w:t>biodiversity outcomes.</w:t>
      </w:r>
    </w:p>
    <w:p>
      <w:pPr>
        <w:spacing w:before="40" w:after="80" w:line="276" w:lineRule="auto"/>
      </w:pPr>
      <w:r>
        <w:rPr>
          <w:color w:val="334155"/>
          <w:sz w:val="19"/>
        </w:rPr>
        <w:t>F.</w:t>
        <w:tab/>
        <w:t xml:space="preserve"> Boundary interface treatments must respond</w:t>
      </w:r>
    </w:p>
    <w:p>
      <w:pPr>
        <w:spacing w:before="40" w:after="80" w:line="276" w:lineRule="auto"/>
      </w:pPr>
      <w:r>
        <w:rPr>
          <w:color w:val="334155"/>
          <w:sz w:val="19"/>
        </w:rPr>
        <w:t>to the characteristics of the adjoining land,</w:t>
      </w:r>
    </w:p>
    <w:p>
      <w:pPr>
        <w:spacing w:before="40" w:after="80" w:line="276" w:lineRule="auto"/>
      </w:pPr>
      <w:r>
        <w:rPr>
          <w:color w:val="334155"/>
          <w:sz w:val="19"/>
        </w:rPr>
        <w:t>including bushfire, ecological, riparian and</w:t>
      </w:r>
    </w:p>
    <w:p>
      <w:pPr>
        <w:spacing w:before="40" w:after="80" w:line="276" w:lineRule="auto"/>
      </w:pPr>
      <w:r>
        <w:rPr>
          <w:color w:val="334155"/>
          <w:sz w:val="19"/>
        </w:rPr>
        <w:t>residential contexts.</w:t>
      </w:r>
    </w:p>
    <w:p>
      <w:pPr>
        <w:spacing w:before="40" w:after="80" w:line="276" w:lineRule="auto"/>
      </w:pPr>
      <w:r>
        <w:rPr>
          <w:color w:val="334155"/>
          <w:sz w:val="19"/>
        </w:rPr>
        <w:t>Figure 25: Indicative interface concept – Typology 1 (Environmentally constrained areas)</w:t>
      </w:r>
    </w:p>
    <w:p>
      <w:pPr>
        <w:spacing w:before="40" w:after="80" w:line="276" w:lineRule="auto"/>
      </w:pPr>
      <w:r>
        <w:rPr>
          <w:color w:val="334155"/>
          <w:sz w:val="19"/>
        </w:rPr>
        <w:t>37</w:t>
      </w:r>
    </w:p>
    <w:p>
      <w:pPr>
        <w:spacing w:before="40" w:after="80" w:line="276" w:lineRule="auto"/>
      </w:pPr>
      <w:r>
        <w:rPr>
          <w:color w:val="334155"/>
          <w:sz w:val="19"/>
        </w:rPr>
        <w:t>5  Built form and landscape</w:t>
      </w:r>
    </w:p>
    <w:p>
      <w:pPr>
        <w:pStyle w:val="Heading3"/>
        <w:keepNext/>
        <w:spacing w:before="160" w:after="40"/>
      </w:pPr>
      <w:r>
        <w:rPr>
          <w:b/>
          <w:color w:val="334155"/>
        </w:rPr>
        <w:t>Page 38</w:t>
      </w:r>
    </w:p>
    <w:p>
      <w:pPr>
        <w:spacing w:before="40" w:after="80" w:line="276" w:lineRule="auto"/>
      </w:pPr>
      <w:r>
        <w:rPr>
          <w:color w:val="334155"/>
          <w:sz w:val="19"/>
        </w:rPr>
        <w:t>Figure 26: Indicative interface concept – Typology 2 (Open space and recreation)</w:t>
      </w:r>
    </w:p>
    <w:p>
      <w:pPr>
        <w:spacing w:before="40" w:after="80" w:line="276" w:lineRule="auto"/>
      </w:pPr>
      <w:r>
        <w:rPr>
          <w:color w:val="334155"/>
          <w:sz w:val="19"/>
        </w:rPr>
        <w:t>Figure 27: Indicative interface concept – Typology 3 (External context)</w:t>
      </w:r>
    </w:p>
    <w:p>
      <w:pPr>
        <w:spacing w:before="40" w:after="80" w:line="276" w:lineRule="auto"/>
      </w:pPr>
      <w:r>
        <w:rPr>
          <w:color w:val="334155"/>
          <w:sz w:val="19"/>
        </w:rPr>
        <w:t>38</w:t>
      </w:r>
    </w:p>
    <w:p>
      <w:pPr>
        <w:spacing w:before="40" w:after="80" w:line="276" w:lineRule="auto"/>
      </w:pPr>
      <w:r>
        <w:rPr>
          <w:color w:val="334155"/>
          <w:sz w:val="19"/>
        </w:rPr>
        <w:t>5  Built form and landscape</w:t>
      </w:r>
    </w:p>
    <w:p>
      <w:pPr>
        <w:pStyle w:val="Heading3"/>
        <w:keepNext/>
        <w:spacing w:before="160" w:after="40"/>
      </w:pPr>
      <w:r>
        <w:rPr>
          <w:b/>
          <w:color w:val="334155"/>
        </w:rPr>
        <w:t>Page 39</w:t>
      </w:r>
    </w:p>
    <w:p>
      <w:pPr>
        <w:spacing w:before="40" w:after="80" w:line="276" w:lineRule="auto"/>
      </w:pPr>
      <w:r>
        <w:rPr>
          <w:color w:val="334155"/>
          <w:sz w:val="19"/>
        </w:rPr>
        <w:t>Biodiversity and habitat corridors</w:t>
      </w:r>
    </w:p>
    <w:p>
      <w:pPr>
        <w:spacing w:before="40" w:after="80" w:line="276" w:lineRule="auto"/>
      </w:pPr>
      <w:r>
        <w:rPr>
          <w:color w:val="334155"/>
          <w:sz w:val="19"/>
        </w:rPr>
        <w:t>The Precinct consists of a combination of</w:t>
      </w:r>
    </w:p>
    <w:p>
      <w:pPr>
        <w:spacing w:before="40" w:after="80" w:line="276" w:lineRule="auto"/>
      </w:pPr>
      <w:r>
        <w:rPr>
          <w:color w:val="334155"/>
          <w:sz w:val="19"/>
        </w:rPr>
        <w:t>previously disturbed land, rehabilitation areas and</w:t>
      </w:r>
    </w:p>
    <w:p>
      <w:pPr>
        <w:spacing w:before="40" w:after="80" w:line="276" w:lineRule="auto"/>
      </w:pPr>
      <w:r>
        <w:rPr>
          <w:color w:val="334155"/>
          <w:sz w:val="19"/>
        </w:rPr>
        <w:t>undisturbed, remnant native bushland. Vegetation</w:t>
      </w:r>
    </w:p>
    <w:p>
      <w:pPr>
        <w:spacing w:before="40" w:after="80" w:line="276" w:lineRule="auto"/>
      </w:pPr>
      <w:r>
        <w:rPr>
          <w:color w:val="334155"/>
          <w:sz w:val="19"/>
        </w:rPr>
        <w:t>includes existing cleared areas associated with the</w:t>
      </w:r>
    </w:p>
    <w:p>
      <w:pPr>
        <w:spacing w:before="40" w:after="80" w:line="276" w:lineRule="auto"/>
      </w:pPr>
      <w:r>
        <w:rPr>
          <w:color w:val="334155"/>
          <w:sz w:val="19"/>
        </w:rPr>
        <w:t>historical operation of several former mine sites,</w:t>
      </w:r>
    </w:p>
    <w:p>
      <w:pPr>
        <w:spacing w:before="40" w:after="80" w:line="276" w:lineRule="auto"/>
      </w:pPr>
      <w:r>
        <w:rPr>
          <w:color w:val="334155"/>
          <w:sz w:val="19"/>
        </w:rPr>
        <w:t>some of which have been rehabilitated back to</w:t>
      </w:r>
    </w:p>
    <w:p>
      <w:pPr>
        <w:spacing w:before="40" w:after="80" w:line="276" w:lineRule="auto"/>
      </w:pPr>
      <w:r>
        <w:rPr>
          <w:color w:val="334155"/>
          <w:sz w:val="19"/>
        </w:rPr>
        <w:t>native bushland.</w:t>
      </w:r>
    </w:p>
    <w:p>
      <w:pPr>
        <w:spacing w:before="40" w:after="80" w:line="276" w:lineRule="auto"/>
      </w:pPr>
      <w:r>
        <w:rPr>
          <w:color w:val="334155"/>
          <w:sz w:val="19"/>
        </w:rPr>
        <w:t>Aims</w:t>
      </w:r>
    </w:p>
    <w:p>
      <w:pPr>
        <w:spacing w:before="40" w:after="80" w:line="276" w:lineRule="auto"/>
      </w:pPr>
      <w:r>
        <w:rPr>
          <w:color w:val="334155"/>
          <w:sz w:val="19"/>
        </w:rPr>
        <w:t>•</w:t>
      </w:r>
    </w:p>
    <w:p>
      <w:pPr>
        <w:spacing w:before="40" w:after="80" w:line="276" w:lineRule="auto"/>
      </w:pPr>
      <w:r>
        <w:rPr>
          <w:color w:val="334155"/>
          <w:sz w:val="19"/>
        </w:rPr>
        <w:t>Protect areas of high biodiversity values from</w:t>
      </w:r>
    </w:p>
    <w:p>
      <w:pPr>
        <w:spacing w:before="40" w:after="80" w:line="276" w:lineRule="auto"/>
      </w:pPr>
      <w:r>
        <w:rPr>
          <w:color w:val="334155"/>
          <w:sz w:val="19"/>
        </w:rPr>
        <w:t>development to avoid serious and irreversible</w:t>
      </w:r>
    </w:p>
    <w:p>
      <w:pPr>
        <w:spacing w:before="40" w:after="80" w:line="276" w:lineRule="auto"/>
      </w:pPr>
      <w:r>
        <w:rPr>
          <w:color w:val="334155"/>
          <w:sz w:val="19"/>
        </w:rPr>
        <w:t>impacts on threatened ecological communities</w:t>
      </w:r>
    </w:p>
    <w:p>
      <w:pPr>
        <w:spacing w:before="40" w:after="80" w:line="276" w:lineRule="auto"/>
      </w:pPr>
      <w:r>
        <w:rPr>
          <w:color w:val="334155"/>
          <w:sz w:val="19"/>
        </w:rPr>
        <w:t>and threatened species.</w:t>
      </w:r>
    </w:p>
    <w:p>
      <w:pPr>
        <w:spacing w:before="40" w:after="80" w:line="276" w:lineRule="auto"/>
      </w:pPr>
      <w:r>
        <w:rPr>
          <w:color w:val="334155"/>
          <w:sz w:val="19"/>
        </w:rPr>
        <w:t>•</w:t>
      </w:r>
    </w:p>
    <w:p>
      <w:pPr>
        <w:spacing w:before="40" w:after="80" w:line="276" w:lineRule="auto"/>
      </w:pPr>
      <w:r>
        <w:rPr>
          <w:color w:val="334155"/>
          <w:sz w:val="19"/>
        </w:rPr>
        <w:t>Promote a development outcome that is</w:t>
      </w:r>
    </w:p>
    <w:p>
      <w:pPr>
        <w:spacing w:before="40" w:after="80" w:line="276" w:lineRule="auto"/>
      </w:pPr>
      <w:r>
        <w:rPr>
          <w:color w:val="334155"/>
          <w:sz w:val="19"/>
        </w:rPr>
        <w:t>consistent with the requirements of the avoid,</w:t>
      </w:r>
    </w:p>
    <w:p>
      <w:pPr>
        <w:spacing w:before="40" w:after="80" w:line="276" w:lineRule="auto"/>
      </w:pPr>
      <w:r>
        <w:rPr>
          <w:color w:val="334155"/>
          <w:sz w:val="19"/>
        </w:rPr>
        <w:t>minimise and offset hierarchy of applicable</w:t>
      </w:r>
    </w:p>
    <w:p>
      <w:pPr>
        <w:spacing w:before="40" w:after="80" w:line="276" w:lineRule="auto"/>
      </w:pPr>
      <w:r>
        <w:rPr>
          <w:color w:val="334155"/>
          <w:sz w:val="19"/>
        </w:rPr>
        <w:t>NSW and Commonwealth biodiversity</w:t>
      </w:r>
    </w:p>
    <w:p>
      <w:pPr>
        <w:spacing w:before="40" w:after="80" w:line="276" w:lineRule="auto"/>
      </w:pPr>
      <w:r>
        <w:rPr>
          <w:color w:val="334155"/>
          <w:sz w:val="19"/>
        </w:rPr>
        <w:t>legislation.</w:t>
      </w:r>
    </w:p>
    <w:p>
      <w:pPr>
        <w:spacing w:before="40" w:after="80" w:line="276" w:lineRule="auto"/>
      </w:pPr>
      <w:r>
        <w:rPr>
          <w:color w:val="334155"/>
          <w:sz w:val="19"/>
        </w:rPr>
        <w:t>•</w:t>
      </w:r>
    </w:p>
    <w:p>
      <w:pPr>
        <w:spacing w:before="40" w:after="80" w:line="276" w:lineRule="auto"/>
      </w:pPr>
      <w:r>
        <w:rPr>
          <w:color w:val="334155"/>
          <w:sz w:val="19"/>
        </w:rPr>
        <w:t>Maintain the function of key linkages that</w:t>
      </w:r>
    </w:p>
    <w:p>
      <w:pPr>
        <w:spacing w:before="40" w:after="80" w:line="276" w:lineRule="auto"/>
      </w:pPr>
      <w:r>
        <w:rPr>
          <w:color w:val="334155"/>
          <w:sz w:val="19"/>
        </w:rPr>
        <w:t>facilitate wildlife movement within the site and</w:t>
      </w:r>
    </w:p>
    <w:p>
      <w:pPr>
        <w:spacing w:before="40" w:after="80" w:line="276" w:lineRule="auto"/>
      </w:pPr>
      <w:r>
        <w:rPr>
          <w:color w:val="334155"/>
          <w:sz w:val="19"/>
        </w:rPr>
        <w:t>the wider landscape.</w:t>
      </w:r>
    </w:p>
    <w:p>
      <w:pPr>
        <w:spacing w:before="40" w:after="80" w:line="276" w:lineRule="auto"/>
      </w:pPr>
      <w:r>
        <w:rPr>
          <w:color w:val="334155"/>
          <w:sz w:val="19"/>
        </w:rPr>
        <w:t>•</w:t>
      </w:r>
    </w:p>
    <w:p>
      <w:pPr>
        <w:spacing w:before="40" w:after="80" w:line="276" w:lineRule="auto"/>
      </w:pPr>
      <w:r>
        <w:rPr>
          <w:color w:val="334155"/>
          <w:sz w:val="19"/>
        </w:rPr>
        <w:t>Identify and secure environmentally constrained</w:t>
      </w:r>
    </w:p>
    <w:p>
      <w:pPr>
        <w:spacing w:before="40" w:after="80" w:line="276" w:lineRule="auto"/>
      </w:pPr>
      <w:r>
        <w:rPr>
          <w:color w:val="334155"/>
          <w:sz w:val="19"/>
        </w:rPr>
        <w:t>land with an appropriate size and configuration</w:t>
      </w:r>
    </w:p>
    <w:p>
      <w:pPr>
        <w:spacing w:before="40" w:after="80" w:line="276" w:lineRule="auto"/>
      </w:pPr>
      <w:r>
        <w:rPr>
          <w:color w:val="334155"/>
          <w:sz w:val="19"/>
        </w:rPr>
        <w:t>to be protected under suitable conservation</w:t>
      </w:r>
    </w:p>
    <w:p>
      <w:pPr>
        <w:spacing w:before="40" w:after="80" w:line="276" w:lineRule="auto"/>
      </w:pPr>
      <w:r>
        <w:rPr>
          <w:color w:val="334155"/>
          <w:sz w:val="19"/>
        </w:rPr>
        <w:t>mechanisms.</w:t>
      </w:r>
    </w:p>
    <w:p>
      <w:pPr>
        <w:spacing w:before="40" w:after="80" w:line="276" w:lineRule="auto"/>
      </w:pPr>
      <w:r>
        <w:rPr>
          <w:color w:val="334155"/>
          <w:sz w:val="19"/>
        </w:rPr>
        <w:t>•</w:t>
      </w:r>
    </w:p>
    <w:p>
      <w:pPr>
        <w:spacing w:before="40" w:after="80" w:line="276" w:lineRule="auto"/>
      </w:pPr>
      <w:r>
        <w:rPr>
          <w:color w:val="334155"/>
          <w:sz w:val="19"/>
        </w:rPr>
        <w:t>Protect wetlands, watercourses, and associated</w:t>
      </w:r>
    </w:p>
    <w:p>
      <w:pPr>
        <w:spacing w:before="40" w:after="80" w:line="276" w:lineRule="auto"/>
      </w:pPr>
      <w:r>
        <w:rPr>
          <w:color w:val="334155"/>
          <w:sz w:val="19"/>
        </w:rPr>
        <w:t>riparian corridors and aquatic habitats from</w:t>
      </w:r>
    </w:p>
    <w:p>
      <w:pPr>
        <w:spacing w:before="40" w:after="80" w:line="276" w:lineRule="auto"/>
      </w:pPr>
      <w:r>
        <w:rPr>
          <w:color w:val="334155"/>
          <w:sz w:val="19"/>
        </w:rPr>
        <w:t>development.</w:t>
      </w:r>
    </w:p>
    <w:p>
      <w:pPr>
        <w:spacing w:before="40" w:after="80" w:line="276" w:lineRule="auto"/>
      </w:pPr>
      <w:r>
        <w:rPr>
          <w:color w:val="334155"/>
          <w:sz w:val="19"/>
        </w:rPr>
        <w:t>•</w:t>
      </w:r>
    </w:p>
    <w:p>
      <w:pPr>
        <w:spacing w:before="40" w:after="80" w:line="276" w:lineRule="auto"/>
      </w:pPr>
      <w:r>
        <w:rPr>
          <w:color w:val="334155"/>
          <w:sz w:val="19"/>
        </w:rPr>
        <w:t>Implement ecological restoration or</w:t>
      </w:r>
    </w:p>
    <w:p>
      <w:pPr>
        <w:spacing w:before="40" w:after="80" w:line="276" w:lineRule="auto"/>
      </w:pPr>
      <w:r>
        <w:rPr>
          <w:color w:val="334155"/>
          <w:sz w:val="19"/>
        </w:rPr>
        <w:t>rehabilitation measures on residual land</w:t>
      </w:r>
    </w:p>
    <w:p>
      <w:pPr>
        <w:spacing w:before="40" w:after="80" w:line="276" w:lineRule="auto"/>
      </w:pPr>
      <w:r>
        <w:rPr>
          <w:color w:val="334155"/>
          <w:sz w:val="19"/>
        </w:rPr>
        <w:t>or buffer zones to achieve a net positive</w:t>
      </w:r>
    </w:p>
    <w:p>
      <w:pPr>
        <w:spacing w:before="40" w:after="80" w:line="276" w:lineRule="auto"/>
      </w:pPr>
      <w:r>
        <w:rPr>
          <w:color w:val="334155"/>
          <w:sz w:val="19"/>
        </w:rPr>
        <w:t>biodiversity outcome.</w:t>
      </w:r>
    </w:p>
    <w:p>
      <w:pPr>
        <w:spacing w:before="40" w:after="80" w:line="276" w:lineRule="auto"/>
      </w:pPr>
      <w:r>
        <w:rPr>
          <w:color w:val="334155"/>
          <w:sz w:val="19"/>
        </w:rPr>
        <w:t>•</w:t>
      </w:r>
    </w:p>
    <w:p>
      <w:pPr>
        <w:spacing w:before="40" w:after="80" w:line="276" w:lineRule="auto"/>
      </w:pPr>
      <w:r>
        <w:rPr>
          <w:color w:val="334155"/>
          <w:sz w:val="19"/>
        </w:rPr>
        <w:t>Apply ecologically sustainable development</w:t>
      </w:r>
    </w:p>
    <w:p>
      <w:pPr>
        <w:spacing w:before="40" w:after="80" w:line="276" w:lineRule="auto"/>
      </w:pPr>
      <w:r>
        <w:rPr>
          <w:color w:val="334155"/>
          <w:sz w:val="19"/>
        </w:rPr>
        <w:t>principles for future land use and development.</w:t>
      </w:r>
    </w:p>
    <w:p>
      <w:pPr>
        <w:spacing w:before="40" w:after="80" w:line="276" w:lineRule="auto"/>
      </w:pPr>
      <w:r>
        <w:rPr>
          <w:color w:val="334155"/>
          <w:sz w:val="19"/>
        </w:rPr>
        <w:t>•</w:t>
      </w:r>
    </w:p>
    <w:p>
      <w:pPr>
        <w:spacing w:before="40" w:after="80" w:line="276" w:lineRule="auto"/>
      </w:pPr>
      <w:r>
        <w:rPr>
          <w:color w:val="334155"/>
          <w:sz w:val="19"/>
        </w:rPr>
        <w:t>Respond and adapt to future environmental</w:t>
      </w:r>
    </w:p>
    <w:p>
      <w:pPr>
        <w:spacing w:before="40" w:after="80" w:line="276" w:lineRule="auto"/>
      </w:pPr>
      <w:r>
        <w:rPr>
          <w:color w:val="334155"/>
          <w:sz w:val="19"/>
        </w:rPr>
        <w:t>changes to avoid adverse impacts on high</w:t>
      </w:r>
    </w:p>
    <w:p>
      <w:pPr>
        <w:spacing w:before="40" w:after="80" w:line="276" w:lineRule="auto"/>
      </w:pPr>
      <w:r>
        <w:rPr>
          <w:color w:val="334155"/>
          <w:sz w:val="19"/>
        </w:rPr>
        <w:t>biodiversity values.</w:t>
      </w:r>
    </w:p>
    <w:p>
      <w:pPr>
        <w:spacing w:before="40" w:after="80" w:line="276" w:lineRule="auto"/>
      </w:pPr>
      <w:r>
        <w:rPr>
          <w:color w:val="334155"/>
          <w:sz w:val="19"/>
        </w:rPr>
        <w:t>Performance criteria</w:t>
      </w:r>
    </w:p>
    <w:p>
      <w:pPr>
        <w:spacing w:before="40" w:after="80" w:line="276" w:lineRule="auto"/>
      </w:pPr>
      <w:r>
        <w:rPr>
          <w:color w:val="334155"/>
          <w:sz w:val="19"/>
        </w:rPr>
        <w:t>A. Development footprints must be located to avoid</w:t>
      </w:r>
    </w:p>
    <w:p>
      <w:pPr>
        <w:spacing w:before="40" w:after="80" w:line="276" w:lineRule="auto"/>
      </w:pPr>
      <w:r>
        <w:rPr>
          <w:color w:val="334155"/>
          <w:sz w:val="19"/>
        </w:rPr>
        <w:t>and minimise impacts on areas of high</w:t>
      </w:r>
    </w:p>
    <w:p>
      <w:pPr>
        <w:spacing w:before="40" w:after="80" w:line="276" w:lineRule="auto"/>
      </w:pPr>
      <w:r>
        <w:rPr>
          <w:color w:val="334155"/>
          <w:sz w:val="19"/>
        </w:rPr>
        <w:t>biodiversity values that could result in a serious</w:t>
      </w:r>
    </w:p>
    <w:p>
      <w:pPr>
        <w:spacing w:before="40" w:after="80" w:line="276" w:lineRule="auto"/>
      </w:pPr>
      <w:r>
        <w:rPr>
          <w:color w:val="334155"/>
          <w:sz w:val="19"/>
        </w:rPr>
        <w:t>and irreversible impact on threatened ecological</w:t>
      </w:r>
    </w:p>
    <w:p>
      <w:pPr>
        <w:spacing w:before="40" w:after="80" w:line="276" w:lineRule="auto"/>
      </w:pPr>
      <w:r>
        <w:rPr>
          <w:color w:val="334155"/>
          <w:sz w:val="19"/>
        </w:rPr>
        <w:t>communities or threatened species.</w:t>
      </w:r>
    </w:p>
    <w:p>
      <w:pPr>
        <w:spacing w:before="40" w:after="80" w:line="276" w:lineRule="auto"/>
      </w:pPr>
      <w:r>
        <w:rPr>
          <w:color w:val="334155"/>
          <w:sz w:val="19"/>
        </w:rPr>
        <w:t>B. Development must avoid fragmentation of</w:t>
      </w:r>
    </w:p>
    <w:p>
      <w:pPr>
        <w:spacing w:before="40" w:after="80" w:line="276" w:lineRule="auto"/>
      </w:pPr>
      <w:r>
        <w:rPr>
          <w:color w:val="334155"/>
          <w:sz w:val="19"/>
        </w:rPr>
        <w:t>existing key wildlife corridors as identified in the</w:t>
      </w:r>
    </w:p>
    <w:p>
      <w:pPr>
        <w:spacing w:before="40" w:after="80" w:line="276" w:lineRule="auto"/>
      </w:pPr>
      <w:r>
        <w:rPr>
          <w:color w:val="334155"/>
          <w:sz w:val="19"/>
        </w:rPr>
        <w:t>draft Master Plan and must consider best-</w:t>
      </w:r>
    </w:p>
    <w:p>
      <w:pPr>
        <w:spacing w:before="40" w:after="80" w:line="276" w:lineRule="auto"/>
      </w:pPr>
      <w:r>
        <w:rPr>
          <w:color w:val="334155"/>
          <w:sz w:val="19"/>
        </w:rPr>
        <w:t>practice species specific guidelines for future</w:t>
      </w:r>
    </w:p>
    <w:p>
      <w:pPr>
        <w:spacing w:before="40" w:after="80" w:line="276" w:lineRule="auto"/>
      </w:pPr>
      <w:r>
        <w:rPr>
          <w:color w:val="334155"/>
          <w:sz w:val="19"/>
        </w:rPr>
        <w:t>corridor widths.</w:t>
      </w:r>
    </w:p>
    <w:p>
      <w:pPr>
        <w:spacing w:before="40" w:after="80" w:line="276" w:lineRule="auto"/>
      </w:pPr>
      <w:r>
        <w:rPr>
          <w:color w:val="334155"/>
          <w:sz w:val="19"/>
        </w:rPr>
        <w:t>C. Development must apply Stage 1 and Stage 2</w:t>
      </w:r>
    </w:p>
    <w:p>
      <w:pPr>
        <w:spacing w:before="40" w:after="80" w:line="276" w:lineRule="auto"/>
      </w:pPr>
      <w:r>
        <w:rPr>
          <w:color w:val="334155"/>
          <w:sz w:val="19"/>
        </w:rPr>
        <w:t>and associated detailed requirements of the</w:t>
      </w:r>
    </w:p>
    <w:p>
      <w:pPr>
        <w:spacing w:before="40" w:after="80" w:line="276" w:lineRule="auto"/>
      </w:pPr>
      <w:r>
        <w:rPr>
          <w:color w:val="334155"/>
          <w:sz w:val="19"/>
        </w:rPr>
        <w:t>NSW Biodiversity Assessment Method for a</w:t>
      </w:r>
    </w:p>
    <w:p>
      <w:pPr>
        <w:spacing w:before="40" w:after="80" w:line="276" w:lineRule="auto"/>
      </w:pPr>
      <w:r>
        <w:rPr>
          <w:color w:val="334155"/>
          <w:sz w:val="19"/>
        </w:rPr>
        <w:t>future biodiversity assessment where entry into</w:t>
      </w:r>
    </w:p>
    <w:p>
      <w:pPr>
        <w:spacing w:before="40" w:after="80" w:line="276" w:lineRule="auto"/>
      </w:pPr>
      <w:r>
        <w:rPr>
          <w:color w:val="334155"/>
          <w:sz w:val="19"/>
        </w:rPr>
        <w:t>the NSW Biodiversity Offset Scheme is triggered.</w:t>
      </w:r>
    </w:p>
    <w:p>
      <w:pPr>
        <w:spacing w:before="40" w:after="80" w:line="276" w:lineRule="auto"/>
      </w:pPr>
      <w:r>
        <w:rPr>
          <w:color w:val="334155"/>
          <w:sz w:val="19"/>
        </w:rPr>
        <w:t>D. Appropriate buffers and setbacks in accordance</w:t>
      </w:r>
    </w:p>
    <w:p>
      <w:pPr>
        <w:spacing w:before="40" w:after="80" w:line="276" w:lineRule="auto"/>
      </w:pPr>
      <w:r>
        <w:rPr>
          <w:color w:val="334155"/>
          <w:sz w:val="19"/>
        </w:rPr>
        <w:t>with current applicable NSW and Commonwealth</w:t>
      </w:r>
    </w:p>
    <w:p>
      <w:pPr>
        <w:spacing w:before="40" w:after="80" w:line="276" w:lineRule="auto"/>
      </w:pPr>
      <w:r>
        <w:rPr>
          <w:color w:val="334155"/>
          <w:sz w:val="19"/>
        </w:rPr>
        <w:t>guidelines must be provided to areas of high</w:t>
      </w:r>
    </w:p>
    <w:p>
      <w:pPr>
        <w:spacing w:before="40" w:after="80" w:line="276" w:lineRule="auto"/>
      </w:pPr>
      <w:r>
        <w:rPr>
          <w:color w:val="334155"/>
          <w:sz w:val="19"/>
        </w:rPr>
        <w:t>biodiversity value to minimise indirect impacts</w:t>
      </w:r>
    </w:p>
    <w:p>
      <w:pPr>
        <w:spacing w:before="40" w:after="80" w:line="276" w:lineRule="auto"/>
      </w:pPr>
      <w:r>
        <w:rPr>
          <w:color w:val="334155"/>
          <w:sz w:val="19"/>
        </w:rPr>
        <w:t>and future degradation.</w:t>
      </w:r>
    </w:p>
    <w:p>
      <w:pPr>
        <w:spacing w:before="40" w:after="80" w:line="276" w:lineRule="auto"/>
      </w:pPr>
      <w:r>
        <w:rPr>
          <w:color w:val="334155"/>
          <w:sz w:val="19"/>
        </w:rPr>
        <w:t>E. Remnant native vegetation must be retained</w:t>
      </w:r>
    </w:p>
    <w:p>
      <w:pPr>
        <w:spacing w:before="40" w:after="80" w:line="276" w:lineRule="auto"/>
      </w:pPr>
      <w:r>
        <w:rPr>
          <w:color w:val="334155"/>
          <w:sz w:val="19"/>
        </w:rPr>
        <w:t>where practicable and vegetation removal must</w:t>
      </w:r>
    </w:p>
    <w:p>
      <w:pPr>
        <w:spacing w:before="40" w:after="80" w:line="276" w:lineRule="auto"/>
      </w:pPr>
      <w:r>
        <w:rPr>
          <w:color w:val="334155"/>
          <w:sz w:val="19"/>
        </w:rPr>
        <w:t>be avoided or minimised to maximise tree canopy</w:t>
      </w:r>
    </w:p>
    <w:p>
      <w:pPr>
        <w:spacing w:before="40" w:after="80" w:line="276" w:lineRule="auto"/>
      </w:pPr>
      <w:r>
        <w:rPr>
          <w:color w:val="334155"/>
          <w:sz w:val="19"/>
        </w:rPr>
        <w:t>cover within a development precinct.</w:t>
      </w:r>
    </w:p>
    <w:p>
      <w:pPr>
        <w:spacing w:before="40" w:after="80" w:line="276" w:lineRule="auto"/>
      </w:pPr>
      <w:r>
        <w:rPr>
          <w:color w:val="334155"/>
          <w:sz w:val="19"/>
        </w:rPr>
        <w:t>F. Development must incorporate suitable</w:t>
      </w:r>
    </w:p>
    <w:p>
      <w:pPr>
        <w:spacing w:before="40" w:after="80" w:line="276" w:lineRule="auto"/>
      </w:pPr>
      <w:r>
        <w:rPr>
          <w:color w:val="334155"/>
          <w:sz w:val="19"/>
        </w:rPr>
        <w:t>mitigation measures for restoration or</w:t>
      </w:r>
    </w:p>
    <w:p>
      <w:pPr>
        <w:spacing w:before="40" w:after="80" w:line="276" w:lineRule="auto"/>
      </w:pPr>
      <w:r>
        <w:rPr>
          <w:color w:val="334155"/>
          <w:sz w:val="19"/>
        </w:rPr>
        <w:t>rehabilitation of native vegetation communities</w:t>
      </w:r>
    </w:p>
    <w:p>
      <w:pPr>
        <w:spacing w:before="40" w:after="80" w:line="276" w:lineRule="auto"/>
      </w:pPr>
      <w:r>
        <w:rPr>
          <w:color w:val="334155"/>
          <w:sz w:val="19"/>
        </w:rPr>
        <w:t>and associated habitats within residual land</w:t>
      </w:r>
    </w:p>
    <w:p>
      <w:pPr>
        <w:spacing w:before="40" w:after="80" w:line="276" w:lineRule="auto"/>
      </w:pPr>
      <w:r>
        <w:rPr>
          <w:color w:val="334155"/>
          <w:sz w:val="19"/>
        </w:rPr>
        <w:t>or buffer zones that are enforced under a</w:t>
      </w:r>
    </w:p>
    <w:p>
      <w:pPr>
        <w:spacing w:before="40" w:after="80" w:line="276" w:lineRule="auto"/>
      </w:pPr>
      <w:r>
        <w:rPr>
          <w:color w:val="334155"/>
          <w:sz w:val="19"/>
        </w:rPr>
        <w:t>Vegetation Management Plan.</w:t>
      </w:r>
    </w:p>
    <w:p>
      <w:pPr>
        <w:spacing w:before="40" w:after="80" w:line="276" w:lineRule="auto"/>
      </w:pPr>
      <w:r>
        <w:rPr>
          <w:color w:val="334155"/>
          <w:sz w:val="19"/>
        </w:rPr>
        <w:t>G. Rehabilitation of native vegetation communities</w:t>
      </w:r>
    </w:p>
    <w:p>
      <w:pPr>
        <w:spacing w:before="40" w:after="80" w:line="276" w:lineRule="auto"/>
      </w:pPr>
      <w:r>
        <w:rPr>
          <w:color w:val="334155"/>
          <w:sz w:val="19"/>
        </w:rPr>
        <w:t>and landscape planting must prioritise locally</w:t>
      </w:r>
    </w:p>
    <w:p>
      <w:pPr>
        <w:spacing w:before="40" w:after="80" w:line="276" w:lineRule="auto"/>
      </w:pPr>
      <w:r>
        <w:rPr>
          <w:color w:val="334155"/>
          <w:sz w:val="19"/>
        </w:rPr>
        <w:t>endemic species and reflect the relevant plant</w:t>
      </w:r>
    </w:p>
    <w:p>
      <w:pPr>
        <w:spacing w:before="40" w:after="80" w:line="276" w:lineRule="auto"/>
      </w:pPr>
      <w:r>
        <w:rPr>
          <w:color w:val="334155"/>
          <w:sz w:val="19"/>
        </w:rPr>
        <w:t>community types.</w:t>
      </w:r>
    </w:p>
    <w:p>
      <w:pPr>
        <w:spacing w:before="40" w:after="80" w:line="276" w:lineRule="auto"/>
      </w:pPr>
      <w:r>
        <w:rPr>
          <w:color w:val="334155"/>
          <w:sz w:val="19"/>
        </w:rPr>
        <w:t>H. Development must avoid impacts to wetlands</w:t>
      </w:r>
    </w:p>
    <w:p>
      <w:pPr>
        <w:spacing w:before="40" w:after="80" w:line="276" w:lineRule="auto"/>
      </w:pPr>
      <w:r>
        <w:rPr>
          <w:color w:val="334155"/>
          <w:sz w:val="19"/>
        </w:rPr>
        <w:t>and associated buffer zones where the wetland</w:t>
      </w:r>
    </w:p>
    <w:p>
      <w:pPr>
        <w:spacing w:before="40" w:after="80" w:line="276" w:lineRule="auto"/>
      </w:pPr>
      <w:r>
        <w:rPr>
          <w:color w:val="334155"/>
          <w:sz w:val="19"/>
        </w:rPr>
        <w:t>provides important habitat for migratory</w:t>
      </w:r>
    </w:p>
    <w:p>
      <w:pPr>
        <w:spacing w:before="40" w:after="80" w:line="276" w:lineRule="auto"/>
      </w:pPr>
      <w:r>
        <w:rPr>
          <w:color w:val="334155"/>
          <w:sz w:val="19"/>
        </w:rPr>
        <w:t>shorebirds.</w:t>
      </w:r>
    </w:p>
    <w:p>
      <w:pPr>
        <w:spacing w:before="40" w:after="80" w:line="276" w:lineRule="auto"/>
      </w:pPr>
      <w:r>
        <w:rPr>
          <w:color w:val="334155"/>
          <w:sz w:val="19"/>
        </w:rPr>
        <w:t>I.</w:t>
      </w:r>
    </w:p>
    <w:p>
      <w:pPr>
        <w:spacing w:before="40" w:after="80" w:line="276" w:lineRule="auto"/>
      </w:pPr>
      <w:r>
        <w:rPr>
          <w:color w:val="334155"/>
          <w:sz w:val="19"/>
        </w:rPr>
        <w:t>Development must avoid riparian areas and</w:t>
      </w:r>
    </w:p>
    <w:p>
      <w:pPr>
        <w:spacing w:before="40" w:after="80" w:line="276" w:lineRule="auto"/>
      </w:pPr>
      <w:r>
        <w:rPr>
          <w:color w:val="334155"/>
          <w:sz w:val="19"/>
        </w:rPr>
        <w:t>should restore or rehabilitate the vegetated</w:t>
      </w:r>
    </w:p>
    <w:p>
      <w:pPr>
        <w:spacing w:before="40" w:after="80" w:line="276" w:lineRule="auto"/>
      </w:pPr>
      <w:r>
        <w:rPr>
          <w:color w:val="334155"/>
          <w:sz w:val="19"/>
        </w:rPr>
        <w:t>riparian zone where practicable.</w:t>
      </w:r>
    </w:p>
    <w:p>
      <w:pPr>
        <w:spacing w:before="40" w:after="80" w:line="276" w:lineRule="auto"/>
      </w:pPr>
      <w:r>
        <w:rPr>
          <w:color w:val="334155"/>
          <w:sz w:val="19"/>
        </w:rPr>
        <w:t>6</w:t>
        <w:tab/>
        <w:t xml:space="preserve"> Ecology, water and</w:t>
      </w:r>
    </w:p>
    <w:p>
      <w:pPr>
        <w:spacing w:before="40" w:after="80" w:line="276" w:lineRule="auto"/>
      </w:pPr>
      <w:r>
        <w:rPr>
          <w:color w:val="334155"/>
          <w:sz w:val="19"/>
        </w:rPr>
        <w:t>landscape systems</w:t>
      </w:r>
    </w:p>
    <w:p>
      <w:pPr>
        <w:spacing w:before="40" w:after="80" w:line="276" w:lineRule="auto"/>
      </w:pPr>
      <w:r>
        <w:rPr>
          <w:color w:val="334155"/>
          <w:sz w:val="19"/>
        </w:rPr>
        <w:t>39</w:t>
      </w:r>
    </w:p>
    <w:p>
      <w:pPr>
        <w:pStyle w:val="Heading3"/>
        <w:keepNext/>
        <w:spacing w:before="160" w:after="40"/>
      </w:pPr>
      <w:r>
        <w:rPr>
          <w:b/>
          <w:color w:val="334155"/>
        </w:rPr>
        <w:t>Page 40</w:t>
      </w:r>
    </w:p>
    <w:p>
      <w:pPr>
        <w:spacing w:before="40" w:after="80" w:line="276" w:lineRule="auto"/>
      </w:pPr>
      <w:r>
        <w:rPr>
          <w:color w:val="334155"/>
          <w:sz w:val="19"/>
        </w:rPr>
        <w:t>Figure 28: High biodiversity values</w:t>
      </w:r>
    </w:p>
    <w:p>
      <w:pPr>
        <w:spacing w:before="40" w:after="80" w:line="276" w:lineRule="auto"/>
      </w:pPr>
      <w:r>
        <w:rPr>
          <w:color w:val="334155"/>
          <w:sz w:val="19"/>
        </w:rPr>
        <w:t>40</w:t>
      </w:r>
    </w:p>
    <w:p>
      <w:pPr>
        <w:spacing w:before="40" w:after="80" w:line="276" w:lineRule="auto"/>
      </w:pPr>
      <w:r>
        <w:rPr>
          <w:color w:val="334155"/>
          <w:sz w:val="19"/>
        </w:rPr>
        <w:t>6  Ecology, water and landscape systems</w:t>
      </w:r>
    </w:p>
    <w:p>
      <w:pPr>
        <w:pStyle w:val="Heading3"/>
        <w:keepNext/>
        <w:spacing w:before="160" w:after="40"/>
      </w:pPr>
      <w:r>
        <w:rPr>
          <w:b/>
          <w:color w:val="334155"/>
        </w:rPr>
        <w:t>Page 41</w:t>
      </w:r>
    </w:p>
    <w:p>
      <w:pPr>
        <w:spacing w:before="40" w:after="80" w:line="276" w:lineRule="auto"/>
      </w:pPr>
      <w:r>
        <w:rPr>
          <w:color w:val="334155"/>
          <w:sz w:val="19"/>
        </w:rPr>
        <w:t>Water cycle management</w:t>
      </w:r>
    </w:p>
    <w:p>
      <w:pPr>
        <w:spacing w:before="40" w:after="80" w:line="276" w:lineRule="auto"/>
      </w:pPr>
      <w:r>
        <w:rPr>
          <w:color w:val="334155"/>
          <w:sz w:val="19"/>
        </w:rPr>
        <w:t>Water cycle management is a key consideration</w:t>
      </w:r>
    </w:p>
    <w:p>
      <w:pPr>
        <w:spacing w:before="40" w:after="80" w:line="276" w:lineRule="auto"/>
      </w:pPr>
      <w:r>
        <w:rPr>
          <w:color w:val="334155"/>
          <w:sz w:val="19"/>
        </w:rPr>
        <w:t>for future development within the Precinct. Diega</w:t>
      </w:r>
    </w:p>
    <w:p>
      <w:pPr>
        <w:spacing w:before="40" w:after="80" w:line="276" w:lineRule="auto"/>
      </w:pPr>
      <w:r>
        <w:rPr>
          <w:color w:val="334155"/>
          <w:sz w:val="19"/>
        </w:rPr>
        <w:t>Creek and Cockle Creek are the two key waterways</w:t>
      </w:r>
    </w:p>
    <w:p>
      <w:pPr>
        <w:spacing w:before="40" w:after="80" w:line="276" w:lineRule="auto"/>
      </w:pPr>
      <w:r>
        <w:rPr>
          <w:color w:val="334155"/>
          <w:sz w:val="19"/>
        </w:rPr>
        <w:t>located within the Precinct. Existing stormwater</w:t>
      </w:r>
    </w:p>
    <w:p>
      <w:pPr>
        <w:spacing w:before="40" w:after="80" w:line="276" w:lineRule="auto"/>
      </w:pPr>
      <w:r>
        <w:rPr>
          <w:color w:val="334155"/>
          <w:sz w:val="19"/>
        </w:rPr>
        <w:t>management within the Precinct is through</w:t>
      </w:r>
    </w:p>
    <w:p>
      <w:pPr>
        <w:spacing w:before="40" w:after="80" w:line="276" w:lineRule="auto"/>
      </w:pPr>
      <w:r>
        <w:rPr>
          <w:color w:val="334155"/>
          <w:sz w:val="19"/>
        </w:rPr>
        <w:t>natural flow paths within the undeveloped areas</w:t>
      </w:r>
    </w:p>
    <w:p>
      <w:pPr>
        <w:spacing w:before="40" w:after="80" w:line="276" w:lineRule="auto"/>
      </w:pPr>
      <w:r>
        <w:rPr>
          <w:color w:val="334155"/>
          <w:sz w:val="19"/>
        </w:rPr>
        <w:t>and via water management infrastructure across</w:t>
      </w:r>
    </w:p>
    <w:p>
      <w:pPr>
        <w:spacing w:before="40" w:after="80" w:line="276" w:lineRule="auto"/>
      </w:pPr>
      <w:r>
        <w:rPr>
          <w:color w:val="334155"/>
          <w:sz w:val="19"/>
        </w:rPr>
        <w:t>disturbed land. Water management infrastructure</w:t>
      </w:r>
    </w:p>
    <w:p>
      <w:pPr>
        <w:spacing w:before="40" w:after="80" w:line="276" w:lineRule="auto"/>
      </w:pPr>
      <w:r>
        <w:rPr>
          <w:color w:val="334155"/>
          <w:sz w:val="19"/>
        </w:rPr>
        <w:t>includes catchment dams, sediment dams, storage</w:t>
      </w:r>
    </w:p>
    <w:p>
      <w:pPr>
        <w:spacing w:before="40" w:after="80" w:line="276" w:lineRule="auto"/>
      </w:pPr>
      <w:r>
        <w:rPr>
          <w:color w:val="334155"/>
          <w:sz w:val="19"/>
        </w:rPr>
        <w:t>dams, spillways and drainage systems. Cockle</w:t>
      </w:r>
    </w:p>
    <w:p>
      <w:pPr>
        <w:spacing w:before="40" w:after="80" w:line="276" w:lineRule="auto"/>
      </w:pPr>
      <w:r>
        <w:rPr>
          <w:color w:val="334155"/>
          <w:sz w:val="19"/>
        </w:rPr>
        <w:t>Creek is the main receiver of stormwater runoff</w:t>
      </w:r>
    </w:p>
    <w:p>
      <w:pPr>
        <w:spacing w:before="40" w:after="80" w:line="276" w:lineRule="auto"/>
      </w:pPr>
      <w:r>
        <w:rPr>
          <w:color w:val="334155"/>
          <w:sz w:val="19"/>
        </w:rPr>
        <w:t>from the Precinct, receiving flows from upstream</w:t>
      </w:r>
    </w:p>
    <w:p>
      <w:pPr>
        <w:spacing w:before="40" w:after="80" w:line="276" w:lineRule="auto"/>
      </w:pPr>
      <w:r>
        <w:rPr>
          <w:color w:val="334155"/>
          <w:sz w:val="19"/>
        </w:rPr>
        <w:t>tributaries, natural flow paths and water directed</w:t>
      </w:r>
    </w:p>
    <w:p>
      <w:pPr>
        <w:spacing w:before="40" w:after="80" w:line="276" w:lineRule="auto"/>
      </w:pPr>
      <w:r>
        <w:rPr>
          <w:color w:val="334155"/>
          <w:sz w:val="19"/>
        </w:rPr>
        <w:t>from the disturbed areas via two licenced locations.</w:t>
      </w:r>
    </w:p>
    <w:p>
      <w:pPr>
        <w:spacing w:before="40" w:after="80" w:line="276" w:lineRule="auto"/>
      </w:pPr>
      <w:r>
        <w:rPr>
          <w:color w:val="334155"/>
          <w:sz w:val="19"/>
        </w:rPr>
        <w:t>Aims</w:t>
      </w:r>
    </w:p>
    <w:p>
      <w:pPr>
        <w:spacing w:before="40" w:after="80" w:line="276" w:lineRule="auto"/>
      </w:pPr>
      <w:r>
        <w:rPr>
          <w:color w:val="334155"/>
          <w:sz w:val="19"/>
        </w:rPr>
        <w:t>•</w:t>
      </w:r>
    </w:p>
    <w:p>
      <w:pPr>
        <w:spacing w:before="40" w:after="80" w:line="276" w:lineRule="auto"/>
      </w:pPr>
      <w:r>
        <w:rPr>
          <w:color w:val="334155"/>
          <w:sz w:val="19"/>
        </w:rPr>
        <w:t>Adopt an integrated water cycle management</w:t>
      </w:r>
    </w:p>
    <w:p>
      <w:pPr>
        <w:spacing w:before="40" w:after="80" w:line="276" w:lineRule="auto"/>
      </w:pPr>
      <w:r>
        <w:rPr>
          <w:color w:val="334155"/>
          <w:sz w:val="19"/>
        </w:rPr>
        <w:t>approach across the Precinct.</w:t>
      </w:r>
    </w:p>
    <w:p>
      <w:pPr>
        <w:spacing w:before="40" w:after="80" w:line="276" w:lineRule="auto"/>
      </w:pPr>
      <w:r>
        <w:rPr>
          <w:color w:val="334155"/>
          <w:sz w:val="19"/>
        </w:rPr>
        <w:t>•</w:t>
      </w:r>
    </w:p>
    <w:p>
      <w:pPr>
        <w:spacing w:before="40" w:after="80" w:line="276" w:lineRule="auto"/>
      </w:pPr>
      <w:r>
        <w:rPr>
          <w:color w:val="334155"/>
          <w:sz w:val="19"/>
        </w:rPr>
        <w:t>Minimise impacts on surface water, groundwater</w:t>
      </w:r>
    </w:p>
    <w:p>
      <w:pPr>
        <w:spacing w:before="40" w:after="80" w:line="276" w:lineRule="auto"/>
      </w:pPr>
      <w:r>
        <w:rPr>
          <w:color w:val="334155"/>
          <w:sz w:val="19"/>
        </w:rPr>
        <w:t>and downstream receiving environments.</w:t>
      </w:r>
    </w:p>
    <w:p>
      <w:pPr>
        <w:spacing w:before="40" w:after="80" w:line="276" w:lineRule="auto"/>
      </w:pPr>
      <w:r>
        <w:rPr>
          <w:color w:val="334155"/>
          <w:sz w:val="19"/>
        </w:rPr>
        <w:t>•</w:t>
      </w:r>
    </w:p>
    <w:p>
      <w:pPr>
        <w:spacing w:before="40" w:after="80" w:line="276" w:lineRule="auto"/>
      </w:pPr>
      <w:r>
        <w:rPr>
          <w:color w:val="334155"/>
          <w:sz w:val="19"/>
        </w:rPr>
        <w:t>Incorporate WSUD to improve water quality,</w:t>
      </w:r>
    </w:p>
    <w:p>
      <w:pPr>
        <w:spacing w:before="40" w:after="80" w:line="276" w:lineRule="auto"/>
      </w:pPr>
      <w:r>
        <w:rPr>
          <w:color w:val="334155"/>
          <w:sz w:val="19"/>
        </w:rPr>
        <w:t>resilience and place outcomes.</w:t>
      </w:r>
    </w:p>
    <w:p>
      <w:pPr>
        <w:spacing w:before="40" w:after="80" w:line="276" w:lineRule="auto"/>
      </w:pPr>
      <w:r>
        <w:rPr>
          <w:color w:val="334155"/>
          <w:sz w:val="19"/>
        </w:rPr>
        <w:t>•</w:t>
      </w:r>
    </w:p>
    <w:p>
      <w:pPr>
        <w:spacing w:before="40" w:after="80" w:line="276" w:lineRule="auto"/>
      </w:pPr>
      <w:r>
        <w:rPr>
          <w:color w:val="334155"/>
          <w:sz w:val="19"/>
        </w:rPr>
        <w:t>Maintain natural drainage function, groundwater</w:t>
      </w:r>
    </w:p>
    <w:p>
      <w:pPr>
        <w:spacing w:before="40" w:after="80" w:line="276" w:lineRule="auto"/>
      </w:pPr>
      <w:r>
        <w:rPr>
          <w:color w:val="334155"/>
          <w:sz w:val="19"/>
        </w:rPr>
        <w:t>processes and recharge where feasible.</w:t>
      </w:r>
    </w:p>
    <w:p>
      <w:pPr>
        <w:spacing w:before="40" w:after="80" w:line="276" w:lineRule="auto"/>
      </w:pPr>
      <w:r>
        <w:rPr>
          <w:color w:val="334155"/>
          <w:sz w:val="19"/>
        </w:rPr>
        <w:t>•</w:t>
      </w:r>
    </w:p>
    <w:p>
      <w:pPr>
        <w:spacing w:before="40" w:after="80" w:line="276" w:lineRule="auto"/>
      </w:pPr>
      <w:r>
        <w:rPr>
          <w:color w:val="334155"/>
          <w:sz w:val="19"/>
        </w:rPr>
        <w:t>Manage construction-phase erosion and</w:t>
      </w:r>
    </w:p>
    <w:p>
      <w:pPr>
        <w:spacing w:before="40" w:after="80" w:line="276" w:lineRule="auto"/>
      </w:pPr>
      <w:r>
        <w:rPr>
          <w:color w:val="334155"/>
          <w:sz w:val="19"/>
        </w:rPr>
        <w:t>sediment risks to protect sensitive receivers.</w:t>
      </w:r>
    </w:p>
    <w:p>
      <w:pPr>
        <w:spacing w:before="40" w:after="80" w:line="276" w:lineRule="auto"/>
      </w:pPr>
      <w:r>
        <w:rPr>
          <w:color w:val="334155"/>
          <w:sz w:val="19"/>
        </w:rPr>
        <w:t>Performance criteria</w:t>
      </w:r>
    </w:p>
    <w:p>
      <w:pPr>
        <w:spacing w:before="40" w:after="80" w:line="276" w:lineRule="auto"/>
      </w:pPr>
      <w:r>
        <w:rPr>
          <w:color w:val="334155"/>
          <w:sz w:val="19"/>
        </w:rPr>
        <w:t>A.</w:t>
        <w:tab/>
        <w:t xml:space="preserve"> Development must achieve applicable</w:t>
      </w:r>
    </w:p>
    <w:p>
      <w:pPr>
        <w:spacing w:before="40" w:after="80" w:line="276" w:lineRule="auto"/>
      </w:pPr>
      <w:r>
        <w:rPr>
          <w:color w:val="334155"/>
          <w:sz w:val="19"/>
        </w:rPr>
        <w:t>stormwater quality targets, including pollutant</w:t>
      </w:r>
    </w:p>
    <w:p>
      <w:pPr>
        <w:spacing w:before="40" w:after="80" w:line="276" w:lineRule="auto"/>
      </w:pPr>
      <w:r>
        <w:rPr>
          <w:color w:val="334155"/>
          <w:sz w:val="19"/>
        </w:rPr>
        <w:t>load reduction and nutrient load limits relevant</w:t>
      </w:r>
    </w:p>
    <w:p>
      <w:pPr>
        <w:spacing w:before="40" w:after="80" w:line="276" w:lineRule="auto"/>
      </w:pPr>
      <w:r>
        <w:rPr>
          <w:color w:val="334155"/>
          <w:sz w:val="19"/>
        </w:rPr>
        <w:t>to the Lake Macquarie catchment.</w:t>
      </w:r>
    </w:p>
    <w:p>
      <w:pPr>
        <w:spacing w:before="40" w:after="80" w:line="276" w:lineRule="auto"/>
      </w:pPr>
      <w:r>
        <w:rPr>
          <w:color w:val="334155"/>
          <w:sz w:val="19"/>
        </w:rPr>
        <w:t>B.</w:t>
        <w:tab/>
        <w:t xml:space="preserve"> High-priority groundwater dependent</w:t>
      </w:r>
    </w:p>
    <w:p>
      <w:pPr>
        <w:spacing w:before="40" w:after="80" w:line="276" w:lineRule="auto"/>
      </w:pPr>
      <w:r>
        <w:rPr>
          <w:color w:val="334155"/>
          <w:sz w:val="19"/>
        </w:rPr>
        <w:t>ecosystems must be protected in accordance</w:t>
      </w:r>
    </w:p>
    <w:p>
      <w:pPr>
        <w:spacing w:before="40" w:after="80" w:line="276" w:lineRule="auto"/>
      </w:pPr>
      <w:r>
        <w:rPr>
          <w:color w:val="334155"/>
          <w:sz w:val="19"/>
        </w:rPr>
        <w:t>with the applicable policy framework.</w:t>
      </w:r>
    </w:p>
    <w:p>
      <w:pPr>
        <w:spacing w:before="40" w:after="80" w:line="276" w:lineRule="auto"/>
      </w:pPr>
      <w:r>
        <w:rPr>
          <w:color w:val="334155"/>
          <w:sz w:val="19"/>
        </w:rPr>
        <w:t>C.</w:t>
        <w:tab/>
        <w:t xml:space="preserve"> Development must demonstrate an integrated</w:t>
      </w:r>
    </w:p>
    <w:p>
      <w:pPr>
        <w:spacing w:before="40" w:after="80" w:line="276" w:lineRule="auto"/>
      </w:pPr>
      <w:r>
        <w:rPr>
          <w:color w:val="334155"/>
          <w:sz w:val="19"/>
        </w:rPr>
        <w:t>water cycle and WSUD response that minimises</w:t>
      </w:r>
    </w:p>
    <w:p>
      <w:pPr>
        <w:spacing w:before="40" w:after="80" w:line="276" w:lineRule="auto"/>
      </w:pPr>
      <w:r>
        <w:rPr>
          <w:color w:val="334155"/>
          <w:sz w:val="19"/>
        </w:rPr>
        <w:t>hydrological and water quality impacts on</w:t>
      </w:r>
    </w:p>
    <w:p>
      <w:pPr>
        <w:spacing w:before="40" w:after="80" w:line="276" w:lineRule="auto"/>
      </w:pPr>
      <w:r>
        <w:rPr>
          <w:color w:val="334155"/>
          <w:sz w:val="19"/>
        </w:rPr>
        <w:t>downstream sensitive receivers.</w:t>
      </w:r>
    </w:p>
    <w:p>
      <w:pPr>
        <w:spacing w:before="40" w:after="80" w:line="276" w:lineRule="auto"/>
      </w:pPr>
      <w:r>
        <w:rPr>
          <w:color w:val="334155"/>
          <w:sz w:val="19"/>
        </w:rPr>
        <w:t>D.</w:t>
        <w:tab/>
        <w:t xml:space="preserve"> WSUD measures must be designed to treat</w:t>
      </w:r>
    </w:p>
    <w:p>
      <w:pPr>
        <w:spacing w:before="40" w:after="80" w:line="276" w:lineRule="auto"/>
      </w:pPr>
      <w:r>
        <w:rPr>
          <w:color w:val="334155"/>
          <w:sz w:val="19"/>
        </w:rPr>
        <w:t>frequent storm events, including flows up to and</w:t>
      </w:r>
    </w:p>
    <w:p>
      <w:pPr>
        <w:spacing w:before="40" w:after="80" w:line="276" w:lineRule="auto"/>
      </w:pPr>
      <w:r>
        <w:rPr>
          <w:color w:val="334155"/>
          <w:sz w:val="19"/>
        </w:rPr>
        <w:t>including the three-month average recurrence</w:t>
      </w:r>
    </w:p>
    <w:p>
      <w:pPr>
        <w:spacing w:before="40" w:after="80" w:line="276" w:lineRule="auto"/>
      </w:pPr>
      <w:r>
        <w:rPr>
          <w:color w:val="334155"/>
          <w:sz w:val="19"/>
        </w:rPr>
        <w:t>interval (ARI) event.</w:t>
      </w:r>
    </w:p>
    <w:p>
      <w:pPr>
        <w:spacing w:before="40" w:after="80" w:line="276" w:lineRule="auto"/>
      </w:pPr>
      <w:r>
        <w:rPr>
          <w:color w:val="334155"/>
          <w:sz w:val="19"/>
        </w:rPr>
        <w:t>E.</w:t>
        <w:tab/>
        <w:t xml:space="preserve"> Development must maintain, to the extent</w:t>
      </w:r>
    </w:p>
    <w:p>
      <w:pPr>
        <w:spacing w:before="40" w:after="80" w:line="276" w:lineRule="auto"/>
      </w:pPr>
      <w:r>
        <w:rPr>
          <w:color w:val="334155"/>
          <w:sz w:val="19"/>
        </w:rPr>
        <w:t>practicable, natural flow paths, sub-catchment</w:t>
      </w:r>
    </w:p>
    <w:p>
      <w:pPr>
        <w:spacing w:before="40" w:after="80" w:line="276" w:lineRule="auto"/>
      </w:pPr>
      <w:r>
        <w:rPr>
          <w:color w:val="334155"/>
          <w:sz w:val="19"/>
        </w:rPr>
        <w:t>function and flow direction and must not rely</w:t>
      </w:r>
    </w:p>
    <w:p>
      <w:pPr>
        <w:spacing w:before="40" w:after="80" w:line="276" w:lineRule="auto"/>
      </w:pPr>
      <w:r>
        <w:rPr>
          <w:color w:val="334155"/>
          <w:sz w:val="19"/>
        </w:rPr>
        <w:t>solely on piped or heavily engineered stormwater</w:t>
      </w:r>
    </w:p>
    <w:p>
      <w:pPr>
        <w:spacing w:before="40" w:after="80" w:line="276" w:lineRule="auto"/>
      </w:pPr>
      <w:r>
        <w:rPr>
          <w:color w:val="334155"/>
          <w:sz w:val="19"/>
        </w:rPr>
        <w:t>systems where this would increase erosion,</w:t>
      </w:r>
    </w:p>
    <w:p>
      <w:pPr>
        <w:spacing w:before="40" w:after="80" w:line="276" w:lineRule="auto"/>
      </w:pPr>
      <w:r>
        <w:rPr>
          <w:color w:val="334155"/>
          <w:sz w:val="19"/>
        </w:rPr>
        <w:t>scour or downstream impacts.</w:t>
      </w:r>
    </w:p>
    <w:p>
      <w:pPr>
        <w:spacing w:before="40" w:after="80" w:line="276" w:lineRule="auto"/>
      </w:pPr>
      <w:r>
        <w:rPr>
          <w:color w:val="334155"/>
          <w:sz w:val="19"/>
        </w:rPr>
        <w:t>Figure 29: Concept for integrating water sensitive urban design</w:t>
      </w:r>
    </w:p>
    <w:p>
      <w:pPr>
        <w:spacing w:before="40" w:after="80" w:line="276" w:lineRule="auto"/>
      </w:pPr>
      <w:r>
        <w:rPr>
          <w:color w:val="334155"/>
          <w:sz w:val="19"/>
        </w:rPr>
        <w:t>41</w:t>
      </w:r>
    </w:p>
    <w:p>
      <w:pPr>
        <w:spacing w:before="40" w:after="80" w:line="276" w:lineRule="auto"/>
      </w:pPr>
      <w:r>
        <w:rPr>
          <w:color w:val="334155"/>
          <w:sz w:val="19"/>
        </w:rPr>
        <w:t>6  Ecology, water and landscape systems</w:t>
      </w:r>
    </w:p>
    <w:p>
      <w:pPr>
        <w:pStyle w:val="Heading3"/>
        <w:keepNext/>
        <w:spacing w:before="160" w:after="40"/>
      </w:pPr>
      <w:r>
        <w:rPr>
          <w:b/>
          <w:color w:val="334155"/>
        </w:rPr>
        <w:t>Page 42</w:t>
      </w:r>
    </w:p>
    <w:p>
      <w:pPr>
        <w:spacing w:before="40" w:after="80" w:line="276" w:lineRule="auto"/>
      </w:pPr>
      <w:r>
        <w:rPr>
          <w:color w:val="334155"/>
          <w:sz w:val="19"/>
        </w:rPr>
        <w:t>Road network, freight and access</w:t>
      </w:r>
    </w:p>
    <w:p>
      <w:pPr>
        <w:spacing w:before="40" w:after="80" w:line="276" w:lineRule="auto"/>
      </w:pPr>
      <w:r>
        <w:rPr>
          <w:color w:val="334155"/>
          <w:sz w:val="19"/>
        </w:rPr>
        <w:t>Road network and access is influenced by</w:t>
      </w:r>
    </w:p>
    <w:p>
      <w:pPr>
        <w:spacing w:before="40" w:after="80" w:line="276" w:lineRule="auto"/>
      </w:pPr>
      <w:r>
        <w:rPr>
          <w:color w:val="334155"/>
          <w:sz w:val="19"/>
        </w:rPr>
        <w:t>the Precinct’s legacy as former coal mine</w:t>
      </w:r>
    </w:p>
    <w:p>
      <w:pPr>
        <w:spacing w:before="40" w:after="80" w:line="276" w:lineRule="auto"/>
      </w:pPr>
      <w:r>
        <w:rPr>
          <w:color w:val="334155"/>
          <w:sz w:val="19"/>
        </w:rPr>
        <w:t>operations. Historic mining operations have shaped</w:t>
      </w:r>
    </w:p>
    <w:p>
      <w:pPr>
        <w:spacing w:before="40" w:after="80" w:line="276" w:lineRule="auto"/>
      </w:pPr>
      <w:r>
        <w:rPr>
          <w:color w:val="334155"/>
          <w:sz w:val="19"/>
        </w:rPr>
        <w:t>both the physical terrain and created a framework</w:t>
      </w:r>
    </w:p>
    <w:p>
      <w:pPr>
        <w:spacing w:before="40" w:after="80" w:line="276" w:lineRule="auto"/>
      </w:pPr>
      <w:r>
        <w:rPr>
          <w:color w:val="334155"/>
          <w:sz w:val="19"/>
        </w:rPr>
        <w:t>that continues to inform movement and access in</w:t>
      </w:r>
    </w:p>
    <w:p>
      <w:pPr>
        <w:spacing w:before="40" w:after="80" w:line="276" w:lineRule="auto"/>
      </w:pPr>
      <w:r>
        <w:rPr>
          <w:color w:val="334155"/>
          <w:sz w:val="19"/>
        </w:rPr>
        <w:t>the post mining context. Former haul routes and</w:t>
      </w:r>
    </w:p>
    <w:p>
      <w:pPr>
        <w:spacing w:before="40" w:after="80" w:line="276" w:lineRule="auto"/>
      </w:pPr>
      <w:r>
        <w:rPr>
          <w:color w:val="334155"/>
          <w:sz w:val="19"/>
        </w:rPr>
        <w:t>access tracks, originally designed to support</w:t>
      </w:r>
    </w:p>
    <w:p>
      <w:pPr>
        <w:spacing w:before="40" w:after="80" w:line="276" w:lineRule="auto"/>
      </w:pPr>
      <w:r>
        <w:rPr>
          <w:color w:val="334155"/>
          <w:sz w:val="19"/>
        </w:rPr>
        <w:t>extraction, processing and transport activities,</w:t>
      </w:r>
    </w:p>
    <w:p>
      <w:pPr>
        <w:spacing w:before="40" w:after="80" w:line="276" w:lineRule="auto"/>
      </w:pPr>
      <w:r>
        <w:rPr>
          <w:color w:val="334155"/>
          <w:sz w:val="19"/>
        </w:rPr>
        <w:t>establish a foundational spatial logic for the post</w:t>
      </w:r>
    </w:p>
    <w:p>
      <w:pPr>
        <w:spacing w:before="40" w:after="80" w:line="276" w:lineRule="auto"/>
      </w:pPr>
      <w:r>
        <w:rPr>
          <w:color w:val="334155"/>
          <w:sz w:val="19"/>
        </w:rPr>
        <w:t>mining land use movement network.</w:t>
      </w:r>
    </w:p>
    <w:p>
      <w:pPr>
        <w:spacing w:before="40" w:after="80" w:line="276" w:lineRule="auto"/>
      </w:pPr>
      <w:r>
        <w:rPr>
          <w:color w:val="334155"/>
          <w:sz w:val="19"/>
        </w:rPr>
        <w:t>The approach to managing transport and mobility is</w:t>
      </w:r>
    </w:p>
    <w:p>
      <w:pPr>
        <w:spacing w:before="40" w:after="80" w:line="276" w:lineRule="auto"/>
      </w:pPr>
      <w:r>
        <w:rPr>
          <w:color w:val="334155"/>
          <w:sz w:val="19"/>
        </w:rPr>
        <w:t>multi-layered, combining infrastructure planning</w:t>
      </w:r>
    </w:p>
    <w:p>
      <w:pPr>
        <w:spacing w:before="40" w:after="80" w:line="276" w:lineRule="auto"/>
      </w:pPr>
      <w:r>
        <w:rPr>
          <w:color w:val="334155"/>
          <w:sz w:val="19"/>
        </w:rPr>
        <w:t>and staging through demand management and</w:t>
      </w:r>
    </w:p>
    <w:p>
      <w:pPr>
        <w:spacing w:before="40" w:after="80" w:line="276" w:lineRule="auto"/>
      </w:pPr>
      <w:r>
        <w:rPr>
          <w:color w:val="334155"/>
          <w:sz w:val="19"/>
        </w:rPr>
        <w:t>integration with land use outcomes. To facilitate</w:t>
      </w:r>
    </w:p>
    <w:p>
      <w:pPr>
        <w:spacing w:before="40" w:after="80" w:line="276" w:lineRule="auto"/>
      </w:pPr>
      <w:r>
        <w:rPr>
          <w:color w:val="334155"/>
          <w:sz w:val="19"/>
        </w:rPr>
        <w:t>efficient movement within and around the Precinct,</w:t>
      </w:r>
    </w:p>
    <w:p>
      <w:pPr>
        <w:spacing w:before="40" w:after="80" w:line="276" w:lineRule="auto"/>
      </w:pPr>
      <w:r>
        <w:rPr>
          <w:color w:val="334155"/>
          <w:sz w:val="19"/>
        </w:rPr>
        <w:t>the road network of sub-arterial, collector and local</w:t>
      </w:r>
    </w:p>
    <w:p>
      <w:pPr>
        <w:spacing w:before="40" w:after="80" w:line="276" w:lineRule="auto"/>
      </w:pPr>
      <w:r>
        <w:rPr>
          <w:color w:val="334155"/>
          <w:sz w:val="19"/>
        </w:rPr>
        <w:t>roads is structured as a clear hierarchy, linking</w:t>
      </w:r>
    </w:p>
    <w:p>
      <w:pPr>
        <w:spacing w:before="40" w:after="80" w:line="276" w:lineRule="auto"/>
      </w:pPr>
      <w:r>
        <w:rPr>
          <w:color w:val="334155"/>
          <w:sz w:val="19"/>
        </w:rPr>
        <w:t>developable land to the broader regional network</w:t>
      </w:r>
    </w:p>
    <w:p>
      <w:pPr>
        <w:spacing w:before="40" w:after="80" w:line="276" w:lineRule="auto"/>
      </w:pPr>
      <w:r>
        <w:rPr>
          <w:color w:val="334155"/>
          <w:sz w:val="19"/>
        </w:rPr>
        <w:t>to minimise reliance on the external local network.</w:t>
      </w:r>
    </w:p>
    <w:p>
      <w:pPr>
        <w:spacing w:before="40" w:after="80" w:line="276" w:lineRule="auto"/>
      </w:pPr>
      <w:r>
        <w:rPr>
          <w:color w:val="334155"/>
          <w:sz w:val="19"/>
        </w:rPr>
        <w:t>Subject to further investigation, a potential new</w:t>
      </w:r>
    </w:p>
    <w:p>
      <w:pPr>
        <w:spacing w:before="40" w:after="80" w:line="276" w:lineRule="auto"/>
      </w:pPr>
      <w:r>
        <w:rPr>
          <w:color w:val="334155"/>
          <w:sz w:val="19"/>
        </w:rPr>
        <w:t>east–west crossing of Cockle Creek is identified as</w:t>
      </w:r>
    </w:p>
    <w:p>
      <w:pPr>
        <w:spacing w:before="40" w:after="80" w:line="276" w:lineRule="auto"/>
      </w:pPr>
      <w:r>
        <w:rPr>
          <w:color w:val="334155"/>
          <w:sz w:val="19"/>
        </w:rPr>
        <w:t>an opportunity to strengthen network resilience,</w:t>
      </w:r>
    </w:p>
    <w:p>
      <w:pPr>
        <w:spacing w:before="40" w:after="80" w:line="276" w:lineRule="auto"/>
      </w:pPr>
      <w:r>
        <w:rPr>
          <w:color w:val="334155"/>
          <w:sz w:val="19"/>
        </w:rPr>
        <w:t>unlock alternative freight access that bypasses</w:t>
      </w:r>
    </w:p>
    <w:p>
      <w:pPr>
        <w:spacing w:before="40" w:after="80" w:line="276" w:lineRule="auto"/>
      </w:pPr>
      <w:r>
        <w:rPr>
          <w:color w:val="334155"/>
          <w:sz w:val="19"/>
        </w:rPr>
        <w:t>constrained local roads (Racecourse Road, Railway</w:t>
      </w:r>
    </w:p>
    <w:p>
      <w:pPr>
        <w:spacing w:before="40" w:after="80" w:line="276" w:lineRule="auto"/>
      </w:pPr>
      <w:r>
        <w:rPr>
          <w:color w:val="334155"/>
          <w:sz w:val="19"/>
        </w:rPr>
        <w:t>Street and Rhondda Road) and improve</w:t>
      </w:r>
    </w:p>
    <w:p>
      <w:pPr>
        <w:spacing w:before="40" w:after="80" w:line="276" w:lineRule="auto"/>
      </w:pPr>
      <w:r>
        <w:rPr>
          <w:color w:val="334155"/>
          <w:sz w:val="19"/>
        </w:rPr>
        <w:t>connectivity to Cockle Creek Station.</w:t>
      </w:r>
    </w:p>
    <w:p>
      <w:pPr>
        <w:spacing w:before="40" w:after="80" w:line="276" w:lineRule="auto"/>
      </w:pPr>
      <w:r>
        <w:rPr>
          <w:color w:val="334155"/>
          <w:sz w:val="19"/>
        </w:rPr>
        <w:t>Teralba is directly serviced by Teralba and</w:t>
      </w:r>
    </w:p>
    <w:p>
      <w:pPr>
        <w:spacing w:before="40" w:after="80" w:line="276" w:lineRule="auto"/>
      </w:pPr>
      <w:r>
        <w:rPr>
          <w:color w:val="334155"/>
          <w:sz w:val="19"/>
        </w:rPr>
        <w:t>Booragul Stations and forms a natural anchor for</w:t>
      </w:r>
    </w:p>
    <w:p>
      <w:pPr>
        <w:spacing w:before="40" w:after="80" w:line="276" w:lineRule="auto"/>
      </w:pPr>
      <w:r>
        <w:rPr>
          <w:color w:val="334155"/>
          <w:sz w:val="19"/>
        </w:rPr>
        <w:t>enhanced pedestrian and cycling connectivity to</w:t>
      </w:r>
    </w:p>
    <w:p>
      <w:pPr>
        <w:spacing w:before="40" w:after="80" w:line="276" w:lineRule="auto"/>
      </w:pPr>
      <w:r>
        <w:rPr>
          <w:color w:val="334155"/>
          <w:sz w:val="19"/>
        </w:rPr>
        <w:t>the wider Precinct via the Main Northern railway</w:t>
      </w:r>
    </w:p>
    <w:p>
      <w:pPr>
        <w:spacing w:before="40" w:after="80" w:line="276" w:lineRule="auto"/>
      </w:pPr>
      <w:r>
        <w:rPr>
          <w:color w:val="334155"/>
          <w:sz w:val="19"/>
        </w:rPr>
        <w:t>corridor and the future active transport network.</w:t>
      </w:r>
    </w:p>
    <w:p>
      <w:pPr>
        <w:spacing w:before="40" w:after="80" w:line="276" w:lineRule="auto"/>
      </w:pPr>
      <w:r>
        <w:rPr>
          <w:color w:val="334155"/>
          <w:sz w:val="19"/>
        </w:rPr>
        <w:t>Aims</w:t>
      </w:r>
    </w:p>
    <w:p>
      <w:pPr>
        <w:spacing w:before="40" w:after="80" w:line="276" w:lineRule="auto"/>
      </w:pPr>
      <w:r>
        <w:rPr>
          <w:color w:val="334155"/>
          <w:sz w:val="19"/>
        </w:rPr>
        <w:t>•</w:t>
      </w:r>
    </w:p>
    <w:p>
      <w:pPr>
        <w:spacing w:before="40" w:after="80" w:line="276" w:lineRule="auto"/>
      </w:pPr>
      <w:r>
        <w:rPr>
          <w:color w:val="334155"/>
          <w:sz w:val="19"/>
        </w:rPr>
        <w:t>Provide an efficient, legible and resilient road</w:t>
      </w:r>
    </w:p>
    <w:p>
      <w:pPr>
        <w:spacing w:before="40" w:after="80" w:line="276" w:lineRule="auto"/>
      </w:pPr>
      <w:r>
        <w:rPr>
          <w:color w:val="334155"/>
          <w:sz w:val="19"/>
        </w:rPr>
        <w:t>network that supports sequenced Precinct</w:t>
      </w:r>
    </w:p>
    <w:p>
      <w:pPr>
        <w:spacing w:before="40" w:after="80" w:line="276" w:lineRule="auto"/>
      </w:pPr>
      <w:r>
        <w:rPr>
          <w:color w:val="334155"/>
          <w:sz w:val="19"/>
        </w:rPr>
        <w:t>development.</w:t>
      </w:r>
    </w:p>
    <w:p>
      <w:pPr>
        <w:spacing w:before="40" w:after="80" w:line="276" w:lineRule="auto"/>
      </w:pPr>
      <w:r>
        <w:rPr>
          <w:color w:val="334155"/>
          <w:sz w:val="19"/>
        </w:rPr>
        <w:t>•</w:t>
      </w:r>
    </w:p>
    <w:p>
      <w:pPr>
        <w:spacing w:before="40" w:after="80" w:line="276" w:lineRule="auto"/>
      </w:pPr>
      <w:r>
        <w:rPr>
          <w:color w:val="334155"/>
          <w:sz w:val="19"/>
        </w:rPr>
        <w:t>Support safe and efficient freight, workforce</w:t>
      </w:r>
    </w:p>
    <w:p>
      <w:pPr>
        <w:spacing w:before="40" w:after="80" w:line="276" w:lineRule="auto"/>
      </w:pPr>
      <w:r>
        <w:rPr>
          <w:color w:val="334155"/>
          <w:sz w:val="19"/>
        </w:rPr>
        <w:t>and visitor access to and within the Precinct.</w:t>
      </w:r>
    </w:p>
    <w:p>
      <w:pPr>
        <w:spacing w:before="40" w:after="80" w:line="276" w:lineRule="auto"/>
      </w:pPr>
      <w:r>
        <w:rPr>
          <w:color w:val="334155"/>
          <w:sz w:val="19"/>
        </w:rPr>
        <w:t>•</w:t>
      </w:r>
    </w:p>
    <w:p>
      <w:pPr>
        <w:spacing w:before="40" w:after="80" w:line="276" w:lineRule="auto"/>
      </w:pPr>
      <w:r>
        <w:rPr>
          <w:color w:val="334155"/>
          <w:sz w:val="19"/>
        </w:rPr>
        <w:t>Align freight and access planning with the</w:t>
      </w:r>
    </w:p>
    <w:p>
      <w:pPr>
        <w:spacing w:before="40" w:after="80" w:line="276" w:lineRule="auto"/>
      </w:pPr>
      <w:r>
        <w:rPr>
          <w:color w:val="334155"/>
          <w:sz w:val="19"/>
        </w:rPr>
        <w:t>regional road and freight network, including</w:t>
      </w:r>
    </w:p>
    <w:p>
      <w:pPr>
        <w:spacing w:before="40" w:after="80" w:line="276" w:lineRule="auto"/>
      </w:pPr>
      <w:r>
        <w:rPr>
          <w:color w:val="334155"/>
          <w:sz w:val="19"/>
        </w:rPr>
        <w:t>future strategic corridors.</w:t>
      </w:r>
    </w:p>
    <w:p>
      <w:pPr>
        <w:spacing w:before="40" w:after="80" w:line="276" w:lineRule="auto"/>
      </w:pPr>
      <w:r>
        <w:rPr>
          <w:color w:val="334155"/>
          <w:sz w:val="19"/>
        </w:rPr>
        <w:t>•</w:t>
      </w:r>
    </w:p>
    <w:p>
      <w:pPr>
        <w:spacing w:before="40" w:after="80" w:line="276" w:lineRule="auto"/>
      </w:pPr>
      <w:r>
        <w:rPr>
          <w:color w:val="334155"/>
          <w:sz w:val="19"/>
        </w:rPr>
        <w:t>Improve access across existing infrastructure</w:t>
      </w:r>
    </w:p>
    <w:p>
      <w:pPr>
        <w:spacing w:before="40" w:after="80" w:line="276" w:lineRule="auto"/>
      </w:pPr>
      <w:r>
        <w:rPr>
          <w:color w:val="334155"/>
          <w:sz w:val="19"/>
        </w:rPr>
        <w:t>barriers, including the Main Northern Railway.</w:t>
      </w:r>
    </w:p>
    <w:p>
      <w:pPr>
        <w:spacing w:before="40" w:after="80" w:line="276" w:lineRule="auto"/>
      </w:pPr>
      <w:r>
        <w:rPr>
          <w:color w:val="334155"/>
          <w:sz w:val="19"/>
        </w:rPr>
        <w:t>•</w:t>
      </w:r>
    </w:p>
    <w:p>
      <w:pPr>
        <w:spacing w:before="40" w:after="80" w:line="276" w:lineRule="auto"/>
      </w:pPr>
      <w:r>
        <w:rPr>
          <w:color w:val="334155"/>
          <w:sz w:val="19"/>
        </w:rPr>
        <w:t>Integrate flood and bush fire resilience,</w:t>
      </w:r>
    </w:p>
    <w:p>
      <w:pPr>
        <w:spacing w:before="40" w:after="80" w:line="276" w:lineRule="auto"/>
      </w:pPr>
      <w:r>
        <w:rPr>
          <w:color w:val="334155"/>
          <w:sz w:val="19"/>
        </w:rPr>
        <w:t>emergency access and network safety into road</w:t>
      </w:r>
    </w:p>
    <w:p>
      <w:pPr>
        <w:spacing w:before="40" w:after="80" w:line="276" w:lineRule="auto"/>
      </w:pPr>
      <w:r>
        <w:rPr>
          <w:color w:val="334155"/>
          <w:sz w:val="19"/>
        </w:rPr>
        <w:t>planning.</w:t>
      </w:r>
    </w:p>
    <w:p>
      <w:pPr>
        <w:spacing w:before="40" w:after="80" w:line="276" w:lineRule="auto"/>
      </w:pPr>
      <w:r>
        <w:rPr>
          <w:color w:val="334155"/>
          <w:sz w:val="19"/>
        </w:rPr>
        <w:t>•</w:t>
      </w:r>
    </w:p>
    <w:p>
      <w:pPr>
        <w:spacing w:before="40" w:after="80" w:line="276" w:lineRule="auto"/>
      </w:pPr>
      <w:r>
        <w:rPr>
          <w:color w:val="334155"/>
          <w:sz w:val="19"/>
        </w:rPr>
        <w:t>Deliver complete streets that support walking,</w:t>
      </w:r>
    </w:p>
    <w:p>
      <w:pPr>
        <w:spacing w:before="40" w:after="80" w:line="276" w:lineRule="auto"/>
      </w:pPr>
      <w:r>
        <w:rPr>
          <w:color w:val="334155"/>
          <w:sz w:val="19"/>
        </w:rPr>
        <w:t>cycling, buses and future transport upgrades.</w:t>
      </w:r>
    </w:p>
    <w:p>
      <w:pPr>
        <w:spacing w:before="40" w:after="80" w:line="276" w:lineRule="auto"/>
      </w:pPr>
      <w:r>
        <w:rPr>
          <w:color w:val="334155"/>
          <w:sz w:val="19"/>
        </w:rPr>
        <w:t>Performance criteria</w:t>
      </w:r>
    </w:p>
    <w:p>
      <w:pPr>
        <w:spacing w:before="40" w:after="80" w:line="276" w:lineRule="auto"/>
      </w:pPr>
      <w:r>
        <w:rPr>
          <w:color w:val="334155"/>
          <w:sz w:val="19"/>
        </w:rPr>
        <w:t>A. The Precinct road network must connect</w:t>
      </w:r>
    </w:p>
    <w:p>
      <w:pPr>
        <w:spacing w:before="40" w:after="80" w:line="276" w:lineRule="auto"/>
      </w:pPr>
      <w:r>
        <w:rPr>
          <w:color w:val="334155"/>
          <w:sz w:val="19"/>
        </w:rPr>
        <w:t>to the regional road network and provide a</w:t>
      </w:r>
    </w:p>
    <w:p>
      <w:pPr>
        <w:spacing w:before="40" w:after="80" w:line="276" w:lineRule="auto"/>
      </w:pPr>
      <w:r>
        <w:rPr>
          <w:color w:val="334155"/>
          <w:sz w:val="19"/>
        </w:rPr>
        <w:t>legible hierarchy of sub-arterial, collector and</w:t>
      </w:r>
    </w:p>
    <w:p>
      <w:pPr>
        <w:spacing w:before="40" w:after="80" w:line="276" w:lineRule="auto"/>
      </w:pPr>
      <w:r>
        <w:rPr>
          <w:color w:val="334155"/>
          <w:sz w:val="19"/>
        </w:rPr>
        <w:t>local roads consistent with applicable design</w:t>
      </w:r>
    </w:p>
    <w:p>
      <w:pPr>
        <w:spacing w:before="40" w:after="80" w:line="276" w:lineRule="auto"/>
      </w:pPr>
      <w:r>
        <w:rPr>
          <w:color w:val="334155"/>
          <w:sz w:val="19"/>
        </w:rPr>
        <w:t>standards.</w:t>
      </w:r>
    </w:p>
    <w:p>
      <w:pPr>
        <w:spacing w:before="40" w:after="80" w:line="276" w:lineRule="auto"/>
      </w:pPr>
      <w:r>
        <w:rPr>
          <w:color w:val="334155"/>
          <w:sz w:val="19"/>
        </w:rPr>
        <w:t>B. Road network and intersection upgrades must</w:t>
      </w:r>
    </w:p>
    <w:p>
      <w:pPr>
        <w:spacing w:before="40" w:after="80" w:line="276" w:lineRule="auto"/>
      </w:pPr>
      <w:r>
        <w:rPr>
          <w:color w:val="334155"/>
          <w:sz w:val="19"/>
        </w:rPr>
        <w:t>be delivered ahead of, or concurrently with, the</w:t>
      </w:r>
    </w:p>
    <w:p>
      <w:pPr>
        <w:spacing w:before="40" w:after="80" w:line="276" w:lineRule="auto"/>
      </w:pPr>
      <w:r>
        <w:rPr>
          <w:color w:val="334155"/>
          <w:sz w:val="19"/>
        </w:rPr>
        <w:t>development stages they are intended to serve.</w:t>
      </w:r>
    </w:p>
    <w:p>
      <w:pPr>
        <w:spacing w:before="40" w:after="80" w:line="276" w:lineRule="auto"/>
      </w:pPr>
      <w:r>
        <w:rPr>
          <w:color w:val="334155"/>
          <w:sz w:val="19"/>
        </w:rPr>
        <w:t>C. Internal road networks must be delivered</w:t>
      </w:r>
    </w:p>
    <w:p>
      <w:pPr>
        <w:spacing w:before="40" w:after="80" w:line="276" w:lineRule="auto"/>
      </w:pPr>
      <w:r>
        <w:rPr>
          <w:color w:val="334155"/>
          <w:sz w:val="19"/>
        </w:rPr>
        <w:t>progressively to support sequenced</w:t>
      </w:r>
    </w:p>
    <w:p>
      <w:pPr>
        <w:spacing w:before="40" w:after="80" w:line="276" w:lineRule="auto"/>
      </w:pPr>
      <w:r>
        <w:rPr>
          <w:color w:val="334155"/>
          <w:sz w:val="19"/>
        </w:rPr>
        <w:t>development and reduce reliance on external</w:t>
      </w:r>
    </w:p>
    <w:p>
      <w:pPr>
        <w:spacing w:before="40" w:after="80" w:line="276" w:lineRule="auto"/>
      </w:pPr>
      <w:r>
        <w:rPr>
          <w:color w:val="334155"/>
          <w:sz w:val="19"/>
        </w:rPr>
        <w:t>local roads.</w:t>
      </w:r>
    </w:p>
    <w:p>
      <w:pPr>
        <w:spacing w:before="40" w:after="80" w:line="276" w:lineRule="auto"/>
      </w:pPr>
      <w:r>
        <w:rPr>
          <w:color w:val="334155"/>
          <w:sz w:val="19"/>
        </w:rPr>
        <w:t>D. Development applications must demonstrate,</w:t>
      </w:r>
    </w:p>
    <w:p>
      <w:pPr>
        <w:spacing w:before="40" w:after="80" w:line="276" w:lineRule="auto"/>
      </w:pPr>
      <w:r>
        <w:rPr>
          <w:color w:val="334155"/>
          <w:sz w:val="19"/>
        </w:rPr>
        <w:t>through detailed traffic assessment, that the</w:t>
      </w:r>
    </w:p>
    <w:p>
      <w:pPr>
        <w:spacing w:before="40" w:after="80" w:line="276" w:lineRule="auto"/>
      </w:pPr>
      <w:r>
        <w:rPr>
          <w:color w:val="334155"/>
          <w:sz w:val="19"/>
        </w:rPr>
        <w:t>surrounding network and relevant intersections</w:t>
      </w:r>
    </w:p>
    <w:p>
      <w:pPr>
        <w:spacing w:before="40" w:after="80" w:line="276" w:lineRule="auto"/>
      </w:pPr>
      <w:r>
        <w:rPr>
          <w:color w:val="334155"/>
          <w:sz w:val="19"/>
        </w:rPr>
        <w:t>can operate at an acceptable level of service for</w:t>
      </w:r>
    </w:p>
    <w:p>
      <w:pPr>
        <w:spacing w:before="40" w:after="80" w:line="276" w:lineRule="auto"/>
      </w:pPr>
      <w:r>
        <w:rPr>
          <w:color w:val="334155"/>
          <w:sz w:val="19"/>
        </w:rPr>
        <w:t>the proposed stage of development.</w:t>
      </w:r>
    </w:p>
    <w:p>
      <w:pPr>
        <w:spacing w:before="40" w:after="80" w:line="276" w:lineRule="auto"/>
      </w:pPr>
      <w:r>
        <w:rPr>
          <w:color w:val="334155"/>
          <w:sz w:val="19"/>
        </w:rPr>
        <w:t>E. Freight access routes and approved restricted</w:t>
      </w:r>
    </w:p>
    <w:p>
      <w:pPr>
        <w:spacing w:before="40" w:after="80" w:line="276" w:lineRule="auto"/>
      </w:pPr>
      <w:r>
        <w:rPr>
          <w:color w:val="334155"/>
          <w:sz w:val="19"/>
        </w:rPr>
        <w:t>access vehicle (RAV) connections must be</w:t>
      </w:r>
    </w:p>
    <w:p>
      <w:pPr>
        <w:spacing w:before="40" w:after="80" w:line="276" w:lineRule="auto"/>
      </w:pPr>
      <w:r>
        <w:rPr>
          <w:color w:val="334155"/>
          <w:sz w:val="19"/>
        </w:rPr>
        <w:t>established before freight-generating land uses</w:t>
      </w:r>
    </w:p>
    <w:p>
      <w:pPr>
        <w:spacing w:before="40" w:after="80" w:line="276" w:lineRule="auto"/>
      </w:pPr>
      <w:r>
        <w:rPr>
          <w:color w:val="334155"/>
          <w:sz w:val="19"/>
        </w:rPr>
        <w:t>commence.</w:t>
      </w:r>
    </w:p>
    <w:p>
      <w:pPr>
        <w:spacing w:before="40" w:after="80" w:line="276" w:lineRule="auto"/>
      </w:pPr>
      <w:r>
        <w:rPr>
          <w:color w:val="334155"/>
          <w:sz w:val="19"/>
        </w:rPr>
        <w:t>F.</w:t>
        <w:tab/>
        <w:t xml:space="preserve"> Heavy vehicle and freight movements must</w:t>
      </w:r>
    </w:p>
    <w:p>
      <w:pPr>
        <w:spacing w:before="40" w:after="80" w:line="276" w:lineRule="auto"/>
      </w:pPr>
      <w:r>
        <w:rPr>
          <w:color w:val="334155"/>
          <w:sz w:val="19"/>
        </w:rPr>
        <w:t>avoid residential streets unless no feasible</w:t>
      </w:r>
    </w:p>
    <w:p>
      <w:pPr>
        <w:spacing w:before="40" w:after="80" w:line="276" w:lineRule="auto"/>
      </w:pPr>
      <w:r>
        <w:rPr>
          <w:color w:val="334155"/>
          <w:sz w:val="19"/>
        </w:rPr>
        <w:t>alternative exists and acceptable mitigation is</w:t>
      </w:r>
    </w:p>
    <w:p>
      <w:pPr>
        <w:spacing w:before="40" w:after="80" w:line="276" w:lineRule="auto"/>
      </w:pPr>
      <w:r>
        <w:rPr>
          <w:color w:val="334155"/>
          <w:sz w:val="19"/>
        </w:rPr>
        <w:t>demonstrated.</w:t>
      </w:r>
    </w:p>
    <w:p>
      <w:pPr>
        <w:spacing w:before="40" w:after="80" w:line="276" w:lineRule="auto"/>
      </w:pPr>
      <w:r>
        <w:rPr>
          <w:color w:val="334155"/>
          <w:sz w:val="19"/>
        </w:rPr>
        <w:t>G. Former haul routes and access tracks should</w:t>
      </w:r>
    </w:p>
    <w:p>
      <w:pPr>
        <w:spacing w:before="40" w:after="80" w:line="276" w:lineRule="auto"/>
      </w:pPr>
      <w:r>
        <w:rPr>
          <w:color w:val="334155"/>
          <w:sz w:val="19"/>
        </w:rPr>
        <w:t>be prioritised for long-term heavy vehicle</w:t>
      </w:r>
    </w:p>
    <w:p>
      <w:pPr>
        <w:spacing w:before="40" w:after="80" w:line="276" w:lineRule="auto"/>
      </w:pPr>
      <w:r>
        <w:rPr>
          <w:color w:val="334155"/>
          <w:sz w:val="19"/>
        </w:rPr>
        <w:t>movements within and through the Precinct.</w:t>
      </w:r>
    </w:p>
    <w:p>
      <w:pPr>
        <w:spacing w:before="40" w:after="80" w:line="276" w:lineRule="auto"/>
      </w:pPr>
      <w:r>
        <w:rPr>
          <w:color w:val="334155"/>
          <w:sz w:val="19"/>
        </w:rPr>
        <w:t>H. A freight management plan must be prepared</w:t>
      </w:r>
    </w:p>
    <w:p>
      <w:pPr>
        <w:spacing w:before="40" w:after="80" w:line="276" w:lineRule="auto"/>
      </w:pPr>
      <w:r>
        <w:rPr>
          <w:color w:val="334155"/>
          <w:sz w:val="19"/>
        </w:rPr>
        <w:t>for freight-generating development and must</w:t>
      </w:r>
    </w:p>
    <w:p>
      <w:pPr>
        <w:spacing w:before="40" w:after="80" w:line="276" w:lineRule="auto"/>
      </w:pPr>
      <w:r>
        <w:rPr>
          <w:color w:val="334155"/>
          <w:sz w:val="19"/>
        </w:rPr>
        <w:t>address internal freight circulation, last-mile</w:t>
      </w:r>
    </w:p>
    <w:p>
      <w:pPr>
        <w:spacing w:before="40" w:after="80" w:line="276" w:lineRule="auto"/>
      </w:pPr>
      <w:r>
        <w:rPr>
          <w:color w:val="334155"/>
          <w:sz w:val="19"/>
        </w:rPr>
        <w:t>movements and community impact mitigation.</w:t>
      </w:r>
    </w:p>
    <w:p>
      <w:pPr>
        <w:spacing w:before="40" w:after="80" w:line="276" w:lineRule="auto"/>
      </w:pPr>
      <w:r>
        <w:rPr>
          <w:color w:val="334155"/>
          <w:sz w:val="19"/>
        </w:rPr>
        <w:t>I.</w:t>
      </w:r>
    </w:p>
    <w:p>
      <w:pPr>
        <w:spacing w:before="40" w:after="80" w:line="276" w:lineRule="auto"/>
      </w:pPr>
      <w:r>
        <w:rPr>
          <w:color w:val="334155"/>
          <w:sz w:val="19"/>
        </w:rPr>
        <w:t>Roads, intersections and bus facilities must be</w:t>
      </w:r>
    </w:p>
    <w:p>
      <w:pPr>
        <w:spacing w:before="40" w:after="80" w:line="276" w:lineRule="auto"/>
      </w:pPr>
      <w:r>
        <w:rPr>
          <w:color w:val="334155"/>
          <w:sz w:val="19"/>
        </w:rPr>
        <w:t>designed to provide safe pedestrian access and</w:t>
      </w:r>
    </w:p>
    <w:p>
      <w:pPr>
        <w:spacing w:before="40" w:after="80" w:line="276" w:lineRule="auto"/>
      </w:pPr>
      <w:r>
        <w:rPr>
          <w:color w:val="334155"/>
          <w:sz w:val="19"/>
        </w:rPr>
        <w:t>support public transport integration.</w:t>
      </w:r>
    </w:p>
    <w:p>
      <w:pPr>
        <w:spacing w:before="40" w:after="80" w:line="276" w:lineRule="auto"/>
      </w:pPr>
      <w:r>
        <w:rPr>
          <w:color w:val="334155"/>
          <w:sz w:val="19"/>
        </w:rPr>
        <w:t>J.</w:t>
      </w:r>
    </w:p>
    <w:p>
      <w:pPr>
        <w:spacing w:before="40" w:after="80" w:line="276" w:lineRule="auto"/>
      </w:pPr>
      <w:r>
        <w:rPr>
          <w:color w:val="334155"/>
          <w:sz w:val="19"/>
        </w:rPr>
        <w:t>Internal roads are to be located on developable</w:t>
      </w:r>
    </w:p>
    <w:p>
      <w:pPr>
        <w:spacing w:before="40" w:after="80" w:line="276" w:lineRule="auto"/>
      </w:pPr>
      <w:r>
        <w:rPr>
          <w:color w:val="334155"/>
          <w:sz w:val="19"/>
        </w:rPr>
        <w:t>land and, where practical, within existing</w:t>
      </w:r>
    </w:p>
    <w:p>
      <w:pPr>
        <w:spacing w:before="40" w:after="80" w:line="276" w:lineRule="auto"/>
      </w:pPr>
      <w:r>
        <w:rPr>
          <w:color w:val="334155"/>
          <w:sz w:val="19"/>
        </w:rPr>
        <w:t>7</w:t>
        <w:tab/>
        <w:t xml:space="preserve"> Transport and</w:t>
      </w:r>
    </w:p>
    <w:p>
      <w:pPr>
        <w:spacing w:before="40" w:after="80" w:line="276" w:lineRule="auto"/>
      </w:pPr>
      <w:r>
        <w:rPr>
          <w:color w:val="334155"/>
          <w:sz w:val="19"/>
        </w:rPr>
        <w:t>connectivity</w:t>
      </w:r>
    </w:p>
    <w:p>
      <w:pPr>
        <w:spacing w:before="40" w:after="80" w:line="276" w:lineRule="auto"/>
      </w:pPr>
      <w:r>
        <w:rPr>
          <w:color w:val="334155"/>
          <w:sz w:val="19"/>
        </w:rPr>
        <w:t>42</w:t>
      </w:r>
    </w:p>
    <w:p>
      <w:pPr>
        <w:pStyle w:val="Heading3"/>
        <w:keepNext/>
        <w:spacing w:before="160" w:after="40"/>
      </w:pPr>
      <w:r>
        <w:rPr>
          <w:b/>
          <w:color w:val="334155"/>
        </w:rPr>
        <w:t>Page 43</w:t>
      </w:r>
    </w:p>
    <w:p>
      <w:pPr>
        <w:spacing w:before="40" w:after="80" w:line="276" w:lineRule="auto"/>
      </w:pPr>
      <w:r>
        <w:rPr>
          <w:color w:val="334155"/>
          <w:sz w:val="19"/>
        </w:rPr>
        <w:t>disturbed corridors, unless an alternative</w:t>
      </w:r>
    </w:p>
    <w:p>
      <w:pPr>
        <w:spacing w:before="40" w:after="80" w:line="276" w:lineRule="auto"/>
      </w:pPr>
      <w:r>
        <w:rPr>
          <w:color w:val="334155"/>
          <w:sz w:val="19"/>
        </w:rPr>
        <w:t>alignment is required for safety or resilience</w:t>
      </w:r>
    </w:p>
    <w:p>
      <w:pPr>
        <w:spacing w:before="40" w:after="80" w:line="276" w:lineRule="auto"/>
      </w:pPr>
      <w:r>
        <w:rPr>
          <w:color w:val="334155"/>
          <w:sz w:val="19"/>
        </w:rPr>
        <w:t>reasons.</w:t>
      </w:r>
    </w:p>
    <w:p>
      <w:pPr>
        <w:spacing w:before="40" w:after="80" w:line="276" w:lineRule="auto"/>
      </w:pPr>
      <w:r>
        <w:rPr>
          <w:color w:val="334155"/>
          <w:sz w:val="19"/>
        </w:rPr>
        <w:t>K. Local road connections through the dam</w:t>
      </w:r>
    </w:p>
    <w:p>
      <w:pPr>
        <w:spacing w:before="40" w:after="80" w:line="276" w:lineRule="auto"/>
      </w:pPr>
      <w:r>
        <w:rPr>
          <w:color w:val="334155"/>
          <w:sz w:val="19"/>
        </w:rPr>
        <w:t>break inundation zone must remain contingent</w:t>
      </w:r>
    </w:p>
    <w:p>
      <w:pPr>
        <w:spacing w:before="40" w:after="80" w:line="276" w:lineRule="auto"/>
      </w:pPr>
      <w:r>
        <w:rPr>
          <w:color w:val="334155"/>
          <w:sz w:val="19"/>
        </w:rPr>
        <w:t>and must not be relied upon for development</w:t>
      </w:r>
    </w:p>
    <w:p>
      <w:pPr>
        <w:spacing w:before="40" w:after="80" w:line="276" w:lineRule="auto"/>
      </w:pPr>
      <w:r>
        <w:rPr>
          <w:color w:val="334155"/>
          <w:sz w:val="19"/>
        </w:rPr>
        <w:t>until the relevant dam safety and suitability</w:t>
      </w:r>
    </w:p>
    <w:p>
      <w:pPr>
        <w:spacing w:before="40" w:after="80" w:line="276" w:lineRule="auto"/>
      </w:pPr>
      <w:r>
        <w:rPr>
          <w:color w:val="334155"/>
          <w:sz w:val="19"/>
        </w:rPr>
        <w:t>requirements have been satisfied.</w:t>
      </w:r>
    </w:p>
    <w:p>
      <w:pPr>
        <w:spacing w:before="40" w:after="80" w:line="276" w:lineRule="auto"/>
      </w:pPr>
      <w:r>
        <w:rPr>
          <w:color w:val="334155"/>
          <w:sz w:val="19"/>
        </w:rPr>
        <w:t>Figure 30: Potential transport network (short-term)</w:t>
      </w:r>
    </w:p>
    <w:p>
      <w:pPr>
        <w:spacing w:before="40" w:after="80" w:line="276" w:lineRule="auto"/>
      </w:pPr>
      <w:r>
        <w:rPr>
          <w:color w:val="334155"/>
          <w:sz w:val="19"/>
        </w:rPr>
        <w:t>L. The Precinct’s road network, intersections, road</w:t>
      </w:r>
    </w:p>
    <w:p>
      <w:pPr>
        <w:spacing w:before="40" w:after="80" w:line="276" w:lineRule="auto"/>
      </w:pPr>
      <w:r>
        <w:rPr>
          <w:color w:val="334155"/>
          <w:sz w:val="19"/>
        </w:rPr>
        <w:t>reserves must be designed to support efficient</w:t>
      </w:r>
    </w:p>
    <w:p>
      <w:pPr>
        <w:spacing w:before="40" w:after="80" w:line="276" w:lineRule="auto"/>
      </w:pPr>
      <w:r>
        <w:rPr>
          <w:color w:val="334155"/>
          <w:sz w:val="19"/>
        </w:rPr>
        <w:t>and reliable public transport operations.</w:t>
      </w:r>
    </w:p>
    <w:p>
      <w:pPr>
        <w:spacing w:before="40" w:after="80" w:line="276" w:lineRule="auto"/>
      </w:pPr>
      <w:r>
        <w:rPr>
          <w:color w:val="334155"/>
          <w:sz w:val="19"/>
        </w:rPr>
        <w:t>M. Parking must be provided in accordance with</w:t>
      </w:r>
    </w:p>
    <w:p>
      <w:pPr>
        <w:spacing w:before="40" w:after="80" w:line="276" w:lineRule="auto"/>
      </w:pPr>
      <w:r>
        <w:rPr>
          <w:color w:val="334155"/>
          <w:sz w:val="19"/>
        </w:rPr>
        <w:t>an approved parking study and applicable</w:t>
      </w:r>
    </w:p>
    <w:p>
      <w:pPr>
        <w:spacing w:before="40" w:after="80" w:line="276" w:lineRule="auto"/>
      </w:pPr>
      <w:r>
        <w:rPr>
          <w:color w:val="334155"/>
          <w:sz w:val="19"/>
        </w:rPr>
        <w:t>guidelines.</w:t>
      </w:r>
    </w:p>
    <w:p>
      <w:pPr>
        <w:spacing w:before="40" w:after="80" w:line="276" w:lineRule="auto"/>
      </w:pPr>
      <w:r>
        <w:rPr>
          <w:color w:val="334155"/>
          <w:sz w:val="19"/>
        </w:rPr>
        <w:t>43</w:t>
      </w:r>
    </w:p>
    <w:p>
      <w:pPr>
        <w:spacing w:before="40" w:after="80" w:line="276" w:lineRule="auto"/>
      </w:pPr>
      <w:r>
        <w:rPr>
          <w:color w:val="334155"/>
          <w:sz w:val="19"/>
        </w:rPr>
        <w:t>7  Transport and connectivity</w:t>
      </w:r>
    </w:p>
    <w:p>
      <w:pPr>
        <w:pStyle w:val="Heading3"/>
        <w:keepNext/>
        <w:spacing w:before="160" w:after="40"/>
      </w:pPr>
      <w:r>
        <w:rPr>
          <w:b/>
          <w:color w:val="334155"/>
        </w:rPr>
        <w:t>Page 44</w:t>
      </w:r>
    </w:p>
    <w:p>
      <w:pPr>
        <w:spacing w:before="40" w:after="80" w:line="276" w:lineRule="auto"/>
      </w:pPr>
      <w:r>
        <w:rPr>
          <w:color w:val="334155"/>
          <w:sz w:val="19"/>
        </w:rPr>
        <w:t>Figure 31: Potential transport network (long-term)</w:t>
      </w:r>
    </w:p>
    <w:p>
      <w:pPr>
        <w:spacing w:before="40" w:after="80" w:line="276" w:lineRule="auto"/>
      </w:pPr>
      <w:r>
        <w:rPr>
          <w:color w:val="334155"/>
          <w:sz w:val="19"/>
        </w:rPr>
        <w:t>44</w:t>
      </w:r>
    </w:p>
    <w:p>
      <w:pPr>
        <w:spacing w:before="40" w:after="80" w:line="276" w:lineRule="auto"/>
      </w:pPr>
      <w:r>
        <w:rPr>
          <w:color w:val="334155"/>
          <w:sz w:val="19"/>
        </w:rPr>
        <w:t>7  Transport and connectivity</w:t>
      </w:r>
    </w:p>
    <w:p>
      <w:pPr>
        <w:pStyle w:val="Heading3"/>
        <w:keepNext/>
        <w:spacing w:before="160" w:after="40"/>
      </w:pPr>
      <w:r>
        <w:rPr>
          <w:b/>
          <w:color w:val="334155"/>
        </w:rPr>
        <w:t>Page 45</w:t>
      </w:r>
    </w:p>
    <w:p>
      <w:pPr>
        <w:spacing w:before="40" w:after="80" w:line="276" w:lineRule="auto"/>
      </w:pPr>
      <w:r>
        <w:rPr>
          <w:color w:val="334155"/>
          <w:sz w:val="19"/>
        </w:rPr>
        <w:t>Figure 32: Future heavy vehicle network (short-term)</w:t>
      </w:r>
    </w:p>
    <w:p>
      <w:pPr>
        <w:spacing w:before="40" w:after="80" w:line="276" w:lineRule="auto"/>
      </w:pPr>
      <w:r>
        <w:rPr>
          <w:color w:val="334155"/>
          <w:sz w:val="19"/>
        </w:rPr>
        <w:t>45</w:t>
      </w:r>
    </w:p>
    <w:p>
      <w:pPr>
        <w:spacing w:before="40" w:after="80" w:line="276" w:lineRule="auto"/>
      </w:pPr>
      <w:r>
        <w:rPr>
          <w:color w:val="334155"/>
          <w:sz w:val="19"/>
        </w:rPr>
        <w:t>7  Transport and connectivity</w:t>
      </w:r>
    </w:p>
    <w:p>
      <w:pPr>
        <w:pStyle w:val="Heading2"/>
        <w:keepNext/>
        <w:spacing w:before="240" w:after="80"/>
      </w:pPr>
      <w:r>
        <w:rPr>
          <w:b/>
          <w:color w:val="0284C7"/>
        </w:rPr>
        <w:t>Page 11</w:t>
      </w:r>
    </w:p>
    <w:p>
      <w:pPr>
        <w:spacing w:before="40" w:after="80" w:line="276" w:lineRule="auto"/>
      </w:pPr>
      <w:r>
        <w:rPr>
          <w:color w:val="334155"/>
          <w:sz w:val="19"/>
        </w:rPr>
        <w:t>Precinct constraints</w:t>
      </w:r>
    </w:p>
    <w:p>
      <w:pPr>
        <w:spacing w:before="40" w:after="80" w:line="276" w:lineRule="auto"/>
      </w:pPr>
      <w:r>
        <w:rPr>
          <w:color w:val="334155"/>
          <w:sz w:val="19"/>
        </w:rPr>
        <w:t>The Precinct presents a range of environmental, physical and infrastructure</w:t>
      </w:r>
    </w:p>
    <w:p>
      <w:pPr>
        <w:spacing w:before="40" w:after="80" w:line="276" w:lineRule="auto"/>
      </w:pPr>
      <w:r>
        <w:rPr>
          <w:color w:val="334155"/>
          <w:sz w:val="19"/>
        </w:rPr>
        <w:t>constraints that are managed through the structure plan and addressed</w:t>
      </w:r>
    </w:p>
    <w:p>
      <w:pPr>
        <w:spacing w:before="40" w:after="80" w:line="276" w:lineRule="auto"/>
      </w:pPr>
      <w:r>
        <w:rPr>
          <w:color w:val="334155"/>
          <w:sz w:val="19"/>
        </w:rPr>
        <w:t>progressively through staged development and site-specific assessment at the</w:t>
      </w:r>
    </w:p>
    <w:p>
      <w:pPr>
        <w:spacing w:before="40" w:after="80" w:line="276" w:lineRule="auto"/>
      </w:pPr>
      <w:r>
        <w:rPr>
          <w:color w:val="334155"/>
          <w:sz w:val="19"/>
        </w:rPr>
        <w:t>development application stage.</w:t>
      </w:r>
    </w:p>
    <w:p>
      <w:pPr>
        <w:spacing w:before="40" w:after="80" w:line="276" w:lineRule="auto"/>
      </w:pPr>
      <w:r>
        <w:rPr>
          <w:color w:val="334155"/>
          <w:sz w:val="19"/>
        </w:rPr>
        <w:t>Geotechnical stability and risk management – Development on the TSF and the</w:t>
      </w:r>
    </w:p>
    <w:p>
      <w:pPr>
        <w:spacing w:before="40" w:after="80" w:line="276" w:lineRule="auto"/>
      </w:pPr>
      <w:r>
        <w:rPr>
          <w:color w:val="334155"/>
          <w:sz w:val="19"/>
        </w:rPr>
        <w:t>land located in the dam break inundation zone to the north is currently limited.</w:t>
      </w:r>
    </w:p>
    <w:p>
      <w:pPr>
        <w:spacing w:before="40" w:after="80" w:line="276" w:lineRule="auto"/>
      </w:pPr>
      <w:r>
        <w:rPr>
          <w:color w:val="334155"/>
          <w:sz w:val="19"/>
        </w:rPr>
        <w:t>Soft alluvial soils located around the coastal wetlands in the north of the site</w:t>
      </w:r>
    </w:p>
    <w:p>
      <w:pPr>
        <w:spacing w:before="40" w:after="80" w:line="276" w:lineRule="auto"/>
      </w:pPr>
      <w:r>
        <w:rPr>
          <w:color w:val="334155"/>
          <w:sz w:val="19"/>
        </w:rPr>
        <w:t>influence construction methods.</w:t>
      </w:r>
    </w:p>
    <w:p>
      <w:pPr>
        <w:spacing w:before="40" w:after="80" w:line="276" w:lineRule="auto"/>
      </w:pPr>
      <w:r>
        <w:rPr>
          <w:color w:val="334155"/>
          <w:sz w:val="19"/>
        </w:rPr>
        <w:t>Environmental – Existing areas of high biodiversity values, high bush fire risk</w:t>
      </w:r>
    </w:p>
    <w:p>
      <w:pPr>
        <w:spacing w:before="40" w:after="80" w:line="276" w:lineRule="auto"/>
      </w:pPr>
      <w:r>
        <w:rPr>
          <w:color w:val="334155"/>
          <w:sz w:val="19"/>
        </w:rPr>
        <w:t>and flood affected areas require further investigation to inform development</w:t>
      </w:r>
    </w:p>
    <w:p>
      <w:pPr>
        <w:spacing w:before="40" w:after="80" w:line="276" w:lineRule="auto"/>
      </w:pPr>
      <w:r>
        <w:rPr>
          <w:color w:val="334155"/>
          <w:sz w:val="19"/>
        </w:rPr>
        <w:t>siting and design.</w:t>
      </w:r>
    </w:p>
    <w:p>
      <w:pPr>
        <w:spacing w:before="40" w:after="80" w:line="276" w:lineRule="auto"/>
      </w:pPr>
      <w:r>
        <w:rPr>
          <w:color w:val="334155"/>
          <w:sz w:val="19"/>
        </w:rPr>
        <w:t>Sensitive uses – Interfaces between existing land uses, including residential</w:t>
      </w:r>
    </w:p>
    <w:p>
      <w:pPr>
        <w:spacing w:before="40" w:after="80" w:line="276" w:lineRule="auto"/>
      </w:pPr>
      <w:r>
        <w:rPr>
          <w:color w:val="334155"/>
          <w:sz w:val="19"/>
        </w:rPr>
        <w:t>receivers and potential future industrial land uses will need to be managed to</w:t>
      </w:r>
    </w:p>
    <w:p>
      <w:pPr>
        <w:spacing w:before="40" w:after="80" w:line="276" w:lineRule="auto"/>
      </w:pPr>
      <w:r>
        <w:rPr>
          <w:color w:val="334155"/>
          <w:sz w:val="19"/>
        </w:rPr>
        <w:t>mitigate negative noise, odour and visual impacts.</w:t>
      </w:r>
    </w:p>
    <w:p>
      <w:pPr>
        <w:spacing w:before="40" w:after="80" w:line="276" w:lineRule="auto"/>
      </w:pPr>
      <w:r>
        <w:rPr>
          <w:color w:val="334155"/>
          <w:sz w:val="19"/>
        </w:rPr>
        <w:t>Infrastructure – Heavy vehicle access to parts of the site is currently limited</w:t>
      </w:r>
    </w:p>
    <w:p>
      <w:pPr>
        <w:spacing w:before="40" w:after="80" w:line="276" w:lineRule="auto"/>
      </w:pPr>
      <w:r>
        <w:rPr>
          <w:color w:val="334155"/>
          <w:sz w:val="19"/>
        </w:rPr>
        <w:t>due to steep gradients, access through local residential areas and existing rail</w:t>
      </w:r>
    </w:p>
    <w:p>
      <w:pPr>
        <w:spacing w:before="40" w:after="80" w:line="276" w:lineRule="auto"/>
      </w:pPr>
      <w:r>
        <w:rPr>
          <w:color w:val="334155"/>
          <w:sz w:val="19"/>
        </w:rPr>
        <w:t>crossings. The location of the existing oil pipeline, electrical transmission lines</w:t>
      </w:r>
    </w:p>
    <w:p>
      <w:pPr>
        <w:spacing w:before="40" w:after="80" w:line="276" w:lineRule="auto"/>
      </w:pPr>
      <w:r>
        <w:rPr>
          <w:color w:val="334155"/>
          <w:sz w:val="19"/>
        </w:rPr>
        <w:t>and their associated easements, setbacks and design measures will need to be</w:t>
      </w:r>
    </w:p>
    <w:p>
      <w:pPr>
        <w:spacing w:before="40" w:after="80" w:line="276" w:lineRule="auto"/>
      </w:pPr>
      <w:r>
        <w:rPr>
          <w:color w:val="334155"/>
          <w:sz w:val="19"/>
        </w:rPr>
        <w:t>considered.</w:t>
      </w:r>
    </w:p>
    <w:p>
      <w:pPr>
        <w:spacing w:before="40" w:after="80" w:line="276" w:lineRule="auto"/>
      </w:pPr>
      <w:r>
        <w:rPr>
          <w:color w:val="334155"/>
          <w:sz w:val="19"/>
        </w:rPr>
        <w:t>Utility infrastructure – Viability and sequencing of the provision of utilities,</w:t>
      </w:r>
    </w:p>
    <w:p>
      <w:pPr>
        <w:spacing w:before="40" w:after="80" w:line="276" w:lineRule="auto"/>
      </w:pPr>
      <w:r>
        <w:rPr>
          <w:color w:val="334155"/>
          <w:sz w:val="19"/>
        </w:rPr>
        <w:t>particularly to the West Lake sub-precinct, will need further investigation.</w:t>
      </w:r>
    </w:p>
    <w:p>
      <w:pPr>
        <w:spacing w:before="40" w:after="80" w:line="276" w:lineRule="auto"/>
      </w:pPr>
      <w:r>
        <w:rPr>
          <w:color w:val="334155"/>
          <w:sz w:val="19"/>
        </w:rPr>
        <w:t>11</w:t>
      </w:r>
    </w:p>
    <w:p>
      <w:pPr>
        <w:spacing w:before="40" w:after="80" w:line="276" w:lineRule="auto"/>
      </w:pPr>
      <w:r>
        <w:rPr>
          <w:color w:val="334155"/>
          <w:sz w:val="19"/>
        </w:rPr>
        <w:t>2  Strategic context</w:t>
      </w:r>
    </w:p>
    <w:p>
      <w:pPr>
        <w:spacing w:before="40" w:after="80" w:line="276" w:lineRule="auto"/>
      </w:pPr>
      <w:r>
        <w:rPr>
          <w:color w:val="334155"/>
          <w:sz w:val="19"/>
        </w:rPr>
        <w:t>-</w:t>
      </w:r>
    </w:p>
    <w:p>
      <w:pPr>
        <w:pStyle w:val="Heading2"/>
        <w:keepNext/>
        <w:spacing w:before="240" w:after="80"/>
      </w:pPr>
      <w:r>
        <w:rPr>
          <w:b/>
          <w:color w:val="0284C7"/>
        </w:rPr>
        <w:t>Page 12</w:t>
      </w:r>
    </w:p>
    <w:p>
      <w:pPr>
        <w:spacing w:before="40" w:after="80" w:line="276" w:lineRule="auto"/>
      </w:pPr>
      <w:r>
        <w:rPr>
          <w:color w:val="334155"/>
          <w:sz w:val="19"/>
        </w:rPr>
        <w:t>Precinct vision</w:t>
      </w:r>
    </w:p>
    <w:p>
      <w:pPr>
        <w:spacing w:before="40" w:after="80" w:line="276" w:lineRule="auto"/>
      </w:pPr>
      <w:r>
        <w:rPr>
          <w:color w:val="334155"/>
          <w:sz w:val="19"/>
        </w:rPr>
        <w:t>3</w:t>
        <w:tab/>
        <w:t xml:space="preserve"> Macquarie Coal</w:t>
      </w:r>
    </w:p>
    <w:p>
      <w:pPr>
        <w:spacing w:before="40" w:after="80" w:line="276" w:lineRule="auto"/>
      </w:pPr>
      <w:r>
        <w:rPr>
          <w:color w:val="334155"/>
          <w:sz w:val="19"/>
        </w:rPr>
        <w:t>Complex Precinct</w:t>
      </w:r>
    </w:p>
    <w:p>
      <w:pPr>
        <w:spacing w:before="40" w:after="80" w:line="276" w:lineRule="auto"/>
      </w:pPr>
      <w:r>
        <w:rPr>
          <w:color w:val="334155"/>
          <w:sz w:val="19"/>
        </w:rPr>
        <w:t>Figure 6: Vision: A new generational-scale employment precinct for the Hunter</w:t>
      </w:r>
    </w:p>
    <w:p>
      <w:pPr>
        <w:spacing w:before="40" w:after="80" w:line="276" w:lineRule="auto"/>
      </w:pPr>
      <w:r>
        <w:rPr>
          <w:color w:val="334155"/>
          <w:sz w:val="19"/>
        </w:rPr>
        <w:t>12</w:t>
      </w:r>
    </w:p>
    <w:p>
      <w:pPr>
        <w:pStyle w:val="Heading2"/>
        <w:keepNext/>
        <w:spacing w:before="240" w:after="80"/>
      </w:pPr>
      <w:r>
        <w:rPr>
          <w:b/>
          <w:color w:val="0284C7"/>
        </w:rPr>
        <w:t>Page 13</w:t>
      </w:r>
    </w:p>
    <w:p>
      <w:pPr>
        <w:spacing w:before="40" w:after="80" w:line="276" w:lineRule="auto"/>
      </w:pPr>
      <w:r>
        <w:rPr>
          <w:color w:val="334155"/>
          <w:sz w:val="19"/>
        </w:rPr>
        <w:t>Economic diversification and employment</w:t>
      </w:r>
    </w:p>
    <w:p>
      <w:pPr>
        <w:spacing w:before="40" w:after="80" w:line="276" w:lineRule="auto"/>
      </w:pPr>
      <w:r>
        <w:rPr>
          <w:color w:val="334155"/>
          <w:sz w:val="19"/>
        </w:rPr>
        <w:t>•</w:t>
      </w:r>
    </w:p>
    <w:p>
      <w:pPr>
        <w:spacing w:before="40" w:after="80" w:line="276" w:lineRule="auto"/>
      </w:pPr>
      <w:r>
        <w:rPr>
          <w:color w:val="334155"/>
          <w:sz w:val="19"/>
        </w:rPr>
        <w:t>A generational-scale opportunity to transform</w:t>
      </w:r>
    </w:p>
    <w:p>
      <w:pPr>
        <w:spacing w:before="40" w:after="80" w:line="276" w:lineRule="auto"/>
      </w:pPr>
      <w:r>
        <w:rPr>
          <w:color w:val="334155"/>
          <w:sz w:val="19"/>
        </w:rPr>
        <w:t>former mining land into the Lower Hunter’s</w:t>
      </w:r>
    </w:p>
    <w:p>
      <w:pPr>
        <w:spacing w:before="40" w:after="80" w:line="276" w:lineRule="auto"/>
      </w:pPr>
      <w:r>
        <w:rPr>
          <w:color w:val="334155"/>
          <w:sz w:val="19"/>
        </w:rPr>
        <w:t>premier employment precinct, delivering diverse</w:t>
      </w:r>
    </w:p>
    <w:p>
      <w:pPr>
        <w:spacing w:before="40" w:after="80" w:line="276" w:lineRule="auto"/>
      </w:pPr>
      <w:r>
        <w:rPr>
          <w:color w:val="334155"/>
          <w:sz w:val="19"/>
        </w:rPr>
        <w:t>jobs and well-located employment land at a</w:t>
      </w:r>
    </w:p>
    <w:p>
      <w:pPr>
        <w:spacing w:before="40" w:after="80" w:line="276" w:lineRule="auto"/>
      </w:pPr>
      <w:r>
        <w:rPr>
          <w:color w:val="334155"/>
          <w:sz w:val="19"/>
        </w:rPr>
        <w:t>regionally significant scale.</w:t>
      </w:r>
    </w:p>
    <w:p>
      <w:pPr>
        <w:spacing w:before="40" w:after="80" w:line="276" w:lineRule="auto"/>
      </w:pPr>
      <w:r>
        <w:rPr>
          <w:color w:val="334155"/>
          <w:sz w:val="19"/>
        </w:rPr>
        <w:t>•</w:t>
      </w:r>
    </w:p>
    <w:p>
      <w:pPr>
        <w:spacing w:before="40" w:after="80" w:line="276" w:lineRule="auto"/>
      </w:pPr>
      <w:r>
        <w:rPr>
          <w:color w:val="334155"/>
          <w:sz w:val="19"/>
        </w:rPr>
        <w:t>Enable a diversity of employment-generating</w:t>
      </w:r>
    </w:p>
    <w:p>
      <w:pPr>
        <w:spacing w:before="40" w:after="80" w:line="276" w:lineRule="auto"/>
      </w:pPr>
      <w:r>
        <w:rPr>
          <w:color w:val="334155"/>
          <w:sz w:val="19"/>
        </w:rPr>
        <w:t>land uses that support regional economic</w:t>
      </w:r>
    </w:p>
    <w:p>
      <w:pPr>
        <w:spacing w:before="40" w:after="80" w:line="276" w:lineRule="auto"/>
      </w:pPr>
      <w:r>
        <w:rPr>
          <w:color w:val="334155"/>
          <w:sz w:val="19"/>
        </w:rPr>
        <w:t>diversification, attract investment and create</w:t>
      </w:r>
    </w:p>
    <w:p>
      <w:pPr>
        <w:spacing w:before="40" w:after="80" w:line="276" w:lineRule="auto"/>
      </w:pPr>
      <w:r>
        <w:rPr>
          <w:color w:val="334155"/>
          <w:sz w:val="19"/>
        </w:rPr>
        <w:t>local jobs.</w:t>
      </w:r>
    </w:p>
    <w:p>
      <w:pPr>
        <w:spacing w:before="40" w:after="80" w:line="276" w:lineRule="auto"/>
      </w:pPr>
      <w:r>
        <w:rPr>
          <w:color w:val="334155"/>
          <w:sz w:val="19"/>
        </w:rPr>
        <w:t>•</w:t>
      </w:r>
    </w:p>
    <w:p>
      <w:pPr>
        <w:spacing w:before="40" w:after="80" w:line="276" w:lineRule="auto"/>
      </w:pPr>
      <w:r>
        <w:rPr>
          <w:color w:val="334155"/>
          <w:sz w:val="19"/>
        </w:rPr>
        <w:t>A master planned, single-ownership Precinct</w:t>
      </w:r>
    </w:p>
    <w:p>
      <w:pPr>
        <w:spacing w:before="40" w:after="80" w:line="276" w:lineRule="auto"/>
      </w:pPr>
      <w:r>
        <w:rPr>
          <w:color w:val="334155"/>
          <w:sz w:val="19"/>
        </w:rPr>
        <w:t>that attracts investment through flexible lot</w:t>
      </w:r>
    </w:p>
    <w:p>
      <w:pPr>
        <w:spacing w:before="40" w:after="80" w:line="276" w:lineRule="auto"/>
      </w:pPr>
      <w:r>
        <w:rPr>
          <w:color w:val="334155"/>
          <w:sz w:val="19"/>
        </w:rPr>
        <w:t>configurations, co-location of complementary</w:t>
      </w:r>
    </w:p>
    <w:p>
      <w:pPr>
        <w:spacing w:before="40" w:after="80" w:line="276" w:lineRule="auto"/>
      </w:pPr>
      <w:r>
        <w:rPr>
          <w:color w:val="334155"/>
          <w:sz w:val="19"/>
        </w:rPr>
        <w:t>industries and accommodation of large-footprint</w:t>
      </w:r>
    </w:p>
    <w:p>
      <w:pPr>
        <w:spacing w:before="40" w:after="80" w:line="276" w:lineRule="auto"/>
      </w:pPr>
      <w:r>
        <w:rPr>
          <w:color w:val="334155"/>
          <w:sz w:val="19"/>
        </w:rPr>
        <w:t>uses.</w:t>
      </w:r>
    </w:p>
    <w:p>
      <w:pPr>
        <w:spacing w:before="40" w:after="80" w:line="276" w:lineRule="auto"/>
      </w:pPr>
      <w:r>
        <w:rPr>
          <w:color w:val="334155"/>
          <w:sz w:val="19"/>
        </w:rPr>
        <w:t>•</w:t>
      </w:r>
    </w:p>
    <w:p>
      <w:pPr>
        <w:spacing w:before="40" w:after="80" w:line="276" w:lineRule="auto"/>
      </w:pPr>
      <w:r>
        <w:rPr>
          <w:color w:val="334155"/>
          <w:sz w:val="19"/>
        </w:rPr>
        <w:t>A flexible, staged delivery framework that</w:t>
      </w:r>
    </w:p>
    <w:p>
      <w:pPr>
        <w:spacing w:before="40" w:after="80" w:line="276" w:lineRule="auto"/>
      </w:pPr>
      <w:r>
        <w:rPr>
          <w:color w:val="334155"/>
          <w:sz w:val="19"/>
        </w:rPr>
        <w:t>aligns with mine closure commitments,</w:t>
      </w:r>
    </w:p>
    <w:p>
      <w:pPr>
        <w:spacing w:before="40" w:after="80" w:line="276" w:lineRule="auto"/>
      </w:pPr>
      <w:r>
        <w:rPr>
          <w:color w:val="334155"/>
          <w:sz w:val="19"/>
        </w:rPr>
        <w:t>infrastructure capacity and changing economic,</w:t>
      </w:r>
    </w:p>
    <w:p>
      <w:pPr>
        <w:spacing w:before="40" w:after="80" w:line="276" w:lineRule="auto"/>
      </w:pPr>
      <w:r>
        <w:rPr>
          <w:color w:val="334155"/>
          <w:sz w:val="19"/>
        </w:rPr>
        <w:t>social and market conditions, for the orderly</w:t>
      </w:r>
    </w:p>
    <w:p>
      <w:pPr>
        <w:spacing w:before="40" w:after="80" w:line="276" w:lineRule="auto"/>
      </w:pPr>
      <w:r>
        <w:rPr>
          <w:color w:val="334155"/>
          <w:sz w:val="19"/>
        </w:rPr>
        <w:t>transformation from rehabilitation to productive</w:t>
      </w:r>
    </w:p>
    <w:p>
      <w:pPr>
        <w:spacing w:before="40" w:after="80" w:line="276" w:lineRule="auto"/>
      </w:pPr>
      <w:r>
        <w:rPr>
          <w:color w:val="334155"/>
          <w:sz w:val="19"/>
        </w:rPr>
        <w:t>post mining uses.</w:t>
      </w:r>
    </w:p>
    <w:p>
      <w:pPr>
        <w:spacing w:before="40" w:after="80" w:line="276" w:lineRule="auto"/>
      </w:pPr>
      <w:r>
        <w:rPr>
          <w:color w:val="334155"/>
          <w:sz w:val="19"/>
        </w:rPr>
        <w:t>Infrastructure and mobility</w:t>
      </w:r>
    </w:p>
    <w:p>
      <w:pPr>
        <w:spacing w:before="40" w:after="80" w:line="276" w:lineRule="auto"/>
      </w:pPr>
      <w:r>
        <w:rPr>
          <w:color w:val="334155"/>
          <w:sz w:val="19"/>
        </w:rPr>
        <w:t>•</w:t>
      </w:r>
    </w:p>
    <w:p>
      <w:pPr>
        <w:spacing w:before="40" w:after="80" w:line="276" w:lineRule="auto"/>
      </w:pPr>
      <w:r>
        <w:rPr>
          <w:color w:val="334155"/>
          <w:sz w:val="19"/>
        </w:rPr>
        <w:t>Leveraging existing transport connections to</w:t>
      </w:r>
    </w:p>
    <w:p>
      <w:pPr>
        <w:spacing w:before="40" w:after="80" w:line="276" w:lineRule="auto"/>
      </w:pPr>
      <w:r>
        <w:rPr>
          <w:color w:val="334155"/>
          <w:sz w:val="19"/>
        </w:rPr>
        <w:t>deliver an efficient, well-serviced employment</w:t>
      </w:r>
    </w:p>
    <w:p>
      <w:pPr>
        <w:spacing w:before="40" w:after="80" w:line="276" w:lineRule="auto"/>
      </w:pPr>
      <w:r>
        <w:rPr>
          <w:color w:val="334155"/>
          <w:sz w:val="19"/>
        </w:rPr>
        <w:t>precinct, with a legible internal road hierarchy</w:t>
      </w:r>
    </w:p>
    <w:p>
      <w:pPr>
        <w:spacing w:before="40" w:after="80" w:line="276" w:lineRule="auto"/>
      </w:pPr>
      <w:r>
        <w:rPr>
          <w:color w:val="334155"/>
          <w:sz w:val="19"/>
        </w:rPr>
        <w:t>that supports safe and equitable access for</w:t>
      </w:r>
    </w:p>
    <w:p>
      <w:pPr>
        <w:spacing w:before="40" w:after="80" w:line="276" w:lineRule="auto"/>
      </w:pPr>
      <w:r>
        <w:rPr>
          <w:color w:val="334155"/>
          <w:sz w:val="19"/>
        </w:rPr>
        <w:t>freight, workforce, public transport and active</w:t>
      </w:r>
    </w:p>
    <w:p>
      <w:pPr>
        <w:spacing w:before="40" w:after="80" w:line="276" w:lineRule="auto"/>
      </w:pPr>
      <w:r>
        <w:rPr>
          <w:color w:val="334155"/>
          <w:sz w:val="19"/>
        </w:rPr>
        <w:t>transport users.</w:t>
      </w:r>
    </w:p>
    <w:p>
      <w:pPr>
        <w:spacing w:before="40" w:after="80" w:line="276" w:lineRule="auto"/>
      </w:pPr>
      <w:r>
        <w:rPr>
          <w:color w:val="334155"/>
          <w:sz w:val="19"/>
        </w:rPr>
        <w:t>•</w:t>
      </w:r>
    </w:p>
    <w:p>
      <w:pPr>
        <w:spacing w:before="40" w:after="80" w:line="276" w:lineRule="auto"/>
      </w:pPr>
      <w:r>
        <w:rPr>
          <w:color w:val="334155"/>
          <w:sz w:val="19"/>
        </w:rPr>
        <w:t>Utilities and services that meet the current</w:t>
      </w:r>
    </w:p>
    <w:p>
      <w:pPr>
        <w:spacing w:before="40" w:after="80" w:line="276" w:lineRule="auto"/>
      </w:pPr>
      <w:r>
        <w:rPr>
          <w:color w:val="334155"/>
          <w:sz w:val="19"/>
        </w:rPr>
        <w:t>and future servicing needs of the Precinct,</w:t>
      </w:r>
    </w:p>
    <w:p>
      <w:pPr>
        <w:spacing w:before="40" w:after="80" w:line="276" w:lineRule="auto"/>
      </w:pPr>
      <w:r>
        <w:rPr>
          <w:color w:val="334155"/>
          <w:sz w:val="19"/>
        </w:rPr>
        <w:t>whilst minimising land impacts and maximising</w:t>
      </w:r>
    </w:p>
    <w:p>
      <w:pPr>
        <w:spacing w:before="40" w:after="80" w:line="276" w:lineRule="auto"/>
      </w:pPr>
      <w:r>
        <w:rPr>
          <w:color w:val="334155"/>
          <w:sz w:val="19"/>
        </w:rPr>
        <w:t>reliability, efficiency and sustainability.</w:t>
      </w:r>
    </w:p>
    <w:p>
      <w:pPr>
        <w:spacing w:before="40" w:after="80" w:line="276" w:lineRule="auto"/>
      </w:pPr>
      <w:r>
        <w:rPr>
          <w:color w:val="334155"/>
          <w:sz w:val="19"/>
        </w:rPr>
        <w:t>Guiding principles</w:t>
      </w:r>
    </w:p>
    <w:p>
      <w:pPr>
        <w:spacing w:before="40" w:after="80" w:line="276" w:lineRule="auto"/>
      </w:pPr>
      <w:r>
        <w:rPr>
          <w:color w:val="334155"/>
          <w:sz w:val="19"/>
        </w:rPr>
        <w:t>The guiding principles establish the Precinct-wide directions for land use, infrastructure, environmental</w:t>
      </w:r>
    </w:p>
    <w:p>
      <w:pPr>
        <w:spacing w:before="40" w:after="80" w:line="276" w:lineRule="auto"/>
      </w:pPr>
      <w:r>
        <w:rPr>
          <w:color w:val="334155"/>
          <w:sz w:val="19"/>
        </w:rPr>
        <w:t>management, design quality and community benefit. They are to guide future planning, development</w:t>
      </w:r>
    </w:p>
    <w:p>
      <w:pPr>
        <w:spacing w:before="40" w:after="80" w:line="276" w:lineRule="auto"/>
      </w:pPr>
      <w:r>
        <w:rPr>
          <w:color w:val="334155"/>
          <w:sz w:val="19"/>
        </w:rPr>
        <w:t>assessment, addenda to the draft Master Plan and staged implementation.</w:t>
      </w:r>
    </w:p>
    <w:p>
      <w:pPr>
        <w:spacing w:before="40" w:after="80" w:line="276" w:lineRule="auto"/>
      </w:pPr>
      <w:r>
        <w:rPr>
          <w:color w:val="334155"/>
          <w:sz w:val="19"/>
        </w:rPr>
        <w:t>13</w:t>
      </w:r>
    </w:p>
    <w:p>
      <w:pPr>
        <w:spacing w:before="40" w:after="80" w:line="276" w:lineRule="auto"/>
      </w:pPr>
      <w:r>
        <w:rPr>
          <w:color w:val="334155"/>
          <w:sz w:val="19"/>
        </w:rPr>
        <w:t>3  Macquarie Coal Complex Precinct</w:t>
      </w:r>
    </w:p>
    <w:p>
      <w:pPr>
        <w:pStyle w:val="Heading2"/>
        <w:keepNext/>
        <w:spacing w:before="240" w:after="80"/>
      </w:pPr>
      <w:r>
        <w:rPr>
          <w:b/>
          <w:color w:val="0284C7"/>
        </w:rPr>
        <w:t>Page 14</w:t>
      </w:r>
    </w:p>
    <w:p>
      <w:pPr>
        <w:spacing w:before="40" w:after="80" w:line="276" w:lineRule="auto"/>
      </w:pPr>
      <w:r>
        <w:rPr>
          <w:color w:val="334155"/>
          <w:sz w:val="19"/>
        </w:rPr>
        <w:t>Environment and resilience</w:t>
      </w:r>
    </w:p>
    <w:p>
      <w:pPr>
        <w:spacing w:before="40" w:after="80" w:line="276" w:lineRule="auto"/>
      </w:pPr>
      <w:r>
        <w:rPr>
          <w:color w:val="334155"/>
          <w:sz w:val="19"/>
        </w:rPr>
        <w:t>•</w:t>
      </w:r>
    </w:p>
    <w:p>
      <w:pPr>
        <w:spacing w:before="40" w:after="80" w:line="276" w:lineRule="auto"/>
      </w:pPr>
      <w:r>
        <w:rPr>
          <w:color w:val="334155"/>
          <w:sz w:val="19"/>
        </w:rPr>
        <w:t>A connected network of high-value biodiversity,</w:t>
      </w:r>
    </w:p>
    <w:p>
      <w:pPr>
        <w:spacing w:before="40" w:after="80" w:line="276" w:lineRule="auto"/>
      </w:pPr>
      <w:r>
        <w:rPr>
          <w:color w:val="334155"/>
          <w:sz w:val="19"/>
        </w:rPr>
        <w:t>wetlands and riparian corridors retained as</w:t>
      </w:r>
    </w:p>
    <w:p>
      <w:pPr>
        <w:spacing w:before="40" w:after="80" w:line="276" w:lineRule="auto"/>
      </w:pPr>
      <w:r>
        <w:rPr>
          <w:color w:val="334155"/>
          <w:sz w:val="19"/>
        </w:rPr>
        <w:t>integral elements of the Precinct.</w:t>
      </w:r>
    </w:p>
    <w:p>
      <w:pPr>
        <w:spacing w:before="40" w:after="80" w:line="276" w:lineRule="auto"/>
      </w:pPr>
      <w:r>
        <w:rPr>
          <w:color w:val="334155"/>
          <w:sz w:val="19"/>
        </w:rPr>
        <w:t>•</w:t>
      </w:r>
    </w:p>
    <w:p>
      <w:pPr>
        <w:spacing w:before="40" w:after="80" w:line="276" w:lineRule="auto"/>
      </w:pPr>
      <w:r>
        <w:rPr>
          <w:color w:val="334155"/>
          <w:sz w:val="19"/>
        </w:rPr>
        <w:t>Encourage restorative and resilient development</w:t>
      </w:r>
    </w:p>
    <w:p>
      <w:pPr>
        <w:spacing w:before="40" w:after="80" w:line="276" w:lineRule="auto"/>
      </w:pPr>
      <w:r>
        <w:rPr>
          <w:color w:val="334155"/>
          <w:sz w:val="19"/>
        </w:rPr>
        <w:t>that responds to biodiversity values, flood-prone</w:t>
      </w:r>
    </w:p>
    <w:p>
      <w:pPr>
        <w:spacing w:before="40" w:after="80" w:line="276" w:lineRule="auto"/>
      </w:pPr>
      <w:r>
        <w:rPr>
          <w:color w:val="334155"/>
          <w:sz w:val="19"/>
        </w:rPr>
        <w:t>areas, drainage systems and minimises</w:t>
      </w:r>
    </w:p>
    <w:p>
      <w:pPr>
        <w:spacing w:before="40" w:after="80" w:line="276" w:lineRule="auto"/>
      </w:pPr>
      <w:r>
        <w:rPr>
          <w:color w:val="334155"/>
          <w:sz w:val="19"/>
        </w:rPr>
        <w:t>cumulative impact.</w:t>
      </w:r>
    </w:p>
    <w:p>
      <w:pPr>
        <w:spacing w:before="40" w:after="80" w:line="276" w:lineRule="auto"/>
      </w:pPr>
      <w:r>
        <w:rPr>
          <w:color w:val="334155"/>
          <w:sz w:val="19"/>
        </w:rPr>
        <w:t>•</w:t>
      </w:r>
    </w:p>
    <w:p>
      <w:pPr>
        <w:spacing w:before="40" w:after="80" w:line="276" w:lineRule="auto"/>
      </w:pPr>
      <w:r>
        <w:rPr>
          <w:color w:val="334155"/>
          <w:sz w:val="19"/>
        </w:rPr>
        <w:t>Land use and development enable a coordinated</w:t>
      </w:r>
    </w:p>
    <w:p>
      <w:pPr>
        <w:spacing w:before="40" w:after="80" w:line="276" w:lineRule="auto"/>
      </w:pPr>
      <w:r>
        <w:rPr>
          <w:color w:val="334155"/>
          <w:sz w:val="19"/>
        </w:rPr>
        <w:t>transformation to net-zero emissions.</w:t>
      </w:r>
    </w:p>
    <w:p>
      <w:pPr>
        <w:spacing w:before="40" w:after="80" w:line="276" w:lineRule="auto"/>
      </w:pPr>
      <w:r>
        <w:rPr>
          <w:color w:val="334155"/>
          <w:sz w:val="19"/>
        </w:rPr>
        <w:t>•</w:t>
      </w:r>
    </w:p>
    <w:p>
      <w:pPr>
        <w:spacing w:before="40" w:after="80" w:line="276" w:lineRule="auto"/>
      </w:pPr>
      <w:r>
        <w:rPr>
          <w:color w:val="334155"/>
          <w:sz w:val="19"/>
        </w:rPr>
        <w:t>A precinct-scale approach to managing post</w:t>
      </w:r>
    </w:p>
    <w:p>
      <w:pPr>
        <w:spacing w:before="40" w:after="80" w:line="276" w:lineRule="auto"/>
      </w:pPr>
      <w:r>
        <w:rPr>
          <w:color w:val="334155"/>
          <w:sz w:val="19"/>
        </w:rPr>
        <w:t>mining constraints through a staged, risk-</w:t>
      </w:r>
    </w:p>
    <w:p>
      <w:pPr>
        <w:spacing w:before="40" w:after="80" w:line="276" w:lineRule="auto"/>
      </w:pPr>
      <w:r>
        <w:rPr>
          <w:color w:val="334155"/>
          <w:sz w:val="19"/>
        </w:rPr>
        <w:t>informed framework that progressively develops</w:t>
      </w:r>
    </w:p>
    <w:p>
      <w:pPr>
        <w:spacing w:before="40" w:after="80" w:line="276" w:lineRule="auto"/>
      </w:pPr>
      <w:r>
        <w:rPr>
          <w:color w:val="334155"/>
          <w:sz w:val="19"/>
        </w:rPr>
        <w:t>land as conditions mature.</w:t>
      </w:r>
    </w:p>
    <w:p>
      <w:pPr>
        <w:spacing w:before="40" w:after="80" w:line="276" w:lineRule="auto"/>
      </w:pPr>
      <w:r>
        <w:rPr>
          <w:color w:val="334155"/>
          <w:sz w:val="19"/>
        </w:rPr>
        <w:t>•</w:t>
      </w:r>
    </w:p>
    <w:p>
      <w:pPr>
        <w:spacing w:before="40" w:after="80" w:line="276" w:lineRule="auto"/>
      </w:pPr>
      <w:r>
        <w:rPr>
          <w:color w:val="334155"/>
          <w:sz w:val="19"/>
        </w:rPr>
        <w:t>Support circular economy models through</w:t>
      </w:r>
    </w:p>
    <w:p>
      <w:pPr>
        <w:spacing w:before="40" w:after="80" w:line="276" w:lineRule="auto"/>
      </w:pPr>
      <w:r>
        <w:rPr>
          <w:color w:val="334155"/>
          <w:sz w:val="19"/>
        </w:rPr>
        <w:t>the co-location of complementary industries that</w:t>
      </w:r>
    </w:p>
    <w:p>
      <w:pPr>
        <w:spacing w:before="40" w:after="80" w:line="276" w:lineRule="auto"/>
      </w:pPr>
      <w:r>
        <w:rPr>
          <w:color w:val="334155"/>
          <w:sz w:val="19"/>
        </w:rPr>
        <w:t>can share resources, infrastructure</w:t>
      </w:r>
    </w:p>
    <w:p>
      <w:pPr>
        <w:spacing w:before="40" w:after="80" w:line="276" w:lineRule="auto"/>
      </w:pPr>
      <w:r>
        <w:rPr>
          <w:color w:val="334155"/>
          <w:sz w:val="19"/>
        </w:rPr>
        <w:t>and services, reducing waste and improving</w:t>
      </w:r>
    </w:p>
    <w:p>
      <w:pPr>
        <w:spacing w:before="40" w:after="80" w:line="276" w:lineRule="auto"/>
      </w:pPr>
      <w:r>
        <w:rPr>
          <w:color w:val="334155"/>
          <w:sz w:val="19"/>
        </w:rPr>
        <w:t>resource efficiency.</w:t>
      </w:r>
    </w:p>
    <w:p>
      <w:pPr>
        <w:spacing w:before="40" w:after="80" w:line="276" w:lineRule="auto"/>
      </w:pPr>
      <w:r>
        <w:rPr>
          <w:color w:val="334155"/>
          <w:sz w:val="19"/>
        </w:rPr>
        <w:t>Place and community benefits</w:t>
      </w:r>
    </w:p>
    <w:p>
      <w:pPr>
        <w:spacing w:before="40" w:after="80" w:line="276" w:lineRule="auto"/>
      </w:pPr>
      <w:r>
        <w:rPr>
          <w:color w:val="334155"/>
          <w:sz w:val="19"/>
        </w:rPr>
        <w:t>•</w:t>
      </w:r>
    </w:p>
    <w:p>
      <w:pPr>
        <w:spacing w:before="40" w:after="80" w:line="276" w:lineRule="auto"/>
      </w:pPr>
      <w:r>
        <w:rPr>
          <w:color w:val="334155"/>
          <w:sz w:val="19"/>
        </w:rPr>
        <w:t>A distinctive post mining landscape identity,</w:t>
      </w:r>
    </w:p>
    <w:p>
      <w:pPr>
        <w:spacing w:before="40" w:after="80" w:line="276" w:lineRule="auto"/>
      </w:pPr>
      <w:r>
        <w:rPr>
          <w:color w:val="334155"/>
          <w:sz w:val="19"/>
        </w:rPr>
        <w:t>where rehabilitating landforms, remnant native</w:t>
      </w:r>
    </w:p>
    <w:p>
      <w:pPr>
        <w:spacing w:before="40" w:after="80" w:line="276" w:lineRule="auto"/>
      </w:pPr>
      <w:r>
        <w:rPr>
          <w:color w:val="334155"/>
          <w:sz w:val="19"/>
        </w:rPr>
        <w:t>bushland, waterways and ecological corridors</w:t>
      </w:r>
    </w:p>
    <w:p>
      <w:pPr>
        <w:spacing w:before="40" w:after="80" w:line="276" w:lineRule="auto"/>
      </w:pPr>
      <w:r>
        <w:rPr>
          <w:color w:val="334155"/>
          <w:sz w:val="19"/>
        </w:rPr>
        <w:t>shape the Precinct’s character and sense of</w:t>
      </w:r>
    </w:p>
    <w:p>
      <w:pPr>
        <w:spacing w:before="40" w:after="80" w:line="276" w:lineRule="auto"/>
      </w:pPr>
      <w:r>
        <w:rPr>
          <w:color w:val="334155"/>
          <w:sz w:val="19"/>
        </w:rPr>
        <w:t>place.</w:t>
      </w:r>
    </w:p>
    <w:p>
      <w:pPr>
        <w:spacing w:before="40" w:after="80" w:line="276" w:lineRule="auto"/>
      </w:pPr>
      <w:r>
        <w:rPr>
          <w:color w:val="334155"/>
          <w:sz w:val="19"/>
        </w:rPr>
        <w:t>•</w:t>
      </w:r>
    </w:p>
    <w:p>
      <w:pPr>
        <w:spacing w:before="40" w:after="80" w:line="276" w:lineRule="auto"/>
      </w:pPr>
      <w:r>
        <w:rPr>
          <w:color w:val="334155"/>
          <w:sz w:val="19"/>
        </w:rPr>
        <w:t>High-quality urban design and public realm</w:t>
      </w:r>
    </w:p>
    <w:p>
      <w:pPr>
        <w:spacing w:before="40" w:after="80" w:line="276" w:lineRule="auto"/>
      </w:pPr>
      <w:r>
        <w:rPr>
          <w:color w:val="334155"/>
          <w:sz w:val="19"/>
        </w:rPr>
        <w:t>outcomes with built form, subdivision</w:t>
      </w:r>
    </w:p>
    <w:p>
      <w:pPr>
        <w:spacing w:before="40" w:after="80" w:line="276" w:lineRule="auto"/>
      </w:pPr>
      <w:r>
        <w:rPr>
          <w:color w:val="334155"/>
          <w:sz w:val="19"/>
        </w:rPr>
        <w:t>and interface treatments that respond to</w:t>
      </w:r>
    </w:p>
    <w:p>
      <w:pPr>
        <w:spacing w:before="40" w:after="80" w:line="276" w:lineRule="auto"/>
      </w:pPr>
      <w:r>
        <w:rPr>
          <w:color w:val="334155"/>
          <w:sz w:val="19"/>
        </w:rPr>
        <w:t>topography, rehabilitated landforms and the</w:t>
      </w:r>
    </w:p>
    <w:p>
      <w:pPr>
        <w:spacing w:before="40" w:after="80" w:line="276" w:lineRule="auto"/>
      </w:pPr>
      <w:r>
        <w:rPr>
          <w:color w:val="334155"/>
          <w:sz w:val="19"/>
        </w:rPr>
        <w:t>broader environmental and cultural setting.</w:t>
      </w:r>
    </w:p>
    <w:p>
      <w:pPr>
        <w:spacing w:before="40" w:after="80" w:line="276" w:lineRule="auto"/>
      </w:pPr>
      <w:r>
        <w:rPr>
          <w:color w:val="334155"/>
          <w:sz w:val="19"/>
        </w:rPr>
        <w:t>•</w:t>
      </w:r>
    </w:p>
    <w:p>
      <w:pPr>
        <w:spacing w:before="40" w:after="80" w:line="276" w:lineRule="auto"/>
      </w:pPr>
      <w:r>
        <w:rPr>
          <w:color w:val="334155"/>
          <w:sz w:val="19"/>
        </w:rPr>
        <w:t>Integrated community-supporting facilities co-</w:t>
      </w:r>
    </w:p>
    <w:p>
      <w:pPr>
        <w:spacing w:before="40" w:after="80" w:line="276" w:lineRule="auto"/>
      </w:pPr>
      <w:r>
        <w:rPr>
          <w:color w:val="334155"/>
          <w:sz w:val="19"/>
        </w:rPr>
        <w:t>located with employment areas and public open</w:t>
      </w:r>
    </w:p>
    <w:p>
      <w:pPr>
        <w:spacing w:before="40" w:after="80" w:line="276" w:lineRule="auto"/>
      </w:pPr>
      <w:r>
        <w:rPr>
          <w:color w:val="334155"/>
          <w:sz w:val="19"/>
        </w:rPr>
        <w:t>space, delivering tangible community and public</w:t>
      </w:r>
    </w:p>
    <w:p>
      <w:pPr>
        <w:spacing w:before="40" w:after="80" w:line="276" w:lineRule="auto"/>
      </w:pPr>
      <w:r>
        <w:rPr>
          <w:color w:val="334155"/>
          <w:sz w:val="19"/>
        </w:rPr>
        <w:t>benefit at a scale that complements the</w:t>
      </w:r>
    </w:p>
    <w:p>
      <w:pPr>
        <w:spacing w:before="40" w:after="80" w:line="276" w:lineRule="auto"/>
      </w:pPr>
      <w:r>
        <w:rPr>
          <w:color w:val="334155"/>
          <w:sz w:val="19"/>
        </w:rPr>
        <w:t>Precinct’s primary employment function.</w:t>
      </w:r>
    </w:p>
    <w:p>
      <w:pPr>
        <w:spacing w:before="40" w:after="80" w:line="276" w:lineRule="auto"/>
      </w:pPr>
      <w:r>
        <w:rPr>
          <w:color w:val="334155"/>
          <w:sz w:val="19"/>
        </w:rPr>
        <w:t>•</w:t>
      </w:r>
    </w:p>
    <w:p>
      <w:pPr>
        <w:spacing w:before="40" w:after="80" w:line="276" w:lineRule="auto"/>
      </w:pPr>
      <w:r>
        <w:rPr>
          <w:color w:val="334155"/>
          <w:sz w:val="19"/>
        </w:rPr>
        <w:t>Leveraging West Lake and environmentally</w:t>
      </w:r>
    </w:p>
    <w:p>
      <w:pPr>
        <w:spacing w:before="40" w:after="80" w:line="276" w:lineRule="auto"/>
      </w:pPr>
      <w:r>
        <w:rPr>
          <w:color w:val="334155"/>
          <w:sz w:val="19"/>
        </w:rPr>
        <w:t>constrained areas to provide accessible</w:t>
      </w:r>
    </w:p>
    <w:p>
      <w:pPr>
        <w:spacing w:before="40" w:after="80" w:line="276" w:lineRule="auto"/>
      </w:pPr>
      <w:r>
        <w:rPr>
          <w:color w:val="334155"/>
          <w:sz w:val="19"/>
        </w:rPr>
        <w:t>recreation, nature-based tourism and connected</w:t>
      </w:r>
    </w:p>
    <w:p>
      <w:pPr>
        <w:spacing w:before="40" w:after="80" w:line="276" w:lineRule="auto"/>
      </w:pPr>
      <w:r>
        <w:rPr>
          <w:color w:val="334155"/>
          <w:sz w:val="19"/>
        </w:rPr>
        <w:t>trail and active transport network for workers,</w:t>
      </w:r>
    </w:p>
    <w:p>
      <w:pPr>
        <w:spacing w:before="40" w:after="80" w:line="276" w:lineRule="auto"/>
      </w:pPr>
      <w:r>
        <w:rPr>
          <w:color w:val="334155"/>
          <w:sz w:val="19"/>
        </w:rPr>
        <w:t>surrounding communities and visitors.</w:t>
      </w:r>
    </w:p>
    <w:p>
      <w:pPr>
        <w:spacing w:before="40" w:after="80" w:line="276" w:lineRule="auto"/>
      </w:pPr>
      <w:r>
        <w:rPr>
          <w:color w:val="334155"/>
          <w:sz w:val="19"/>
        </w:rPr>
        <w:t>14</w:t>
      </w:r>
    </w:p>
    <w:p>
      <w:pPr>
        <w:spacing w:before="40" w:after="80" w:line="276" w:lineRule="auto"/>
      </w:pPr>
      <w:r>
        <w:rPr>
          <w:color w:val="334155"/>
          <w:sz w:val="19"/>
        </w:rPr>
        <w:t>3  Macquarie Coal Complex Precinct</w:t>
      </w:r>
    </w:p>
    <w:p>
      <w:pPr>
        <w:pStyle w:val="Heading2"/>
        <w:keepNext/>
        <w:spacing w:before="240" w:after="80"/>
      </w:pPr>
      <w:r>
        <w:rPr>
          <w:b/>
          <w:color w:val="0284C7"/>
        </w:rPr>
        <w:t>Page 15</w:t>
      </w:r>
    </w:p>
    <w:p>
      <w:pPr>
        <w:spacing w:before="40" w:after="80" w:line="276" w:lineRule="auto"/>
      </w:pPr>
      <w:r>
        <w:rPr>
          <w:color w:val="334155"/>
          <w:sz w:val="19"/>
        </w:rPr>
        <w:t>mining land uses. It establishes the foundation for</w:t>
      </w:r>
    </w:p>
    <w:p>
      <w:pPr>
        <w:spacing w:before="40" w:after="80" w:line="276" w:lineRule="auto"/>
      </w:pPr>
      <w:r>
        <w:rPr>
          <w:color w:val="334155"/>
          <w:sz w:val="19"/>
        </w:rPr>
        <w:t>planning, design and development to be guided by</w:t>
      </w:r>
    </w:p>
    <w:p>
      <w:pPr>
        <w:spacing w:before="40" w:after="80" w:line="276" w:lineRule="auto"/>
      </w:pPr>
      <w:r>
        <w:rPr>
          <w:color w:val="334155"/>
          <w:sz w:val="19"/>
        </w:rPr>
        <w:t>the principles of the Government Architect NSW</w:t>
      </w:r>
    </w:p>
    <w:p>
      <w:pPr>
        <w:spacing w:before="40" w:after="80" w:line="276" w:lineRule="auto"/>
      </w:pPr>
      <w:r>
        <w:rPr>
          <w:color w:val="334155"/>
          <w:sz w:val="19"/>
        </w:rPr>
        <w:t>Connecting with Country Framework.</w:t>
      </w:r>
    </w:p>
    <w:p>
      <w:pPr>
        <w:spacing w:before="40" w:after="80" w:line="276" w:lineRule="auto"/>
      </w:pPr>
      <w:r>
        <w:rPr>
          <w:color w:val="334155"/>
          <w:sz w:val="19"/>
        </w:rPr>
        <w:t>As the draft Master Plan is exhibited and refined,</w:t>
      </w:r>
    </w:p>
    <w:p>
      <w:pPr>
        <w:spacing w:before="40" w:after="80" w:line="276" w:lineRule="auto"/>
      </w:pPr>
      <w:r>
        <w:rPr>
          <w:color w:val="334155"/>
          <w:sz w:val="19"/>
        </w:rPr>
        <w:t>meaningful engagement with Lake Macquarie</w:t>
      </w:r>
    </w:p>
    <w:p>
      <w:pPr>
        <w:spacing w:before="40" w:after="80" w:line="276" w:lineRule="auto"/>
      </w:pPr>
      <w:r>
        <w:rPr>
          <w:color w:val="334155"/>
          <w:sz w:val="19"/>
        </w:rPr>
        <w:t>Aboriginal community stakeholders will form</w:t>
      </w:r>
    </w:p>
    <w:p>
      <w:pPr>
        <w:spacing w:before="40" w:after="80" w:line="276" w:lineRule="auto"/>
      </w:pPr>
      <w:r>
        <w:rPr>
          <w:color w:val="334155"/>
          <w:sz w:val="19"/>
        </w:rPr>
        <w:t>an important part of the process to refine and</w:t>
      </w:r>
    </w:p>
    <w:p>
      <w:pPr>
        <w:spacing w:before="40" w:after="80" w:line="276" w:lineRule="auto"/>
      </w:pPr>
      <w:r>
        <w:rPr>
          <w:color w:val="334155"/>
          <w:sz w:val="19"/>
        </w:rPr>
        <w:t>finalise the draft Master Plan. This should include</w:t>
      </w:r>
    </w:p>
    <w:p>
      <w:pPr>
        <w:spacing w:before="40" w:after="80" w:line="276" w:lineRule="auto"/>
      </w:pPr>
      <w:r>
        <w:rPr>
          <w:color w:val="334155"/>
          <w:sz w:val="19"/>
        </w:rPr>
        <w:t>engagement with Traditional Custodians, Aboriginal</w:t>
      </w:r>
    </w:p>
    <w:p>
      <w:pPr>
        <w:spacing w:before="40" w:after="80" w:line="276" w:lineRule="auto"/>
      </w:pPr>
      <w:r>
        <w:rPr>
          <w:color w:val="334155"/>
          <w:sz w:val="19"/>
        </w:rPr>
        <w:t>knowledge holders, the Awabakal Local Aboriginal</w:t>
      </w:r>
    </w:p>
    <w:p>
      <w:pPr>
        <w:spacing w:before="40" w:after="80" w:line="276" w:lineRule="auto"/>
      </w:pPr>
      <w:r>
        <w:rPr>
          <w:color w:val="334155"/>
          <w:sz w:val="19"/>
        </w:rPr>
        <w:t>Land Council, the Biraban Local Aboriginal Land</w:t>
      </w:r>
    </w:p>
    <w:p>
      <w:pPr>
        <w:spacing w:before="40" w:after="80" w:line="276" w:lineRule="auto"/>
      </w:pPr>
      <w:r>
        <w:rPr>
          <w:color w:val="334155"/>
          <w:sz w:val="19"/>
        </w:rPr>
        <w:t>Council and other Aboriginal organisations or</w:t>
      </w:r>
    </w:p>
    <w:p>
      <w:pPr>
        <w:spacing w:before="40" w:after="80" w:line="276" w:lineRule="auto"/>
      </w:pPr>
      <w:r>
        <w:rPr>
          <w:color w:val="334155"/>
          <w:sz w:val="19"/>
        </w:rPr>
        <w:t>representatives identified through the engagement</w:t>
      </w:r>
    </w:p>
    <w:p>
      <w:pPr>
        <w:spacing w:before="40" w:after="80" w:line="276" w:lineRule="auto"/>
      </w:pPr>
      <w:r>
        <w:rPr>
          <w:color w:val="334155"/>
          <w:sz w:val="19"/>
        </w:rPr>
        <w:t>process.</w:t>
      </w:r>
    </w:p>
    <w:p>
      <w:pPr>
        <w:spacing w:before="40" w:after="80" w:line="276" w:lineRule="auto"/>
      </w:pPr>
      <w:r>
        <w:rPr>
          <w:color w:val="334155"/>
          <w:sz w:val="19"/>
        </w:rPr>
        <w:t>Connecting with Country</w:t>
      </w:r>
    </w:p>
    <w:p>
      <w:pPr>
        <w:spacing w:before="40" w:after="80" w:line="276" w:lineRule="auto"/>
      </w:pPr>
      <w:r>
        <w:rPr>
          <w:color w:val="334155"/>
          <w:sz w:val="19"/>
        </w:rPr>
        <w:t>The Precinct is located on Awabakal Country,</w:t>
      </w:r>
    </w:p>
    <w:p>
      <w:pPr>
        <w:spacing w:before="40" w:after="80" w:line="276" w:lineRule="auto"/>
      </w:pPr>
      <w:r>
        <w:rPr>
          <w:color w:val="334155"/>
          <w:sz w:val="19"/>
        </w:rPr>
        <w:t>adjacent to the shores of Cockle Bay in the north</w:t>
      </w:r>
    </w:p>
    <w:p>
      <w:pPr>
        <w:spacing w:before="40" w:after="80" w:line="276" w:lineRule="auto"/>
      </w:pPr>
      <w:r>
        <w:rPr>
          <w:color w:val="334155"/>
          <w:sz w:val="19"/>
        </w:rPr>
        <w:t>of Lake Macquarie. The draft Master Plan</w:t>
      </w:r>
    </w:p>
    <w:p>
      <w:pPr>
        <w:spacing w:before="40" w:after="80" w:line="276" w:lineRule="auto"/>
      </w:pPr>
      <w:r>
        <w:rPr>
          <w:color w:val="334155"/>
          <w:sz w:val="19"/>
        </w:rPr>
        <w:t>recognises Country as a living system of</w:t>
      </w:r>
    </w:p>
    <w:p>
      <w:pPr>
        <w:spacing w:before="40" w:after="80" w:line="276" w:lineRule="auto"/>
      </w:pPr>
      <w:r>
        <w:rPr>
          <w:color w:val="334155"/>
          <w:sz w:val="19"/>
        </w:rPr>
        <w:t>interconnected cultural, ecological and physical</w:t>
      </w:r>
    </w:p>
    <w:p>
      <w:pPr>
        <w:spacing w:before="40" w:after="80" w:line="276" w:lineRule="auto"/>
      </w:pPr>
      <w:r>
        <w:rPr>
          <w:color w:val="334155"/>
          <w:sz w:val="19"/>
        </w:rPr>
        <w:t>relationships, including land, waters, skies, plants,</w:t>
      </w:r>
    </w:p>
    <w:p>
      <w:pPr>
        <w:spacing w:before="40" w:after="80" w:line="276" w:lineRule="auto"/>
      </w:pPr>
      <w:r>
        <w:rPr>
          <w:color w:val="334155"/>
          <w:sz w:val="19"/>
        </w:rPr>
        <w:t>animals, cultural practices, stories and community.</w:t>
      </w:r>
    </w:p>
    <w:p>
      <w:pPr>
        <w:spacing w:before="40" w:after="80" w:line="276" w:lineRule="auto"/>
      </w:pPr>
      <w:r>
        <w:rPr>
          <w:color w:val="334155"/>
          <w:sz w:val="19"/>
        </w:rPr>
        <w:t>It also recognises that planning for the</w:t>
      </w:r>
    </w:p>
    <w:p>
      <w:pPr>
        <w:spacing w:before="40" w:after="80" w:line="276" w:lineRule="auto"/>
      </w:pPr>
      <w:r>
        <w:rPr>
          <w:color w:val="334155"/>
          <w:sz w:val="19"/>
        </w:rPr>
        <w:t>transformation of a former mining landscape must</w:t>
      </w:r>
    </w:p>
    <w:p>
      <w:pPr>
        <w:spacing w:before="40" w:after="80" w:line="276" w:lineRule="auto"/>
      </w:pPr>
      <w:r>
        <w:rPr>
          <w:color w:val="334155"/>
          <w:sz w:val="19"/>
        </w:rPr>
        <w:t>be informed by an understanding of Country and</w:t>
      </w:r>
    </w:p>
    <w:p>
      <w:pPr>
        <w:spacing w:before="40" w:after="80" w:line="276" w:lineRule="auto"/>
      </w:pPr>
      <w:r>
        <w:rPr>
          <w:color w:val="334155"/>
          <w:sz w:val="19"/>
        </w:rPr>
        <w:t>respectful engagement with Aboriginal people</w:t>
      </w:r>
    </w:p>
    <w:p>
      <w:pPr>
        <w:spacing w:before="40" w:after="80" w:line="276" w:lineRule="auto"/>
      </w:pPr>
      <w:r>
        <w:rPr>
          <w:color w:val="334155"/>
          <w:sz w:val="19"/>
        </w:rPr>
        <w:t>who hold cultural knowledge, rights and</w:t>
      </w:r>
    </w:p>
    <w:p>
      <w:pPr>
        <w:spacing w:before="40" w:after="80" w:line="276" w:lineRule="auto"/>
      </w:pPr>
      <w:r>
        <w:rPr>
          <w:color w:val="334155"/>
          <w:sz w:val="19"/>
        </w:rPr>
        <w:t>responsibilities for the area.</w:t>
      </w:r>
    </w:p>
    <w:p>
      <w:pPr>
        <w:spacing w:before="40" w:after="80" w:line="276" w:lineRule="auto"/>
      </w:pPr>
      <w:r>
        <w:rPr>
          <w:color w:val="334155"/>
          <w:sz w:val="19"/>
        </w:rPr>
        <w:t>The draft Master Plan has been prepared as an</w:t>
      </w:r>
    </w:p>
    <w:p>
      <w:pPr>
        <w:spacing w:before="40" w:after="80" w:line="276" w:lineRule="auto"/>
      </w:pPr>
      <w:r>
        <w:rPr>
          <w:color w:val="334155"/>
          <w:sz w:val="19"/>
        </w:rPr>
        <w:t>early framework for the transformation of the</w:t>
      </w:r>
    </w:p>
    <w:p>
      <w:pPr>
        <w:spacing w:before="40" w:after="80" w:line="276" w:lineRule="auto"/>
      </w:pPr>
      <w:r>
        <w:rPr>
          <w:color w:val="334155"/>
          <w:sz w:val="19"/>
        </w:rPr>
        <w:t>Precinct from mining to sustainable and</w:t>
      </w:r>
    </w:p>
    <w:p>
      <w:pPr>
        <w:spacing w:before="40" w:after="80" w:line="276" w:lineRule="auto"/>
      </w:pPr>
      <w:r>
        <w:rPr>
          <w:color w:val="334155"/>
          <w:sz w:val="19"/>
        </w:rPr>
        <w:t>productive post</w:t>
      </w:r>
    </w:p>
    <w:p>
      <w:pPr>
        <w:spacing w:before="40" w:after="80" w:line="276" w:lineRule="auto"/>
      </w:pPr>
      <w:r>
        <w:rPr>
          <w:color w:val="334155"/>
          <w:sz w:val="19"/>
        </w:rPr>
        <w:t>Credit: Glencore</w:t>
      </w:r>
    </w:p>
    <w:p>
      <w:pPr>
        <w:spacing w:before="40" w:after="80" w:line="276" w:lineRule="auto"/>
      </w:pPr>
      <w:r>
        <w:rPr>
          <w:color w:val="334155"/>
          <w:sz w:val="19"/>
        </w:rPr>
        <w:t>15</w:t>
      </w:r>
    </w:p>
    <w:p>
      <w:pPr>
        <w:spacing w:before="40" w:after="80" w:line="276" w:lineRule="auto"/>
      </w:pPr>
      <w:r>
        <w:rPr>
          <w:color w:val="334155"/>
          <w:sz w:val="19"/>
        </w:rPr>
        <w:t>3  Macquarie Coal Complex Precinct</w:t>
      </w:r>
    </w:p>
    <w:p>
      <w:pPr>
        <w:pStyle w:val="Heading2"/>
        <w:keepNext/>
        <w:spacing w:before="240" w:after="80"/>
      </w:pPr>
      <w:r>
        <w:rPr>
          <w:b/>
          <w:color w:val="0284C7"/>
        </w:rPr>
        <w:t>Page 16</w:t>
      </w:r>
    </w:p>
    <w:p>
      <w:pPr>
        <w:spacing w:before="40" w:after="80" w:line="276" w:lineRule="auto"/>
      </w:pPr>
      <w:r>
        <w:rPr>
          <w:color w:val="334155"/>
          <w:sz w:val="19"/>
        </w:rPr>
        <w:t>Structure plan</w:t>
      </w:r>
    </w:p>
    <w:p>
      <w:pPr>
        <w:spacing w:before="40" w:after="80" w:line="276" w:lineRule="auto"/>
      </w:pPr>
      <w:r>
        <w:rPr>
          <w:color w:val="334155"/>
          <w:sz w:val="19"/>
        </w:rPr>
        <w:t>The structure plan (Figure 9) is the principal</w:t>
      </w:r>
    </w:p>
    <w:p>
      <w:pPr>
        <w:spacing w:before="40" w:after="80" w:line="276" w:lineRule="auto"/>
      </w:pPr>
      <w:r>
        <w:rPr>
          <w:color w:val="334155"/>
          <w:sz w:val="19"/>
        </w:rPr>
        <w:t>spatial framework for the draft Master Plan. It</w:t>
      </w:r>
    </w:p>
    <w:p>
      <w:pPr>
        <w:spacing w:before="40" w:after="80" w:line="276" w:lineRule="auto"/>
      </w:pPr>
      <w:r>
        <w:rPr>
          <w:color w:val="334155"/>
          <w:sz w:val="19"/>
        </w:rPr>
        <w:t>identifies the arrangement of developable areas,</w:t>
      </w:r>
    </w:p>
    <w:p>
      <w:pPr>
        <w:spacing w:before="40" w:after="80" w:line="276" w:lineRule="auto"/>
      </w:pPr>
      <w:r>
        <w:rPr>
          <w:color w:val="334155"/>
          <w:sz w:val="19"/>
        </w:rPr>
        <w:t>environmentally constrained areas, recreational</w:t>
      </w:r>
    </w:p>
    <w:p>
      <w:pPr>
        <w:spacing w:before="40" w:after="80" w:line="276" w:lineRule="auto"/>
      </w:pPr>
      <w:r>
        <w:rPr>
          <w:color w:val="334155"/>
          <w:sz w:val="19"/>
        </w:rPr>
        <w:t>areas, movement networks and key constraints</w:t>
      </w:r>
    </w:p>
    <w:p>
      <w:pPr>
        <w:spacing w:before="40" w:after="80" w:line="276" w:lineRule="auto"/>
      </w:pPr>
      <w:r>
        <w:rPr>
          <w:color w:val="334155"/>
          <w:sz w:val="19"/>
        </w:rPr>
        <w:t>across the Precinct to guide development.</w:t>
      </w:r>
    </w:p>
    <w:p>
      <w:pPr>
        <w:spacing w:before="40" w:after="80" w:line="276" w:lineRule="auto"/>
      </w:pPr>
      <w:r>
        <w:rPr>
          <w:color w:val="334155"/>
          <w:sz w:val="19"/>
        </w:rPr>
        <w:t>The structure plan outlines the spatial logic for</w:t>
      </w:r>
    </w:p>
    <w:p>
      <w:pPr>
        <w:spacing w:before="40" w:after="80" w:line="276" w:lineRule="auto"/>
      </w:pPr>
      <w:r>
        <w:rPr>
          <w:color w:val="334155"/>
          <w:sz w:val="19"/>
        </w:rPr>
        <w:t>future development at a precinct scale, providing</w:t>
      </w:r>
    </w:p>
    <w:p>
      <w:pPr>
        <w:spacing w:before="40" w:after="80" w:line="276" w:lineRule="auto"/>
      </w:pPr>
      <w:r>
        <w:rPr>
          <w:color w:val="334155"/>
          <w:sz w:val="19"/>
        </w:rPr>
        <w:t>a framework within which detailed design,</w:t>
      </w:r>
    </w:p>
    <w:p>
      <w:pPr>
        <w:spacing w:before="40" w:after="80" w:line="276" w:lineRule="auto"/>
      </w:pPr>
      <w:r>
        <w:rPr>
          <w:color w:val="334155"/>
          <w:sz w:val="19"/>
        </w:rPr>
        <w:t>subdivision and development assessment will</w:t>
      </w:r>
    </w:p>
    <w:p>
      <w:pPr>
        <w:spacing w:before="40" w:after="80" w:line="276" w:lineRule="auto"/>
      </w:pPr>
      <w:r>
        <w:rPr>
          <w:color w:val="334155"/>
          <w:sz w:val="19"/>
        </w:rPr>
        <w:t>occur. The structure plan is supported by technical</w:t>
      </w:r>
    </w:p>
    <w:p>
      <w:pPr>
        <w:spacing w:before="40" w:after="80" w:line="276" w:lineRule="auto"/>
      </w:pPr>
      <w:r>
        <w:rPr>
          <w:color w:val="334155"/>
          <w:sz w:val="19"/>
        </w:rPr>
        <w:t>studies.</w:t>
      </w:r>
    </w:p>
    <w:p>
      <w:pPr>
        <w:spacing w:before="40" w:after="80" w:line="276" w:lineRule="auto"/>
      </w:pPr>
      <w:r>
        <w:rPr>
          <w:color w:val="334155"/>
          <w:sz w:val="19"/>
        </w:rPr>
        <w:t>The following categories are used to describe land</w:t>
      </w:r>
    </w:p>
    <w:p>
      <w:pPr>
        <w:spacing w:before="40" w:after="80" w:line="276" w:lineRule="auto"/>
      </w:pPr>
      <w:r>
        <w:rPr>
          <w:color w:val="334155"/>
          <w:sz w:val="19"/>
        </w:rPr>
        <w:t>within the structure plan:</w:t>
      </w:r>
    </w:p>
    <w:p>
      <w:pPr>
        <w:spacing w:before="40" w:after="80" w:line="276" w:lineRule="auto"/>
      </w:pPr>
      <w:r>
        <w:rPr>
          <w:color w:val="334155"/>
          <w:sz w:val="19"/>
        </w:rPr>
        <w:t>•</w:t>
      </w:r>
    </w:p>
    <w:p>
      <w:pPr>
        <w:spacing w:before="40" w:after="80" w:line="276" w:lineRule="auto"/>
      </w:pPr>
      <w:r>
        <w:rPr>
          <w:color w:val="334155"/>
          <w:sz w:val="19"/>
        </w:rPr>
        <w:t>Developable areas – Land that is potentially</w:t>
      </w:r>
    </w:p>
    <w:p>
      <w:pPr>
        <w:spacing w:before="40" w:after="80" w:line="276" w:lineRule="auto"/>
      </w:pPr>
      <w:r>
        <w:rPr>
          <w:color w:val="334155"/>
          <w:sz w:val="19"/>
        </w:rPr>
        <w:t>suitable for development, subject to further</w:t>
      </w:r>
    </w:p>
    <w:p>
      <w:pPr>
        <w:spacing w:before="40" w:after="80" w:line="276" w:lineRule="auto"/>
      </w:pPr>
      <w:r>
        <w:rPr>
          <w:color w:val="334155"/>
          <w:sz w:val="19"/>
        </w:rPr>
        <w:t>technical investigation and site-specific</w:t>
      </w:r>
    </w:p>
    <w:p>
      <w:pPr>
        <w:spacing w:before="40" w:after="80" w:line="276" w:lineRule="auto"/>
      </w:pPr>
      <w:r>
        <w:rPr>
          <w:color w:val="334155"/>
          <w:sz w:val="19"/>
        </w:rPr>
        <w:t>assessment at the development application</w:t>
      </w:r>
    </w:p>
    <w:p>
      <w:pPr>
        <w:spacing w:before="40" w:after="80" w:line="276" w:lineRule="auto"/>
      </w:pPr>
      <w:r>
        <w:rPr>
          <w:color w:val="334155"/>
          <w:sz w:val="19"/>
        </w:rPr>
        <w:t>stage.</w:t>
      </w:r>
    </w:p>
    <w:p>
      <w:pPr>
        <w:spacing w:before="40" w:after="80" w:line="276" w:lineRule="auto"/>
      </w:pPr>
      <w:r>
        <w:rPr>
          <w:color w:val="334155"/>
          <w:sz w:val="19"/>
        </w:rPr>
        <w:t>•</w:t>
      </w:r>
    </w:p>
    <w:p>
      <w:pPr>
        <w:spacing w:before="40" w:after="80" w:line="276" w:lineRule="auto"/>
      </w:pPr>
      <w:r>
        <w:rPr>
          <w:color w:val="334155"/>
          <w:sz w:val="19"/>
        </w:rPr>
        <w:t>Environmentally constrained areas – Land</w:t>
      </w:r>
    </w:p>
    <w:p>
      <w:pPr>
        <w:spacing w:before="40" w:after="80" w:line="276" w:lineRule="auto"/>
      </w:pPr>
      <w:r>
        <w:rPr>
          <w:color w:val="334155"/>
          <w:sz w:val="19"/>
        </w:rPr>
        <w:t>identified as having biodiversity values or where</w:t>
      </w:r>
    </w:p>
    <w:p>
      <w:pPr>
        <w:spacing w:before="40" w:after="80" w:line="276" w:lineRule="auto"/>
      </w:pPr>
      <w:r>
        <w:rPr>
          <w:color w:val="334155"/>
          <w:sz w:val="19"/>
        </w:rPr>
        <w:t>natural features (watercourses, wetlands, steep</w:t>
      </w:r>
    </w:p>
    <w:p>
      <w:pPr>
        <w:spacing w:before="40" w:after="80" w:line="276" w:lineRule="auto"/>
      </w:pPr>
      <w:r>
        <w:rPr>
          <w:color w:val="334155"/>
          <w:sz w:val="19"/>
        </w:rPr>
        <w:t>slope, flooding) constrain development.</w:t>
      </w:r>
    </w:p>
    <w:p>
      <w:pPr>
        <w:spacing w:before="40" w:after="80" w:line="276" w:lineRule="auto"/>
      </w:pPr>
      <w:r>
        <w:rPr>
          <w:color w:val="334155"/>
          <w:sz w:val="19"/>
        </w:rPr>
        <w:t>•</w:t>
      </w:r>
    </w:p>
    <w:p>
      <w:pPr>
        <w:spacing w:before="40" w:after="80" w:line="276" w:lineRule="auto"/>
      </w:pPr>
      <w:r>
        <w:rPr>
          <w:color w:val="334155"/>
          <w:sz w:val="19"/>
        </w:rPr>
        <w:t>Recreation areas – Land potentially suitable for</w:t>
      </w:r>
    </w:p>
    <w:p>
      <w:pPr>
        <w:spacing w:before="40" w:after="80" w:line="276" w:lineRule="auto"/>
      </w:pPr>
      <w:r>
        <w:rPr>
          <w:color w:val="334155"/>
          <w:sz w:val="19"/>
        </w:rPr>
        <w:t>active and passive recreation facilities,</w:t>
      </w:r>
    </w:p>
    <w:p>
      <w:pPr>
        <w:spacing w:before="40" w:after="80" w:line="276" w:lineRule="auto"/>
      </w:pPr>
      <w:r>
        <w:rPr>
          <w:color w:val="334155"/>
          <w:sz w:val="19"/>
        </w:rPr>
        <w:t>balanced with protecting biodiversity and</w:t>
      </w:r>
    </w:p>
    <w:p>
      <w:pPr>
        <w:spacing w:before="40" w:after="80" w:line="276" w:lineRule="auto"/>
      </w:pPr>
      <w:r>
        <w:rPr>
          <w:color w:val="334155"/>
          <w:sz w:val="19"/>
        </w:rPr>
        <w:t>cultural values.</w:t>
      </w:r>
    </w:p>
    <w:p>
      <w:pPr>
        <w:spacing w:before="40" w:after="80" w:line="276" w:lineRule="auto"/>
      </w:pPr>
      <w:r>
        <w:rPr>
          <w:color w:val="334155"/>
          <w:sz w:val="19"/>
        </w:rPr>
        <w:t>•</w:t>
      </w:r>
    </w:p>
    <w:p>
      <w:pPr>
        <w:spacing w:before="40" w:after="80" w:line="276" w:lineRule="auto"/>
      </w:pPr>
      <w:r>
        <w:rPr>
          <w:color w:val="334155"/>
          <w:sz w:val="19"/>
        </w:rPr>
        <w:t>Further investigation – Potentially developable</w:t>
      </w:r>
    </w:p>
    <w:p>
      <w:pPr>
        <w:spacing w:before="40" w:after="80" w:line="276" w:lineRule="auto"/>
      </w:pPr>
      <w:r>
        <w:rPr>
          <w:color w:val="334155"/>
          <w:sz w:val="19"/>
        </w:rPr>
        <w:t>land that is constrained in the short to medium</w:t>
      </w:r>
    </w:p>
    <w:p>
      <w:pPr>
        <w:spacing w:before="40" w:after="80" w:line="276" w:lineRule="auto"/>
      </w:pPr>
      <w:r>
        <w:rPr>
          <w:color w:val="334155"/>
          <w:sz w:val="19"/>
        </w:rPr>
        <w:t>term by geotechnical, dam safety, biodiversity</w:t>
      </w:r>
    </w:p>
    <w:p>
      <w:pPr>
        <w:spacing w:before="40" w:after="80" w:line="276" w:lineRule="auto"/>
      </w:pPr>
      <w:r>
        <w:rPr>
          <w:color w:val="334155"/>
          <w:sz w:val="19"/>
        </w:rPr>
        <w:t>or flood risk factors, requiring resolution before</w:t>
      </w:r>
    </w:p>
    <w:p>
      <w:pPr>
        <w:spacing w:before="40" w:after="80" w:line="276" w:lineRule="auto"/>
      </w:pPr>
      <w:r>
        <w:rPr>
          <w:color w:val="334155"/>
          <w:sz w:val="19"/>
        </w:rPr>
        <w:t>development can proceed. Development of this</w:t>
      </w:r>
    </w:p>
    <w:p>
      <w:pPr>
        <w:spacing w:before="40" w:after="80" w:line="276" w:lineRule="auto"/>
      </w:pPr>
      <w:r>
        <w:rPr>
          <w:color w:val="334155"/>
          <w:sz w:val="19"/>
        </w:rPr>
        <w:t>land is contingent upon the completion</w:t>
      </w:r>
    </w:p>
    <w:p>
      <w:pPr>
        <w:spacing w:before="40" w:after="80" w:line="276" w:lineRule="auto"/>
      </w:pPr>
      <w:r>
        <w:rPr>
          <w:color w:val="334155"/>
          <w:sz w:val="19"/>
        </w:rPr>
        <w:t>of relevant technical investigations and the</w:t>
      </w:r>
    </w:p>
    <w:p>
      <w:pPr>
        <w:spacing w:before="40" w:after="80" w:line="276" w:lineRule="auto"/>
      </w:pPr>
      <w:r>
        <w:rPr>
          <w:color w:val="334155"/>
          <w:sz w:val="19"/>
        </w:rPr>
        <w:t>achievement of applicable staging triggers.</w:t>
      </w:r>
    </w:p>
    <w:p>
      <w:pPr>
        <w:spacing w:before="40" w:after="80" w:line="276" w:lineRule="auto"/>
      </w:pPr>
      <w:r>
        <w:rPr>
          <w:color w:val="334155"/>
          <w:sz w:val="19"/>
        </w:rPr>
        <w:t>4</w:t>
        <w:tab/>
        <w:t xml:space="preserve"> Structure plan and</w:t>
      </w:r>
    </w:p>
    <w:p>
      <w:pPr>
        <w:spacing w:before="40" w:after="80" w:line="276" w:lineRule="auto"/>
      </w:pPr>
      <w:r>
        <w:rPr>
          <w:color w:val="334155"/>
          <w:sz w:val="19"/>
        </w:rPr>
        <w:t>sub-precinct framework</w:t>
      </w:r>
    </w:p>
    <w:p>
      <w:pPr>
        <w:spacing w:before="40" w:after="80" w:line="276" w:lineRule="auto"/>
      </w:pPr>
      <w:r>
        <w:rPr>
          <w:color w:val="334155"/>
          <w:sz w:val="19"/>
        </w:rPr>
        <w:t>Figure 7: Indicative visualisation east over</w:t>
      </w:r>
    </w:p>
    <w:p>
      <w:pPr>
        <w:spacing w:before="40" w:after="80" w:line="276" w:lineRule="auto"/>
      </w:pPr>
      <w:r>
        <w:rPr>
          <w:color w:val="334155"/>
          <w:sz w:val="19"/>
        </w:rPr>
        <w:t>Macquarie Coal Complex Precinct</w:t>
      </w:r>
    </w:p>
    <w:p>
      <w:pPr>
        <w:spacing w:before="40" w:after="80" w:line="276" w:lineRule="auto"/>
      </w:pPr>
      <w:r>
        <w:rPr>
          <w:color w:val="334155"/>
          <w:sz w:val="19"/>
        </w:rPr>
        <w:t>Figure 8: Indicative visualisation west over</w:t>
      </w:r>
    </w:p>
    <w:p>
      <w:pPr>
        <w:spacing w:before="40" w:after="80" w:line="276" w:lineRule="auto"/>
      </w:pPr>
      <w:r>
        <w:rPr>
          <w:color w:val="334155"/>
          <w:sz w:val="19"/>
        </w:rPr>
        <w:t>Macquarie Coal Complex Precinct</w:t>
      </w:r>
    </w:p>
    <w:p>
      <w:pPr>
        <w:spacing w:before="40" w:after="80" w:line="276" w:lineRule="auto"/>
      </w:pPr>
      <w:r>
        <w:rPr>
          <w:color w:val="334155"/>
          <w:sz w:val="19"/>
        </w:rPr>
        <w:t>16</w:t>
      </w:r>
    </w:p>
    <w:p>
      <w:pPr>
        <w:pStyle w:val="Heading2"/>
        <w:keepNext/>
        <w:spacing w:before="240" w:after="80"/>
      </w:pPr>
      <w:r>
        <w:rPr>
          <w:b/>
          <w:color w:val="0284C7"/>
        </w:rPr>
        <w:t>Page 17</w:t>
      </w:r>
    </w:p>
    <w:p>
      <w:pPr>
        <w:spacing w:before="40" w:after="80" w:line="276" w:lineRule="auto"/>
      </w:pPr>
      <w:r>
        <w:rPr>
          <w:color w:val="334155"/>
          <w:sz w:val="19"/>
        </w:rPr>
        <w:t>Figure 9: Macquarie Coal Complex Precinct Structure Plan</w:t>
      </w:r>
    </w:p>
    <w:p>
      <w:pPr>
        <w:spacing w:before="40" w:after="80" w:line="276" w:lineRule="auto"/>
      </w:pPr>
      <w:r>
        <w:rPr>
          <w:color w:val="334155"/>
          <w:sz w:val="19"/>
        </w:rPr>
        <w:t>17</w:t>
      </w:r>
    </w:p>
    <w:p>
      <w:pPr>
        <w:spacing w:before="40" w:after="80" w:line="276" w:lineRule="auto"/>
      </w:pPr>
      <w:r>
        <w:rPr>
          <w:color w:val="334155"/>
          <w:sz w:val="19"/>
        </w:rPr>
        <w:t>4  Structure plan and sub-precinct framework</w:t>
      </w:r>
    </w:p>
    <w:p>
      <w:pPr>
        <w:pStyle w:val="Heading2"/>
        <w:keepNext/>
        <w:spacing w:before="240" w:after="80"/>
      </w:pPr>
      <w:r>
        <w:rPr>
          <w:b/>
          <w:color w:val="0284C7"/>
        </w:rPr>
        <w:t>Page 18</w:t>
      </w:r>
    </w:p>
    <w:p>
      <w:pPr>
        <w:spacing w:before="40" w:after="80" w:line="276" w:lineRule="auto"/>
      </w:pPr>
      <w:r>
        <w:rPr>
          <w:color w:val="334155"/>
          <w:sz w:val="19"/>
        </w:rPr>
        <w:t>Sub-precinct framework</w:t>
      </w:r>
    </w:p>
    <w:p>
      <w:pPr>
        <w:spacing w:before="40" w:after="80" w:line="276" w:lineRule="auto"/>
      </w:pPr>
      <w:r>
        <w:rPr>
          <w:color w:val="334155"/>
          <w:sz w:val="19"/>
        </w:rPr>
        <w:t>The structure plan organises the Precinct into</w:t>
      </w:r>
    </w:p>
    <w:p>
      <w:pPr>
        <w:spacing w:before="40" w:after="80" w:line="276" w:lineRule="auto"/>
      </w:pPr>
      <w:r>
        <w:rPr>
          <w:color w:val="334155"/>
          <w:sz w:val="19"/>
        </w:rPr>
        <w:t>five development sub-precincts (Figure 10), set</w:t>
      </w:r>
    </w:p>
    <w:p>
      <w:pPr>
        <w:spacing w:before="40" w:after="80" w:line="276" w:lineRule="auto"/>
      </w:pPr>
      <w:r>
        <w:rPr>
          <w:color w:val="334155"/>
          <w:sz w:val="19"/>
        </w:rPr>
        <w:t>within a connected network of environmentally</w:t>
      </w:r>
    </w:p>
    <w:p>
      <w:pPr>
        <w:spacing w:before="40" w:after="80" w:line="276" w:lineRule="auto"/>
      </w:pPr>
      <w:r>
        <w:rPr>
          <w:color w:val="334155"/>
          <w:sz w:val="19"/>
        </w:rPr>
        <w:t>constrained areas that define the Precinct’s</w:t>
      </w:r>
    </w:p>
    <w:p>
      <w:pPr>
        <w:spacing w:before="40" w:after="80" w:line="276" w:lineRule="auto"/>
      </w:pPr>
      <w:r>
        <w:rPr>
          <w:color w:val="334155"/>
          <w:sz w:val="19"/>
        </w:rPr>
        <w:t>landscape framework. Each sub-precinct presents</w:t>
      </w:r>
    </w:p>
    <w:p>
      <w:pPr>
        <w:spacing w:before="40" w:after="80" w:line="276" w:lineRule="auto"/>
      </w:pPr>
      <w:r>
        <w:rPr>
          <w:color w:val="334155"/>
          <w:sz w:val="19"/>
        </w:rPr>
        <w:t>a distinctive opportunity, shaped by its topography,</w:t>
      </w:r>
    </w:p>
    <w:p>
      <w:pPr>
        <w:spacing w:before="40" w:after="80" w:line="276" w:lineRule="auto"/>
      </w:pPr>
      <w:r>
        <w:rPr>
          <w:color w:val="334155"/>
          <w:sz w:val="19"/>
        </w:rPr>
        <w:t>legacy mining features, environmental values,</w:t>
      </w:r>
    </w:p>
    <w:p>
      <w:pPr>
        <w:spacing w:before="40" w:after="80" w:line="276" w:lineRule="auto"/>
      </w:pPr>
      <w:r>
        <w:rPr>
          <w:color w:val="334155"/>
          <w:sz w:val="19"/>
        </w:rPr>
        <w:t>access and proximity to existing communities and</w:t>
      </w:r>
    </w:p>
    <w:p>
      <w:pPr>
        <w:spacing w:before="40" w:after="80" w:line="276" w:lineRule="auto"/>
      </w:pPr>
      <w:r>
        <w:rPr>
          <w:color w:val="334155"/>
          <w:sz w:val="19"/>
        </w:rPr>
        <w:t>infrastructure.</w:t>
      </w:r>
    </w:p>
    <w:p>
      <w:pPr>
        <w:spacing w:before="40" w:after="80" w:line="276" w:lineRule="auto"/>
      </w:pPr>
      <w:r>
        <w:rPr>
          <w:color w:val="334155"/>
          <w:sz w:val="19"/>
        </w:rPr>
        <w:t>Together the sub-precincts enable a coordinated,</w:t>
      </w:r>
    </w:p>
    <w:p>
      <w:pPr>
        <w:spacing w:before="40" w:after="80" w:line="276" w:lineRule="auto"/>
      </w:pPr>
      <w:r>
        <w:rPr>
          <w:color w:val="334155"/>
          <w:sz w:val="19"/>
        </w:rPr>
        <w:t>staged transformation of the Precinct that</w:t>
      </w:r>
    </w:p>
    <w:p>
      <w:pPr>
        <w:spacing w:before="40" w:after="80" w:line="276" w:lineRule="auto"/>
      </w:pPr>
      <w:r>
        <w:rPr>
          <w:color w:val="334155"/>
          <w:sz w:val="19"/>
        </w:rPr>
        <w:t>responds to physical setting while delivering</w:t>
      </w:r>
    </w:p>
    <w:p>
      <w:pPr>
        <w:spacing w:before="40" w:after="80" w:line="276" w:lineRule="auto"/>
      </w:pPr>
      <w:r>
        <w:rPr>
          <w:color w:val="334155"/>
          <w:sz w:val="19"/>
        </w:rPr>
        <w:t>a diverse range of employment, recreation</w:t>
      </w:r>
    </w:p>
    <w:p>
      <w:pPr>
        <w:spacing w:before="40" w:after="80" w:line="276" w:lineRule="auto"/>
      </w:pPr>
      <w:r>
        <w:rPr>
          <w:color w:val="334155"/>
          <w:sz w:val="19"/>
        </w:rPr>
        <w:t>and community outcomes. Each sub-precinct</w:t>
      </w:r>
    </w:p>
    <w:p>
      <w:pPr>
        <w:spacing w:before="40" w:after="80" w:line="276" w:lineRule="auto"/>
      </w:pPr>
      <w:r>
        <w:rPr>
          <w:color w:val="334155"/>
          <w:sz w:val="19"/>
        </w:rPr>
        <w:t>description presents key characteristics, land use</w:t>
      </w:r>
    </w:p>
    <w:p>
      <w:pPr>
        <w:spacing w:before="40" w:after="80" w:line="276" w:lineRule="auto"/>
      </w:pPr>
      <w:r>
        <w:rPr>
          <w:color w:val="334155"/>
          <w:sz w:val="19"/>
        </w:rPr>
        <w:t>intent and opportunities for future planning and</w:t>
      </w:r>
    </w:p>
    <w:p>
      <w:pPr>
        <w:spacing w:before="40" w:after="80" w:line="276" w:lineRule="auto"/>
      </w:pPr>
      <w:r>
        <w:rPr>
          <w:color w:val="334155"/>
          <w:sz w:val="19"/>
        </w:rPr>
        <w:t>development, against which development proposals</w:t>
      </w:r>
    </w:p>
    <w:p>
      <w:pPr>
        <w:spacing w:before="40" w:after="80" w:line="276" w:lineRule="auto"/>
      </w:pPr>
      <w:r>
        <w:rPr>
          <w:color w:val="334155"/>
          <w:sz w:val="19"/>
        </w:rPr>
        <w:t>will be assessed.</w:t>
      </w:r>
    </w:p>
    <w:p>
      <w:pPr>
        <w:spacing w:before="40" w:after="80" w:line="276" w:lineRule="auto"/>
      </w:pPr>
      <w:r>
        <w:rPr>
          <w:color w:val="334155"/>
          <w:sz w:val="19"/>
        </w:rPr>
        <w:t>Figure 10: Sub-precincts</w:t>
      </w:r>
    </w:p>
    <w:p>
      <w:pPr>
        <w:spacing w:before="40" w:after="80" w:line="276" w:lineRule="auto"/>
      </w:pPr>
      <w:r>
        <w:rPr>
          <w:color w:val="334155"/>
          <w:sz w:val="19"/>
        </w:rPr>
        <w:t>18</w:t>
      </w:r>
    </w:p>
    <w:p>
      <w:pPr>
        <w:spacing w:before="40" w:after="80" w:line="276" w:lineRule="auto"/>
      </w:pPr>
      <w:r>
        <w:rPr>
          <w:color w:val="334155"/>
          <w:sz w:val="19"/>
        </w:rPr>
        <w:t>4  Structure plan and sub-precinct framework</w:t>
      </w:r>
    </w:p>
    <w:p>
      <w:pPr>
        <w:pStyle w:val="Heading2"/>
        <w:keepNext/>
        <w:spacing w:before="240" w:after="80"/>
      </w:pPr>
      <w:r>
        <w:rPr>
          <w:b/>
          <w:color w:val="0284C7"/>
        </w:rPr>
        <w:t>Page 19</w:t>
      </w:r>
    </w:p>
    <w:p>
      <w:pPr>
        <w:spacing w:before="40" w:after="80" w:line="276" w:lineRule="auto"/>
      </w:pPr>
      <w:r>
        <w:rPr>
          <w:color w:val="334155"/>
          <w:sz w:val="19"/>
        </w:rPr>
        <w:t>Land use intent</w:t>
      </w:r>
    </w:p>
    <w:p>
      <w:pPr>
        <w:spacing w:before="40" w:after="80" w:line="276" w:lineRule="auto"/>
      </w:pPr>
      <w:r>
        <w:rPr>
          <w:color w:val="334155"/>
          <w:sz w:val="19"/>
        </w:rPr>
        <w:t>Future development will be anchored by</w:t>
      </w:r>
    </w:p>
    <w:p>
      <w:pPr>
        <w:spacing w:before="40" w:after="80" w:line="276" w:lineRule="auto"/>
      </w:pPr>
      <w:r>
        <w:rPr>
          <w:color w:val="334155"/>
          <w:sz w:val="19"/>
        </w:rPr>
        <w:t>employment-generating activity that supports</w:t>
      </w:r>
    </w:p>
    <w:p>
      <w:pPr>
        <w:spacing w:before="40" w:after="80" w:line="276" w:lineRule="auto"/>
      </w:pPr>
      <w:r>
        <w:rPr>
          <w:color w:val="334155"/>
          <w:sz w:val="19"/>
        </w:rPr>
        <w:t>regional economic diversification, attracts</w:t>
      </w:r>
    </w:p>
    <w:p>
      <w:pPr>
        <w:spacing w:before="40" w:after="80" w:line="276" w:lineRule="auto"/>
      </w:pPr>
      <w:r>
        <w:rPr>
          <w:color w:val="334155"/>
          <w:sz w:val="19"/>
        </w:rPr>
        <w:t>investment and creates local jobs. Complementary</w:t>
      </w:r>
    </w:p>
    <w:p>
      <w:pPr>
        <w:spacing w:before="40" w:after="80" w:line="276" w:lineRule="auto"/>
      </w:pPr>
      <w:r>
        <w:rPr>
          <w:color w:val="334155"/>
          <w:sz w:val="19"/>
        </w:rPr>
        <w:t>commercial, recreation, community and visitor land</w:t>
      </w:r>
    </w:p>
    <w:p>
      <w:pPr>
        <w:spacing w:before="40" w:after="80" w:line="276" w:lineRule="auto"/>
      </w:pPr>
      <w:r>
        <w:rPr>
          <w:color w:val="334155"/>
          <w:sz w:val="19"/>
        </w:rPr>
        <w:t>uses will support the workforce, deliver community</w:t>
      </w:r>
    </w:p>
    <w:p>
      <w:pPr>
        <w:spacing w:before="40" w:after="80" w:line="276" w:lineRule="auto"/>
      </w:pPr>
      <w:r>
        <w:rPr>
          <w:color w:val="334155"/>
          <w:sz w:val="19"/>
        </w:rPr>
        <w:t>benefit and contribute to the broader public value</w:t>
      </w:r>
    </w:p>
    <w:p>
      <w:pPr>
        <w:spacing w:before="40" w:after="80" w:line="276" w:lineRule="auto"/>
      </w:pPr>
      <w:r>
        <w:rPr>
          <w:color w:val="334155"/>
          <w:sz w:val="19"/>
        </w:rPr>
        <w:t>of the post mining tranformation.</w:t>
      </w:r>
    </w:p>
    <w:p>
      <w:pPr>
        <w:spacing w:before="40" w:after="80" w:line="276" w:lineRule="auto"/>
      </w:pPr>
      <w:r>
        <w:rPr>
          <w:color w:val="334155"/>
          <w:sz w:val="19"/>
        </w:rPr>
        <w:t>Figure 11: Employment land use envisaged in the Precinct</w:t>
      </w:r>
    </w:p>
    <w:p>
      <w:pPr>
        <w:spacing w:before="40" w:after="80" w:line="276" w:lineRule="auto"/>
      </w:pPr>
      <w:r>
        <w:rPr>
          <w:color w:val="334155"/>
          <w:sz w:val="19"/>
        </w:rPr>
        <w:t>Figure 12: Complementary land use typologies envisaged</w:t>
      </w:r>
    </w:p>
    <w:p>
      <w:pPr>
        <w:spacing w:before="40" w:after="80" w:line="276" w:lineRule="auto"/>
      </w:pPr>
      <w:r>
        <w:rPr>
          <w:color w:val="334155"/>
          <w:sz w:val="19"/>
        </w:rPr>
        <w:t>19</w:t>
      </w:r>
    </w:p>
    <w:p>
      <w:pPr>
        <w:spacing w:before="40" w:after="80" w:line="276" w:lineRule="auto"/>
      </w:pPr>
      <w:r>
        <w:rPr>
          <w:color w:val="334155"/>
          <w:sz w:val="19"/>
        </w:rPr>
        <w:t>4  Structure plan and sub-precinct framework</w:t>
      </w:r>
    </w:p>
    <w:p>
      <w:pPr>
        <w:pStyle w:val="Heading2"/>
        <w:keepNext/>
        <w:spacing w:before="240" w:after="80"/>
      </w:pPr>
      <w:r>
        <w:rPr>
          <w:b/>
          <w:color w:val="0284C7"/>
        </w:rPr>
        <w:t>Page 20</w:t>
      </w:r>
    </w:p>
    <w:p>
      <w:pPr>
        <w:spacing w:before="40" w:after="80" w:line="276" w:lineRule="auto"/>
      </w:pPr>
      <w:r>
        <w:rPr>
          <w:color w:val="334155"/>
          <w:sz w:val="19"/>
        </w:rPr>
        <w:t>Cockle Creek</w:t>
      </w:r>
    </w:p>
    <w:p>
      <w:pPr>
        <w:spacing w:before="40" w:after="80" w:line="276" w:lineRule="auto"/>
      </w:pPr>
      <w:r>
        <w:rPr>
          <w:color w:val="334155"/>
          <w:sz w:val="19"/>
        </w:rPr>
        <w:t>Characteristics</w:t>
      </w:r>
    </w:p>
    <w:p>
      <w:pPr>
        <w:spacing w:before="40" w:after="80" w:line="276" w:lineRule="auto"/>
      </w:pPr>
      <w:r>
        <w:rPr>
          <w:color w:val="334155"/>
          <w:sz w:val="19"/>
        </w:rPr>
        <w:t>Cockle Creek sub-precinct is located in the eastern</w:t>
      </w:r>
    </w:p>
    <w:p>
      <w:pPr>
        <w:spacing w:before="40" w:after="80" w:line="276" w:lineRule="auto"/>
      </w:pPr>
      <w:r>
        <w:rPr>
          <w:color w:val="334155"/>
          <w:sz w:val="19"/>
        </w:rPr>
        <w:t>portion of the Precinct and encompasses the</w:t>
      </w:r>
    </w:p>
    <w:p>
      <w:pPr>
        <w:spacing w:before="40" w:after="80" w:line="276" w:lineRule="auto"/>
      </w:pPr>
      <w:r>
        <w:rPr>
          <w:color w:val="334155"/>
          <w:sz w:val="19"/>
        </w:rPr>
        <w:t>former MCPP, TSF, mine rail loop and associated</w:t>
      </w:r>
    </w:p>
    <w:p>
      <w:pPr>
        <w:spacing w:before="40" w:after="80" w:line="276" w:lineRule="auto"/>
      </w:pPr>
      <w:r>
        <w:rPr>
          <w:color w:val="334155"/>
          <w:sz w:val="19"/>
        </w:rPr>
        <w:t>operational infrastructure. Its direct interface</w:t>
      </w:r>
    </w:p>
    <w:p>
      <w:pPr>
        <w:spacing w:before="40" w:after="80" w:line="276" w:lineRule="auto"/>
      </w:pPr>
      <w:r>
        <w:rPr>
          <w:color w:val="334155"/>
          <w:sz w:val="19"/>
        </w:rPr>
        <w:t>with the Main Northern Railway, together with</w:t>
      </w:r>
    </w:p>
    <w:p>
      <w:pPr>
        <w:spacing w:before="40" w:after="80" w:line="276" w:lineRule="auto"/>
      </w:pPr>
      <w:r>
        <w:rPr>
          <w:color w:val="334155"/>
          <w:sz w:val="19"/>
        </w:rPr>
        <w:t>established access from Racecourse Road,</w:t>
      </w:r>
    </w:p>
    <w:p>
      <w:pPr>
        <w:spacing w:before="40" w:after="80" w:line="276" w:lineRule="auto"/>
      </w:pPr>
      <w:r>
        <w:rPr>
          <w:color w:val="334155"/>
          <w:sz w:val="19"/>
        </w:rPr>
        <w:t>Railway Street and The Weir Road, positions the</w:t>
      </w:r>
    </w:p>
    <w:p>
      <w:pPr>
        <w:spacing w:before="40" w:after="80" w:line="276" w:lineRule="auto"/>
      </w:pPr>
      <w:r>
        <w:rPr>
          <w:color w:val="334155"/>
          <w:sz w:val="19"/>
        </w:rPr>
        <w:t>sub-precinct as a strategically connected gateway</w:t>
      </w:r>
    </w:p>
    <w:p>
      <w:pPr>
        <w:spacing w:before="40" w:after="80" w:line="276" w:lineRule="auto"/>
      </w:pPr>
      <w:r>
        <w:rPr>
          <w:color w:val="334155"/>
          <w:sz w:val="19"/>
        </w:rPr>
        <w:t>within the broader Precinct.</w:t>
      </w:r>
    </w:p>
    <w:p>
      <w:pPr>
        <w:spacing w:before="40" w:after="80" w:line="276" w:lineRule="auto"/>
      </w:pPr>
      <w:r>
        <w:rPr>
          <w:color w:val="334155"/>
          <w:sz w:val="19"/>
        </w:rPr>
        <w:t>Historic industrial use has shaped a substantially</w:t>
      </w:r>
    </w:p>
    <w:p>
      <w:pPr>
        <w:spacing w:before="40" w:after="80" w:line="276" w:lineRule="auto"/>
      </w:pPr>
      <w:r>
        <w:rPr>
          <w:color w:val="334155"/>
          <w:sz w:val="19"/>
        </w:rPr>
        <w:t>modified landscape of previously disturbed land</w:t>
      </w:r>
    </w:p>
    <w:p>
      <w:pPr>
        <w:spacing w:before="40" w:after="80" w:line="276" w:lineRule="auto"/>
      </w:pPr>
      <w:r>
        <w:rPr>
          <w:color w:val="334155"/>
          <w:sz w:val="19"/>
        </w:rPr>
        <w:t>and legacy infrastructure. These attributes provide</w:t>
      </w:r>
    </w:p>
    <w:p>
      <w:pPr>
        <w:spacing w:before="40" w:after="80" w:line="276" w:lineRule="auto"/>
      </w:pPr>
      <w:r>
        <w:rPr>
          <w:color w:val="334155"/>
          <w:sz w:val="19"/>
        </w:rPr>
        <w:t>a strong foundation for early activation and support</w:t>
      </w:r>
    </w:p>
    <w:p>
      <w:pPr>
        <w:spacing w:before="40" w:after="80" w:line="276" w:lineRule="auto"/>
      </w:pPr>
      <w:r>
        <w:rPr>
          <w:color w:val="334155"/>
          <w:sz w:val="19"/>
        </w:rPr>
        <w:t>the efficient reuse of land.</w:t>
      </w:r>
    </w:p>
    <w:p>
      <w:pPr>
        <w:spacing w:before="40" w:after="80" w:line="276" w:lineRule="auto"/>
      </w:pPr>
      <w:r>
        <w:rPr>
          <w:color w:val="334155"/>
          <w:sz w:val="19"/>
        </w:rPr>
        <w:t>Key opportunities</w:t>
      </w:r>
    </w:p>
    <w:p>
      <w:pPr>
        <w:spacing w:before="40" w:after="80" w:line="276" w:lineRule="auto"/>
      </w:pPr>
      <w:r>
        <w:rPr>
          <w:color w:val="334155"/>
          <w:sz w:val="19"/>
        </w:rPr>
        <w:t>The following attributes shape the sub-precinct’s</w:t>
      </w:r>
    </w:p>
    <w:p>
      <w:pPr>
        <w:spacing w:before="40" w:after="80" w:line="276" w:lineRule="auto"/>
      </w:pPr>
      <w:r>
        <w:rPr>
          <w:color w:val="334155"/>
          <w:sz w:val="19"/>
        </w:rPr>
        <w:t>development context and inform a flexible,</w:t>
      </w:r>
    </w:p>
    <w:p>
      <w:pPr>
        <w:spacing w:before="40" w:after="80" w:line="276" w:lineRule="auto"/>
      </w:pPr>
      <w:r>
        <w:rPr>
          <w:color w:val="334155"/>
          <w:sz w:val="19"/>
        </w:rPr>
        <w:t>opportunity-led planning response:</w:t>
      </w:r>
    </w:p>
    <w:p>
      <w:pPr>
        <w:spacing w:before="40" w:after="80" w:line="276" w:lineRule="auto"/>
      </w:pPr>
      <w:r>
        <w:rPr>
          <w:color w:val="334155"/>
          <w:sz w:val="19"/>
        </w:rPr>
        <w:t>•</w:t>
      </w:r>
    </w:p>
    <w:p>
      <w:pPr>
        <w:spacing w:before="40" w:after="80" w:line="276" w:lineRule="auto"/>
      </w:pPr>
      <w:r>
        <w:rPr>
          <w:color w:val="334155"/>
          <w:sz w:val="19"/>
        </w:rPr>
        <w:t>Reuse of legacy industrial assets – The former</w:t>
      </w:r>
    </w:p>
    <w:p>
      <w:pPr>
        <w:spacing w:before="40" w:after="80" w:line="276" w:lineRule="auto"/>
      </w:pPr>
      <w:r>
        <w:rPr>
          <w:color w:val="334155"/>
          <w:sz w:val="19"/>
        </w:rPr>
        <w:t>coal preparation plant, mine rail loop and</w:t>
      </w:r>
    </w:p>
    <w:p>
      <w:pPr>
        <w:spacing w:before="40" w:after="80" w:line="276" w:lineRule="auto"/>
      </w:pPr>
      <w:r>
        <w:rPr>
          <w:color w:val="334155"/>
          <w:sz w:val="19"/>
        </w:rPr>
        <w:t>existing rail interface with the Main Northern</w:t>
      </w:r>
    </w:p>
    <w:p>
      <w:pPr>
        <w:spacing w:before="40" w:after="80" w:line="276" w:lineRule="auto"/>
      </w:pPr>
      <w:r>
        <w:rPr>
          <w:color w:val="334155"/>
          <w:sz w:val="19"/>
        </w:rPr>
        <w:t>railway provide a platform for new industrial,</w:t>
      </w:r>
    </w:p>
    <w:p>
      <w:pPr>
        <w:spacing w:before="40" w:after="80" w:line="276" w:lineRule="auto"/>
      </w:pPr>
      <w:r>
        <w:rPr>
          <w:color w:val="334155"/>
          <w:sz w:val="19"/>
        </w:rPr>
        <w:t>manufacturing, energy and rail-related uses that</w:t>
      </w:r>
    </w:p>
    <w:p>
      <w:pPr>
        <w:spacing w:before="40" w:after="80" w:line="276" w:lineRule="auto"/>
      </w:pPr>
      <w:r>
        <w:rPr>
          <w:color w:val="334155"/>
          <w:sz w:val="19"/>
        </w:rPr>
        <w:t>leverage available infrastructure.</w:t>
      </w:r>
    </w:p>
    <w:p>
      <w:pPr>
        <w:spacing w:before="40" w:after="80" w:line="276" w:lineRule="auto"/>
      </w:pPr>
      <w:r>
        <w:rPr>
          <w:color w:val="334155"/>
          <w:sz w:val="19"/>
        </w:rPr>
        <w:t>•</w:t>
      </w:r>
    </w:p>
    <w:p>
      <w:pPr>
        <w:spacing w:before="40" w:after="80" w:line="276" w:lineRule="auto"/>
      </w:pPr>
      <w:r>
        <w:rPr>
          <w:color w:val="334155"/>
          <w:sz w:val="19"/>
        </w:rPr>
        <w:t>Early activation of available land – Areas outside</w:t>
      </w:r>
    </w:p>
    <w:p>
      <w:pPr>
        <w:spacing w:before="40" w:after="80" w:line="276" w:lineRule="auto"/>
      </w:pPr>
      <w:r>
        <w:rPr>
          <w:color w:val="334155"/>
          <w:sz w:val="19"/>
        </w:rPr>
        <w:t>the TSF and dam break inundation zone are well-</w:t>
      </w:r>
    </w:p>
    <w:p>
      <w:pPr>
        <w:spacing w:before="40" w:after="80" w:line="276" w:lineRule="auto"/>
      </w:pPr>
      <w:r>
        <w:rPr>
          <w:color w:val="334155"/>
          <w:sz w:val="19"/>
        </w:rPr>
        <w:t>positioned for near-term development, with</w:t>
      </w:r>
    </w:p>
    <w:p>
      <w:pPr>
        <w:spacing w:before="40" w:after="80" w:line="276" w:lineRule="auto"/>
      </w:pPr>
      <w:r>
        <w:rPr>
          <w:color w:val="334155"/>
          <w:sz w:val="19"/>
        </w:rPr>
        <w:t>further land progressively released as TSF</w:t>
      </w:r>
    </w:p>
    <w:p>
      <w:pPr>
        <w:spacing w:before="40" w:after="80" w:line="276" w:lineRule="auto"/>
      </w:pPr>
      <w:r>
        <w:rPr>
          <w:color w:val="334155"/>
          <w:sz w:val="19"/>
        </w:rPr>
        <w:t>rehabilitation advances.</w:t>
      </w:r>
    </w:p>
    <w:p>
      <w:pPr>
        <w:spacing w:before="40" w:after="80" w:line="276" w:lineRule="auto"/>
      </w:pPr>
      <w:r>
        <w:rPr>
          <w:color w:val="334155"/>
          <w:sz w:val="19"/>
        </w:rPr>
        <w:t>•</w:t>
      </w:r>
    </w:p>
    <w:p>
      <w:pPr>
        <w:spacing w:before="40" w:after="80" w:line="276" w:lineRule="auto"/>
      </w:pPr>
      <w:r>
        <w:rPr>
          <w:color w:val="334155"/>
          <w:sz w:val="19"/>
        </w:rPr>
        <w:t>Enhanced connectivity – A potential new bridge</w:t>
      </w:r>
    </w:p>
    <w:p>
      <w:pPr>
        <w:spacing w:before="40" w:after="80" w:line="276" w:lineRule="auto"/>
      </w:pPr>
      <w:r>
        <w:rPr>
          <w:color w:val="334155"/>
          <w:sz w:val="19"/>
        </w:rPr>
        <w:t>crossing of Cockle Creek is identified for</w:t>
      </w:r>
    </w:p>
    <w:p>
      <w:pPr>
        <w:spacing w:before="40" w:after="80" w:line="276" w:lineRule="auto"/>
      </w:pPr>
      <w:r>
        <w:rPr>
          <w:color w:val="334155"/>
          <w:sz w:val="19"/>
        </w:rPr>
        <w:t>investigation to strengthen road access and</w:t>
      </w:r>
    </w:p>
    <w:p>
      <w:pPr>
        <w:spacing w:before="40" w:after="80" w:line="276" w:lineRule="auto"/>
      </w:pPr>
      <w:r>
        <w:rPr>
          <w:color w:val="334155"/>
          <w:sz w:val="19"/>
        </w:rPr>
        <w:t>unlock additional development opportunities</w:t>
      </w:r>
    </w:p>
    <w:p>
      <w:pPr>
        <w:spacing w:before="40" w:after="80" w:line="276" w:lineRule="auto"/>
      </w:pPr>
      <w:r>
        <w:rPr>
          <w:color w:val="334155"/>
          <w:sz w:val="19"/>
        </w:rPr>
        <w:t>across the sub-precinct.</w:t>
      </w:r>
    </w:p>
    <w:p>
      <w:pPr>
        <w:spacing w:before="40" w:after="80" w:line="276" w:lineRule="auto"/>
      </w:pPr>
      <w:r>
        <w:rPr>
          <w:color w:val="334155"/>
          <w:sz w:val="19"/>
        </w:rPr>
        <w:t>•</w:t>
      </w:r>
    </w:p>
    <w:p>
      <w:pPr>
        <w:spacing w:before="40" w:after="80" w:line="276" w:lineRule="auto"/>
      </w:pPr>
      <w:r>
        <w:rPr>
          <w:color w:val="334155"/>
          <w:sz w:val="19"/>
        </w:rPr>
        <w:t>Improved internal movement networks – New</w:t>
      </w:r>
    </w:p>
    <w:p>
      <w:pPr>
        <w:spacing w:before="40" w:after="80" w:line="276" w:lineRule="auto"/>
      </w:pPr>
      <w:r>
        <w:rPr>
          <w:color w:val="334155"/>
          <w:sz w:val="19"/>
        </w:rPr>
        <w:t>internal road links will support integrated</w:t>
      </w:r>
    </w:p>
    <w:p>
      <w:pPr>
        <w:spacing w:before="40" w:after="80" w:line="276" w:lineRule="auto"/>
      </w:pPr>
      <w:r>
        <w:rPr>
          <w:color w:val="334155"/>
          <w:sz w:val="19"/>
        </w:rPr>
        <w:t>movement across the sub-precinct, enabled by</w:t>
      </w:r>
    </w:p>
    <w:p>
      <w:pPr>
        <w:spacing w:before="40" w:after="80" w:line="276" w:lineRule="auto"/>
      </w:pPr>
      <w:r>
        <w:rPr>
          <w:color w:val="334155"/>
          <w:sz w:val="19"/>
        </w:rPr>
        <w:t>revocation of the TSF dam declaration or</w:t>
      </w:r>
    </w:p>
    <w:p>
      <w:pPr>
        <w:spacing w:before="40" w:after="80" w:line="276" w:lineRule="auto"/>
      </w:pPr>
      <w:r>
        <w:rPr>
          <w:color w:val="334155"/>
          <w:sz w:val="19"/>
        </w:rPr>
        <w:t>delivery of bridge infrastructure above the</w:t>
      </w:r>
    </w:p>
    <w:p>
      <w:pPr>
        <w:spacing w:before="40" w:after="80" w:line="276" w:lineRule="auto"/>
      </w:pPr>
      <w:r>
        <w:rPr>
          <w:color w:val="334155"/>
          <w:sz w:val="19"/>
        </w:rPr>
        <w:t>inundation level.</w:t>
      </w:r>
    </w:p>
    <w:p>
      <w:pPr>
        <w:spacing w:before="40" w:after="80" w:line="276" w:lineRule="auto"/>
      </w:pPr>
      <w:r>
        <w:rPr>
          <w:color w:val="334155"/>
          <w:sz w:val="19"/>
        </w:rPr>
        <w:t>•</w:t>
      </w:r>
    </w:p>
    <w:p>
      <w:pPr>
        <w:spacing w:before="40" w:after="80" w:line="276" w:lineRule="auto"/>
      </w:pPr>
      <w:r>
        <w:rPr>
          <w:color w:val="334155"/>
          <w:sz w:val="19"/>
        </w:rPr>
        <w:t>Supporting industries that would facilitate rail</w:t>
      </w:r>
    </w:p>
    <w:p>
      <w:pPr>
        <w:spacing w:before="40" w:after="80" w:line="276" w:lineRule="auto"/>
      </w:pPr>
      <w:r>
        <w:rPr>
          <w:color w:val="334155"/>
          <w:sz w:val="19"/>
        </w:rPr>
        <w:t>manufacturing, including workshops with skilled</w:t>
      </w:r>
    </w:p>
    <w:p>
      <w:pPr>
        <w:spacing w:before="40" w:after="80" w:line="276" w:lineRule="auto"/>
      </w:pPr>
      <w:r>
        <w:rPr>
          <w:color w:val="334155"/>
          <w:sz w:val="19"/>
        </w:rPr>
        <w:t>trades.</w:t>
      </w:r>
    </w:p>
    <w:p>
      <w:pPr>
        <w:spacing w:before="40" w:after="80" w:line="276" w:lineRule="auto"/>
      </w:pPr>
      <w:r>
        <w:rPr>
          <w:color w:val="334155"/>
          <w:sz w:val="19"/>
        </w:rPr>
        <w:t>•</w:t>
      </w:r>
    </w:p>
    <w:p>
      <w:pPr>
        <w:spacing w:before="40" w:after="80" w:line="276" w:lineRule="auto"/>
      </w:pPr>
      <w:r>
        <w:rPr>
          <w:color w:val="334155"/>
          <w:sz w:val="19"/>
        </w:rPr>
        <w:t>Established access for short term activity</w:t>
      </w:r>
    </w:p>
    <w:p>
      <w:pPr>
        <w:spacing w:before="40" w:after="80" w:line="276" w:lineRule="auto"/>
      </w:pPr>
      <w:r>
        <w:rPr>
          <w:color w:val="334155"/>
          <w:sz w:val="19"/>
        </w:rPr>
        <w:t>– Existing connections from Railway Street,</w:t>
      </w:r>
    </w:p>
    <w:p>
      <w:pPr>
        <w:spacing w:before="40" w:after="80" w:line="276" w:lineRule="auto"/>
      </w:pPr>
      <w:r>
        <w:rPr>
          <w:color w:val="334155"/>
          <w:sz w:val="19"/>
        </w:rPr>
        <w:t>Racecourse Road, The Weir Road and Rhondda</w:t>
      </w:r>
    </w:p>
    <w:p>
      <w:pPr>
        <w:spacing w:before="40" w:after="80" w:line="276" w:lineRule="auto"/>
      </w:pPr>
      <w:r>
        <w:rPr>
          <w:color w:val="334155"/>
          <w:sz w:val="19"/>
        </w:rPr>
        <w:t>Road provide immediate access to developable</w:t>
      </w:r>
    </w:p>
    <w:p>
      <w:pPr>
        <w:spacing w:before="40" w:after="80" w:line="276" w:lineRule="auto"/>
      </w:pPr>
      <w:r>
        <w:rPr>
          <w:color w:val="334155"/>
          <w:sz w:val="19"/>
        </w:rPr>
        <w:t>land beyond the dam break inundation zone,</w:t>
      </w:r>
    </w:p>
    <w:p>
      <w:pPr>
        <w:spacing w:before="40" w:after="80" w:line="276" w:lineRule="auto"/>
      </w:pPr>
      <w:r>
        <w:rPr>
          <w:color w:val="334155"/>
          <w:sz w:val="19"/>
        </w:rPr>
        <w:t>supporting early-stage uses.</w:t>
      </w:r>
    </w:p>
    <w:p>
      <w:pPr>
        <w:spacing w:before="40" w:after="80" w:line="276" w:lineRule="auto"/>
      </w:pPr>
      <w:r>
        <w:rPr>
          <w:color w:val="334155"/>
          <w:sz w:val="19"/>
        </w:rPr>
        <w:t>•</w:t>
      </w:r>
    </w:p>
    <w:p>
      <w:pPr>
        <w:spacing w:before="40" w:after="80" w:line="276" w:lineRule="auto"/>
      </w:pPr>
      <w:r>
        <w:rPr>
          <w:color w:val="334155"/>
          <w:sz w:val="19"/>
        </w:rPr>
        <w:t>Integration of environmental values – High value</w:t>
      </w:r>
    </w:p>
    <w:p>
      <w:pPr>
        <w:spacing w:before="40" w:after="80" w:line="276" w:lineRule="auto"/>
      </w:pPr>
      <w:r>
        <w:rPr>
          <w:color w:val="334155"/>
          <w:sz w:val="19"/>
        </w:rPr>
        <w:t>biodiversity, fauna habitat and wetland areas to</w:t>
      </w:r>
    </w:p>
    <w:p>
      <w:pPr>
        <w:spacing w:before="40" w:after="80" w:line="276" w:lineRule="auto"/>
      </w:pPr>
      <w:r>
        <w:rPr>
          <w:color w:val="334155"/>
          <w:sz w:val="19"/>
        </w:rPr>
        <w:t>north and east of the sub-precinct are retained</w:t>
      </w:r>
    </w:p>
    <w:p>
      <w:pPr>
        <w:spacing w:before="40" w:after="80" w:line="276" w:lineRule="auto"/>
      </w:pPr>
      <w:r>
        <w:rPr>
          <w:color w:val="334155"/>
          <w:sz w:val="19"/>
        </w:rPr>
        <w:t>and integrated into the land use pattern,</w:t>
      </w:r>
    </w:p>
    <w:p>
      <w:pPr>
        <w:spacing w:before="40" w:after="80" w:line="276" w:lineRule="auto"/>
      </w:pPr>
      <w:r>
        <w:rPr>
          <w:color w:val="334155"/>
          <w:sz w:val="19"/>
        </w:rPr>
        <w:t>supporting a considered balance between</w:t>
      </w:r>
    </w:p>
    <w:p>
      <w:pPr>
        <w:spacing w:before="40" w:after="80" w:line="276" w:lineRule="auto"/>
      </w:pPr>
      <w:r>
        <w:rPr>
          <w:color w:val="334155"/>
          <w:sz w:val="19"/>
        </w:rPr>
        <w:t>development and environmental outcomes.</w:t>
      </w:r>
    </w:p>
    <w:p>
      <w:pPr>
        <w:spacing w:before="40" w:after="80" w:line="276" w:lineRule="auto"/>
      </w:pPr>
      <w:r>
        <w:rPr>
          <w:color w:val="334155"/>
          <w:sz w:val="19"/>
        </w:rPr>
        <w:t>Figure 13: Indicative mixed industrial development</w:t>
      </w:r>
    </w:p>
    <w:p>
      <w:pPr>
        <w:spacing w:before="40" w:after="80" w:line="276" w:lineRule="auto"/>
      </w:pPr>
      <w:r>
        <w:rPr>
          <w:color w:val="334155"/>
          <w:sz w:val="19"/>
        </w:rPr>
        <w:t>concept</w:t>
      </w:r>
    </w:p>
    <w:p>
      <w:pPr>
        <w:spacing w:before="40" w:after="80" w:line="276" w:lineRule="auto"/>
      </w:pPr>
      <w:r>
        <w:rPr>
          <w:color w:val="334155"/>
          <w:sz w:val="19"/>
        </w:rPr>
        <w:t>Figure 14: Indicative mixed industrial</w:t>
      </w:r>
    </w:p>
    <w:p>
      <w:pPr>
        <w:spacing w:before="40" w:after="80" w:line="276" w:lineRule="auto"/>
      </w:pPr>
      <w:r>
        <w:rPr>
          <w:color w:val="334155"/>
          <w:sz w:val="19"/>
        </w:rPr>
        <w:t>development concept utilising rail connectivity</w:t>
      </w:r>
    </w:p>
    <w:p>
      <w:pPr>
        <w:spacing w:before="40" w:after="80" w:line="276" w:lineRule="auto"/>
      </w:pPr>
      <w:r>
        <w:rPr>
          <w:color w:val="334155"/>
          <w:sz w:val="19"/>
        </w:rPr>
        <w:t>20</w:t>
      </w:r>
    </w:p>
    <w:p>
      <w:pPr>
        <w:spacing w:before="40" w:after="80" w:line="276" w:lineRule="auto"/>
      </w:pPr>
      <w:r>
        <w:rPr>
          <w:color w:val="334155"/>
          <w:sz w:val="19"/>
        </w:rPr>
        <w:t>4  Structure plan and sub-precinct framework</w:t>
      </w:r>
    </w:p>
    <w:p>
      <w:pPr>
        <w:pStyle w:val="Heading2"/>
        <w:keepNext/>
        <w:spacing w:before="240" w:after="80"/>
      </w:pPr>
      <w:r>
        <w:rPr>
          <w:b/>
          <w:color w:val="0284C7"/>
        </w:rPr>
        <w:t>Page 21</w:t>
      </w:r>
    </w:p>
    <w:p>
      <w:pPr>
        <w:spacing w:before="40" w:after="80" w:line="276" w:lineRule="auto"/>
      </w:pPr>
      <w:r>
        <w:rPr>
          <w:color w:val="334155"/>
          <w:sz w:val="19"/>
        </w:rPr>
        <w:t>Killingworth</w:t>
      </w:r>
    </w:p>
    <w:p>
      <w:pPr>
        <w:spacing w:before="40" w:after="80" w:line="276" w:lineRule="auto"/>
      </w:pPr>
      <w:r>
        <w:rPr>
          <w:color w:val="334155"/>
          <w:sz w:val="19"/>
        </w:rPr>
        <w:t>Characteristics</w:t>
      </w:r>
    </w:p>
    <w:p>
      <w:pPr>
        <w:spacing w:before="40" w:after="80" w:line="276" w:lineRule="auto"/>
      </w:pPr>
      <w:r>
        <w:rPr>
          <w:color w:val="334155"/>
          <w:sz w:val="19"/>
        </w:rPr>
        <w:t>Killingworth sub-precinct is located in the north-</w:t>
      </w:r>
    </w:p>
    <w:p>
      <w:pPr>
        <w:spacing w:before="40" w:after="80" w:line="276" w:lineRule="auto"/>
      </w:pPr>
      <w:r>
        <w:rPr>
          <w:color w:val="334155"/>
          <w:sz w:val="19"/>
        </w:rPr>
        <w:t>western portion of the Precinct, near established</w:t>
      </w:r>
    </w:p>
    <w:p>
      <w:pPr>
        <w:spacing w:before="40" w:after="80" w:line="276" w:lineRule="auto"/>
      </w:pPr>
      <w:r>
        <w:rPr>
          <w:color w:val="334155"/>
          <w:sz w:val="19"/>
        </w:rPr>
        <w:t>residential areas of Killingworth and Barnsley.</w:t>
      </w:r>
    </w:p>
    <w:p>
      <w:pPr>
        <w:spacing w:before="40" w:after="80" w:line="276" w:lineRule="auto"/>
      </w:pPr>
      <w:r>
        <w:rPr>
          <w:color w:val="334155"/>
          <w:sz w:val="19"/>
        </w:rPr>
        <w:t>Accessible topography, established road</w:t>
      </w:r>
    </w:p>
    <w:p>
      <w:pPr>
        <w:spacing w:before="40" w:after="80" w:line="276" w:lineRule="auto"/>
      </w:pPr>
      <w:r>
        <w:rPr>
          <w:color w:val="334155"/>
          <w:sz w:val="19"/>
        </w:rPr>
        <w:t>connections via Wakefield Road and The Broadway,</w:t>
      </w:r>
    </w:p>
    <w:p>
      <w:pPr>
        <w:spacing w:before="40" w:after="80" w:line="276" w:lineRule="auto"/>
      </w:pPr>
      <w:r>
        <w:rPr>
          <w:color w:val="334155"/>
          <w:sz w:val="19"/>
        </w:rPr>
        <w:t>and a direct interface with environmentally</w:t>
      </w:r>
    </w:p>
    <w:p>
      <w:pPr>
        <w:spacing w:before="40" w:after="80" w:line="276" w:lineRule="auto"/>
      </w:pPr>
      <w:r>
        <w:rPr>
          <w:color w:val="334155"/>
          <w:sz w:val="19"/>
        </w:rPr>
        <w:t>constrained areas and biodiversity corridors to the</w:t>
      </w:r>
    </w:p>
    <w:p>
      <w:pPr>
        <w:spacing w:before="40" w:after="80" w:line="276" w:lineRule="auto"/>
      </w:pPr>
      <w:r>
        <w:rPr>
          <w:color w:val="334155"/>
          <w:sz w:val="19"/>
        </w:rPr>
        <w:t>south and east define its place-based setting.</w:t>
      </w:r>
    </w:p>
    <w:p>
      <w:pPr>
        <w:spacing w:before="40" w:after="80" w:line="276" w:lineRule="auto"/>
      </w:pPr>
      <w:r>
        <w:rPr>
          <w:color w:val="334155"/>
          <w:sz w:val="19"/>
        </w:rPr>
        <w:t>Its proximity to existing communities and the</w:t>
      </w:r>
    </w:p>
    <w:p>
      <w:pPr>
        <w:spacing w:before="40" w:after="80" w:line="276" w:lineRule="auto"/>
      </w:pPr>
      <w:r>
        <w:rPr>
          <w:color w:val="334155"/>
          <w:sz w:val="19"/>
        </w:rPr>
        <w:t>prevalence of previously disturbed land from</w:t>
      </w:r>
    </w:p>
    <w:p>
      <w:pPr>
        <w:spacing w:before="40" w:after="80" w:line="276" w:lineRule="auto"/>
      </w:pPr>
      <w:r>
        <w:rPr>
          <w:color w:val="334155"/>
          <w:sz w:val="19"/>
        </w:rPr>
        <w:t>former mining operations position the sub-precinct</w:t>
      </w:r>
    </w:p>
    <w:p>
      <w:pPr>
        <w:spacing w:before="40" w:after="80" w:line="276" w:lineRule="auto"/>
      </w:pPr>
      <w:r>
        <w:rPr>
          <w:color w:val="334155"/>
          <w:sz w:val="19"/>
        </w:rPr>
        <w:t>as a strong candidate for early activation. These</w:t>
      </w:r>
    </w:p>
    <w:p>
      <w:pPr>
        <w:spacing w:before="40" w:after="80" w:line="276" w:lineRule="auto"/>
      </w:pPr>
      <w:r>
        <w:rPr>
          <w:color w:val="334155"/>
          <w:sz w:val="19"/>
        </w:rPr>
        <w:t>attributes provide a practical platform for short-</w:t>
      </w:r>
    </w:p>
    <w:p>
      <w:pPr>
        <w:spacing w:before="40" w:after="80" w:line="276" w:lineRule="auto"/>
      </w:pPr>
      <w:r>
        <w:rPr>
          <w:color w:val="334155"/>
          <w:sz w:val="19"/>
        </w:rPr>
        <w:t>term development opportunities, aligned with</w:t>
      </w:r>
    </w:p>
    <w:p>
      <w:pPr>
        <w:spacing w:before="40" w:after="80" w:line="276" w:lineRule="auto"/>
      </w:pPr>
      <w:r>
        <w:rPr>
          <w:color w:val="334155"/>
          <w:sz w:val="19"/>
        </w:rPr>
        <w:t>rehabilitation outcomes and sequenced provision of</w:t>
      </w:r>
    </w:p>
    <w:p>
      <w:pPr>
        <w:spacing w:before="40" w:after="80" w:line="276" w:lineRule="auto"/>
      </w:pPr>
      <w:r>
        <w:rPr>
          <w:color w:val="334155"/>
          <w:sz w:val="19"/>
        </w:rPr>
        <w:t>servicing.</w:t>
      </w:r>
    </w:p>
    <w:p>
      <w:pPr>
        <w:spacing w:before="40" w:after="80" w:line="276" w:lineRule="auto"/>
      </w:pPr>
      <w:r>
        <w:rPr>
          <w:color w:val="334155"/>
          <w:sz w:val="19"/>
        </w:rPr>
        <w:t>Key opportunities</w:t>
      </w:r>
    </w:p>
    <w:p>
      <w:pPr>
        <w:spacing w:before="40" w:after="80" w:line="276" w:lineRule="auto"/>
      </w:pPr>
      <w:r>
        <w:rPr>
          <w:color w:val="334155"/>
          <w:sz w:val="19"/>
        </w:rPr>
        <w:t>The following attributes shape the sub-precinct’s</w:t>
      </w:r>
    </w:p>
    <w:p>
      <w:pPr>
        <w:spacing w:before="40" w:after="80" w:line="276" w:lineRule="auto"/>
      </w:pPr>
      <w:r>
        <w:rPr>
          <w:color w:val="334155"/>
          <w:sz w:val="19"/>
        </w:rPr>
        <w:t>development context and inform an opportunity-led</w:t>
      </w:r>
    </w:p>
    <w:p>
      <w:pPr>
        <w:spacing w:before="40" w:after="80" w:line="276" w:lineRule="auto"/>
      </w:pPr>
      <w:r>
        <w:rPr>
          <w:color w:val="334155"/>
          <w:sz w:val="19"/>
        </w:rPr>
        <w:t>planning response:</w:t>
      </w:r>
    </w:p>
    <w:p>
      <w:pPr>
        <w:spacing w:before="40" w:after="80" w:line="276" w:lineRule="auto"/>
      </w:pPr>
      <w:r>
        <w:rPr>
          <w:color w:val="334155"/>
          <w:sz w:val="19"/>
        </w:rPr>
        <w:t>•</w:t>
      </w:r>
    </w:p>
    <w:p>
      <w:pPr>
        <w:spacing w:before="40" w:after="80" w:line="276" w:lineRule="auto"/>
      </w:pPr>
      <w:r>
        <w:rPr>
          <w:color w:val="334155"/>
          <w:sz w:val="19"/>
        </w:rPr>
        <w:t>Compatible community interface – Interface</w:t>
      </w:r>
    </w:p>
    <w:p>
      <w:pPr>
        <w:spacing w:before="40" w:after="80" w:line="276" w:lineRule="auto"/>
      </w:pPr>
      <w:r>
        <w:rPr>
          <w:color w:val="334155"/>
          <w:sz w:val="19"/>
        </w:rPr>
        <w:t>with established residential areas of</w:t>
      </w:r>
    </w:p>
    <w:p>
      <w:pPr>
        <w:spacing w:before="40" w:after="80" w:line="276" w:lineRule="auto"/>
      </w:pPr>
      <w:r>
        <w:rPr>
          <w:color w:val="334155"/>
          <w:sz w:val="19"/>
        </w:rPr>
        <w:t>Killingworth and Barnsley is managed through</w:t>
      </w:r>
    </w:p>
    <w:p>
      <w:pPr>
        <w:spacing w:before="40" w:after="80" w:line="276" w:lineRule="auto"/>
      </w:pPr>
      <w:r>
        <w:rPr>
          <w:color w:val="334155"/>
          <w:sz w:val="19"/>
        </w:rPr>
        <w:t>appropriate buffers, setbacks and acoustic</w:t>
      </w:r>
    </w:p>
    <w:p>
      <w:pPr>
        <w:spacing w:before="40" w:after="80" w:line="276" w:lineRule="auto"/>
      </w:pPr>
      <w:r>
        <w:rPr>
          <w:color w:val="334155"/>
          <w:sz w:val="19"/>
        </w:rPr>
        <w:t>treatments to make sure land use compatibility</w:t>
      </w:r>
    </w:p>
    <w:p>
      <w:pPr>
        <w:spacing w:before="40" w:after="80" w:line="276" w:lineRule="auto"/>
      </w:pPr>
      <w:r>
        <w:rPr>
          <w:color w:val="334155"/>
          <w:sz w:val="19"/>
        </w:rPr>
        <w:t>and protect amenity.</w:t>
      </w:r>
    </w:p>
    <w:p>
      <w:pPr>
        <w:spacing w:before="40" w:after="80" w:line="276" w:lineRule="auto"/>
      </w:pPr>
      <w:r>
        <w:rPr>
          <w:color w:val="334155"/>
          <w:sz w:val="19"/>
        </w:rPr>
        <w:t>•</w:t>
      </w:r>
    </w:p>
    <w:p>
      <w:pPr>
        <w:spacing w:before="40" w:after="80" w:line="276" w:lineRule="auto"/>
      </w:pPr>
      <w:r>
        <w:rPr>
          <w:color w:val="334155"/>
          <w:sz w:val="19"/>
        </w:rPr>
        <w:t>Efficient access and movement – Accessible</w:t>
      </w:r>
    </w:p>
    <w:p>
      <w:pPr>
        <w:spacing w:before="40" w:after="80" w:line="276" w:lineRule="auto"/>
      </w:pPr>
      <w:r>
        <w:rPr>
          <w:color w:val="334155"/>
          <w:sz w:val="19"/>
        </w:rPr>
        <w:t>topography and established connections</w:t>
      </w:r>
    </w:p>
    <w:p>
      <w:pPr>
        <w:spacing w:before="40" w:after="80" w:line="276" w:lineRule="auto"/>
      </w:pPr>
      <w:r>
        <w:rPr>
          <w:color w:val="334155"/>
          <w:sz w:val="19"/>
        </w:rPr>
        <w:t>through Wakefield Road and The Broadway</w:t>
      </w:r>
    </w:p>
    <w:p>
      <w:pPr>
        <w:spacing w:before="40" w:after="80" w:line="276" w:lineRule="auto"/>
      </w:pPr>
      <w:r>
        <w:rPr>
          <w:color w:val="334155"/>
          <w:sz w:val="19"/>
        </w:rPr>
        <w:t>enable efficient site access, with heavy vehicle</w:t>
      </w:r>
    </w:p>
    <w:p>
      <w:pPr>
        <w:spacing w:before="40" w:after="80" w:line="276" w:lineRule="auto"/>
      </w:pPr>
      <w:r>
        <w:rPr>
          <w:color w:val="334155"/>
          <w:sz w:val="19"/>
        </w:rPr>
        <w:t>routing strategy that directs freight to approved</w:t>
      </w:r>
    </w:p>
    <w:p>
      <w:pPr>
        <w:spacing w:before="40" w:after="80" w:line="276" w:lineRule="auto"/>
      </w:pPr>
      <w:r>
        <w:rPr>
          <w:color w:val="334155"/>
          <w:sz w:val="19"/>
        </w:rPr>
        <w:t>routes and reinforces the sub-precinct’s</w:t>
      </w:r>
    </w:p>
    <w:p>
      <w:pPr>
        <w:spacing w:before="40" w:after="80" w:line="276" w:lineRule="auto"/>
      </w:pPr>
      <w:r>
        <w:rPr>
          <w:color w:val="334155"/>
          <w:sz w:val="19"/>
        </w:rPr>
        <w:t>logistics advantages.</w:t>
      </w:r>
    </w:p>
    <w:p>
      <w:pPr>
        <w:spacing w:before="40" w:after="80" w:line="276" w:lineRule="auto"/>
      </w:pPr>
      <w:r>
        <w:rPr>
          <w:color w:val="334155"/>
          <w:sz w:val="19"/>
        </w:rPr>
        <w:t>•</w:t>
      </w:r>
    </w:p>
    <w:p>
      <w:pPr>
        <w:spacing w:before="40" w:after="80" w:line="276" w:lineRule="auto"/>
      </w:pPr>
      <w:r>
        <w:rPr>
          <w:color w:val="334155"/>
          <w:sz w:val="19"/>
        </w:rPr>
        <w:t>Energy-enabled employment opportunity –</w:t>
      </w:r>
    </w:p>
    <w:p>
      <w:pPr>
        <w:spacing w:before="40" w:after="80" w:line="276" w:lineRule="auto"/>
      </w:pPr>
      <w:r>
        <w:rPr>
          <w:color w:val="334155"/>
          <w:sz w:val="19"/>
        </w:rPr>
        <w:t>Proximity to the Transgrid substation positions</w:t>
      </w:r>
    </w:p>
    <w:p>
      <w:pPr>
        <w:spacing w:before="40" w:after="80" w:line="276" w:lineRule="auto"/>
      </w:pPr>
      <w:r>
        <w:rPr>
          <w:color w:val="334155"/>
          <w:sz w:val="19"/>
        </w:rPr>
        <w:t>Killingworth to attract energy-intensive and</w:t>
      </w:r>
    </w:p>
    <w:p>
      <w:pPr>
        <w:spacing w:before="40" w:after="80" w:line="276" w:lineRule="auto"/>
      </w:pPr>
      <w:r>
        <w:rPr>
          <w:color w:val="334155"/>
          <w:sz w:val="19"/>
        </w:rPr>
        <w:t>data-driven industries seeking reliable grid</w:t>
      </w:r>
    </w:p>
    <w:p>
      <w:pPr>
        <w:spacing w:before="40" w:after="80" w:line="276" w:lineRule="auto"/>
      </w:pPr>
      <w:r>
        <w:rPr>
          <w:color w:val="334155"/>
          <w:sz w:val="19"/>
        </w:rPr>
        <w:t>access, supporting the Precinct’s role in the</w:t>
      </w:r>
    </w:p>
    <w:p>
      <w:pPr>
        <w:spacing w:before="40" w:after="80" w:line="276" w:lineRule="auto"/>
      </w:pPr>
      <w:r>
        <w:rPr>
          <w:color w:val="334155"/>
          <w:sz w:val="19"/>
        </w:rPr>
        <w:t>Hunter’s energy and digital economy</w:t>
      </w:r>
    </w:p>
    <w:p>
      <w:pPr>
        <w:spacing w:before="40" w:after="80" w:line="276" w:lineRule="auto"/>
      </w:pPr>
      <w:r>
        <w:rPr>
          <w:color w:val="334155"/>
          <w:sz w:val="19"/>
        </w:rPr>
        <w:t>transformation.</w:t>
      </w:r>
    </w:p>
    <w:p>
      <w:pPr>
        <w:spacing w:before="40" w:after="80" w:line="276" w:lineRule="auto"/>
      </w:pPr>
      <w:r>
        <w:rPr>
          <w:color w:val="334155"/>
          <w:sz w:val="19"/>
        </w:rPr>
        <w:t>•</w:t>
      </w:r>
    </w:p>
    <w:p>
      <w:pPr>
        <w:spacing w:before="40" w:after="80" w:line="276" w:lineRule="auto"/>
      </w:pPr>
      <w:r>
        <w:rPr>
          <w:color w:val="334155"/>
          <w:sz w:val="19"/>
        </w:rPr>
        <w:t>Local jobs – The sub-precinct’s location</w:t>
      </w:r>
    </w:p>
    <w:p>
      <w:pPr>
        <w:spacing w:before="40" w:after="80" w:line="276" w:lineRule="auto"/>
      </w:pPr>
      <w:r>
        <w:rPr>
          <w:color w:val="334155"/>
          <w:sz w:val="19"/>
        </w:rPr>
        <w:t>adjoining established communities provides for</w:t>
      </w:r>
    </w:p>
    <w:p>
      <w:pPr>
        <w:spacing w:before="40" w:after="80" w:line="276" w:lineRule="auto"/>
      </w:pPr>
      <w:r>
        <w:rPr>
          <w:color w:val="334155"/>
          <w:sz w:val="19"/>
        </w:rPr>
        <w:t>accessible local employment that supports</w:t>
      </w:r>
    </w:p>
    <w:p>
      <w:pPr>
        <w:spacing w:before="40" w:after="80" w:line="276" w:lineRule="auto"/>
      </w:pPr>
      <w:r>
        <w:rPr>
          <w:color w:val="334155"/>
          <w:sz w:val="19"/>
        </w:rPr>
        <w:t>workforce participation and liveability across the</w:t>
      </w:r>
    </w:p>
    <w:p>
      <w:pPr>
        <w:spacing w:before="40" w:after="80" w:line="276" w:lineRule="auto"/>
      </w:pPr>
      <w:r>
        <w:rPr>
          <w:color w:val="334155"/>
          <w:sz w:val="19"/>
        </w:rPr>
        <w:t>surrounding area.</w:t>
      </w:r>
    </w:p>
    <w:p>
      <w:pPr>
        <w:spacing w:before="40" w:after="80" w:line="276" w:lineRule="auto"/>
      </w:pPr>
      <w:r>
        <w:rPr>
          <w:color w:val="334155"/>
          <w:sz w:val="19"/>
        </w:rPr>
        <w:t>•</w:t>
      </w:r>
    </w:p>
    <w:p>
      <w:pPr>
        <w:spacing w:before="40" w:after="80" w:line="276" w:lineRule="auto"/>
      </w:pPr>
      <w:r>
        <w:rPr>
          <w:color w:val="334155"/>
          <w:sz w:val="19"/>
        </w:rPr>
        <w:t>Integration of environmental values – Interfaces</w:t>
      </w:r>
    </w:p>
    <w:p>
      <w:pPr>
        <w:spacing w:before="40" w:after="80" w:line="276" w:lineRule="auto"/>
      </w:pPr>
      <w:r>
        <w:rPr>
          <w:color w:val="334155"/>
          <w:sz w:val="19"/>
        </w:rPr>
        <w:t>with environmentally constrained areas and</w:t>
      </w:r>
    </w:p>
    <w:p>
      <w:pPr>
        <w:spacing w:before="40" w:after="80" w:line="276" w:lineRule="auto"/>
      </w:pPr>
      <w:r>
        <w:rPr>
          <w:color w:val="334155"/>
          <w:sz w:val="19"/>
        </w:rPr>
        <w:t>biodiversity corridors inform a considered land</w:t>
      </w:r>
    </w:p>
    <w:p>
      <w:pPr>
        <w:spacing w:before="40" w:after="80" w:line="276" w:lineRule="auto"/>
      </w:pPr>
      <w:r>
        <w:rPr>
          <w:color w:val="334155"/>
          <w:sz w:val="19"/>
        </w:rPr>
        <w:t>use pattern that retains ecological connectivity</w:t>
      </w:r>
    </w:p>
    <w:p>
      <w:pPr>
        <w:spacing w:before="40" w:after="80" w:line="276" w:lineRule="auto"/>
      </w:pPr>
      <w:r>
        <w:rPr>
          <w:color w:val="334155"/>
          <w:sz w:val="19"/>
        </w:rPr>
        <w:t>while enabling productive use of previously</w:t>
      </w:r>
    </w:p>
    <w:p>
      <w:pPr>
        <w:spacing w:before="40" w:after="80" w:line="276" w:lineRule="auto"/>
      </w:pPr>
      <w:r>
        <w:rPr>
          <w:color w:val="334155"/>
          <w:sz w:val="19"/>
        </w:rPr>
        <w:t>disturbed land.</w:t>
      </w:r>
    </w:p>
    <w:p>
      <w:pPr>
        <w:spacing w:before="40" w:after="80" w:line="276" w:lineRule="auto"/>
      </w:pPr>
      <w:r>
        <w:rPr>
          <w:color w:val="334155"/>
          <w:sz w:val="19"/>
        </w:rPr>
        <w:t>•</w:t>
      </w:r>
    </w:p>
    <w:p>
      <w:pPr>
        <w:spacing w:before="40" w:after="80" w:line="276" w:lineRule="auto"/>
      </w:pPr>
      <w:r>
        <w:rPr>
          <w:color w:val="334155"/>
          <w:sz w:val="19"/>
        </w:rPr>
        <w:t>Evidence-based sequencing – Geotechnical,</w:t>
      </w:r>
    </w:p>
    <w:p>
      <w:pPr>
        <w:spacing w:before="40" w:after="80" w:line="276" w:lineRule="auto"/>
      </w:pPr>
      <w:r>
        <w:rPr>
          <w:color w:val="334155"/>
          <w:sz w:val="19"/>
        </w:rPr>
        <w:t>water quality, utilities and access investigations</w:t>
      </w:r>
    </w:p>
    <w:p>
      <w:pPr>
        <w:spacing w:before="40" w:after="80" w:line="276" w:lineRule="auto"/>
      </w:pPr>
      <w:r>
        <w:rPr>
          <w:color w:val="334155"/>
          <w:sz w:val="19"/>
        </w:rPr>
        <w:t>will inform the staged delivery of development.</w:t>
      </w:r>
    </w:p>
    <w:p>
      <w:pPr>
        <w:spacing w:before="40" w:after="80" w:line="276" w:lineRule="auto"/>
      </w:pPr>
      <w:r>
        <w:rPr>
          <w:color w:val="334155"/>
          <w:sz w:val="19"/>
        </w:rPr>
        <w:t>Figure 15: Indicative light industrial development</w:t>
      </w:r>
    </w:p>
    <w:p>
      <w:pPr>
        <w:spacing w:before="40" w:after="80" w:line="276" w:lineRule="auto"/>
      </w:pPr>
      <w:r>
        <w:rPr>
          <w:color w:val="334155"/>
          <w:sz w:val="19"/>
        </w:rPr>
        <w:t>concept</w:t>
      </w:r>
    </w:p>
    <w:p>
      <w:pPr>
        <w:spacing w:before="40" w:after="80" w:line="276" w:lineRule="auto"/>
      </w:pPr>
      <w:r>
        <w:rPr>
          <w:color w:val="334155"/>
          <w:sz w:val="19"/>
        </w:rPr>
        <w:t>Figure 16: Indicative light industrial layout</w:t>
      </w:r>
    </w:p>
    <w:p>
      <w:pPr>
        <w:spacing w:before="40" w:after="80" w:line="276" w:lineRule="auto"/>
      </w:pPr>
      <w:r>
        <w:rPr>
          <w:color w:val="334155"/>
          <w:sz w:val="19"/>
        </w:rPr>
        <w:t>development concept</w:t>
      </w:r>
    </w:p>
    <w:p>
      <w:pPr>
        <w:spacing w:before="40" w:after="80" w:line="276" w:lineRule="auto"/>
      </w:pPr>
      <w:r>
        <w:rPr>
          <w:color w:val="334155"/>
          <w:sz w:val="19"/>
        </w:rPr>
        <w:t>21</w:t>
      </w:r>
    </w:p>
    <w:p>
      <w:pPr>
        <w:spacing w:before="40" w:after="80" w:line="276" w:lineRule="auto"/>
      </w:pPr>
      <w:r>
        <w:rPr>
          <w:color w:val="334155"/>
          <w:sz w:val="19"/>
        </w:rPr>
        <w:t>4  Structure plan and sub-precinct framework</w:t>
      </w:r>
    </w:p>
    <w:p>
      <w:pPr>
        <w:pStyle w:val="Heading2"/>
        <w:keepNext/>
        <w:spacing w:before="240" w:after="80"/>
      </w:pPr>
      <w:r>
        <w:rPr>
          <w:b/>
          <w:color w:val="0284C7"/>
        </w:rPr>
        <w:t>Page 22</w:t>
      </w:r>
    </w:p>
    <w:p>
      <w:pPr>
        <w:spacing w:before="40" w:after="80" w:line="276" w:lineRule="auto"/>
      </w:pPr>
      <w:r>
        <w:rPr>
          <w:color w:val="334155"/>
          <w:sz w:val="19"/>
        </w:rPr>
        <w:t>Key opportunities</w:t>
      </w:r>
    </w:p>
    <w:p>
      <w:pPr>
        <w:spacing w:before="40" w:after="80" w:line="276" w:lineRule="auto"/>
      </w:pPr>
      <w:r>
        <w:rPr>
          <w:color w:val="334155"/>
          <w:sz w:val="19"/>
        </w:rPr>
        <w:t>The following attributes shape the sub-precinct’s</w:t>
      </w:r>
    </w:p>
    <w:p>
      <w:pPr>
        <w:spacing w:before="40" w:after="80" w:line="276" w:lineRule="auto"/>
      </w:pPr>
      <w:r>
        <w:rPr>
          <w:color w:val="334155"/>
          <w:sz w:val="19"/>
        </w:rPr>
        <w:t>development context and inform an opportunity-</w:t>
      </w:r>
    </w:p>
    <w:p>
      <w:pPr>
        <w:spacing w:before="40" w:after="80" w:line="276" w:lineRule="auto"/>
      </w:pPr>
      <w:r>
        <w:rPr>
          <w:color w:val="334155"/>
          <w:sz w:val="19"/>
        </w:rPr>
        <w:t>led, planning response:</w:t>
      </w:r>
    </w:p>
    <w:p>
      <w:pPr>
        <w:spacing w:before="40" w:after="80" w:line="276" w:lineRule="auto"/>
      </w:pPr>
      <w:r>
        <w:rPr>
          <w:color w:val="334155"/>
          <w:sz w:val="19"/>
        </w:rPr>
        <w:t>•</w:t>
      </w:r>
    </w:p>
    <w:p>
      <w:pPr>
        <w:spacing w:before="40" w:after="80" w:line="276" w:lineRule="auto"/>
      </w:pPr>
      <w:r>
        <w:rPr>
          <w:color w:val="334155"/>
          <w:sz w:val="19"/>
        </w:rPr>
        <w:t>A landscape-led destination – West Lake will</w:t>
      </w:r>
    </w:p>
    <w:p>
      <w:pPr>
        <w:spacing w:before="40" w:after="80" w:line="276" w:lineRule="auto"/>
      </w:pPr>
      <w:r>
        <w:rPr>
          <w:color w:val="334155"/>
          <w:sz w:val="19"/>
        </w:rPr>
        <w:t>evolve as the Precinct’s landscape, community</w:t>
      </w:r>
    </w:p>
    <w:p>
      <w:pPr>
        <w:spacing w:before="40" w:after="80" w:line="276" w:lineRule="auto"/>
      </w:pPr>
      <w:r>
        <w:rPr>
          <w:color w:val="334155"/>
          <w:sz w:val="19"/>
        </w:rPr>
        <w:t>and visitor heart, where rehabilitated land, water</w:t>
      </w:r>
    </w:p>
    <w:p>
      <w:pPr>
        <w:spacing w:before="40" w:after="80" w:line="276" w:lineRule="auto"/>
      </w:pPr>
      <w:r>
        <w:rPr>
          <w:color w:val="334155"/>
          <w:sz w:val="19"/>
        </w:rPr>
        <w:t>and bushland frame a curated employment,</w:t>
      </w:r>
    </w:p>
    <w:p>
      <w:pPr>
        <w:spacing w:before="40" w:after="80" w:line="276" w:lineRule="auto"/>
      </w:pPr>
      <w:r>
        <w:rPr>
          <w:color w:val="334155"/>
          <w:sz w:val="19"/>
        </w:rPr>
        <w:t>tourism, recreation and interpretation concept</w:t>
      </w:r>
    </w:p>
    <w:p>
      <w:pPr>
        <w:spacing w:before="40" w:after="80" w:line="276" w:lineRule="auto"/>
      </w:pPr>
      <w:r>
        <w:rPr>
          <w:color w:val="334155"/>
          <w:sz w:val="19"/>
        </w:rPr>
        <w:t>that supports economic diversification and long-</w:t>
      </w:r>
    </w:p>
    <w:p>
      <w:pPr>
        <w:spacing w:before="40" w:after="80" w:line="276" w:lineRule="auto"/>
      </w:pPr>
      <w:r>
        <w:rPr>
          <w:color w:val="334155"/>
          <w:sz w:val="19"/>
        </w:rPr>
        <w:t>term adaptability.</w:t>
      </w:r>
    </w:p>
    <w:p>
      <w:pPr>
        <w:spacing w:before="40" w:after="80" w:line="276" w:lineRule="auto"/>
      </w:pPr>
      <w:r>
        <w:rPr>
          <w:color w:val="334155"/>
          <w:sz w:val="19"/>
        </w:rPr>
        <w:t>•</w:t>
      </w:r>
    </w:p>
    <w:p>
      <w:pPr>
        <w:spacing w:before="40" w:after="80" w:line="276" w:lineRule="auto"/>
      </w:pPr>
      <w:r>
        <w:rPr>
          <w:color w:val="334155"/>
          <w:sz w:val="19"/>
        </w:rPr>
        <w:t>Signature landscape setting and visitor</w:t>
      </w:r>
    </w:p>
    <w:p>
      <w:pPr>
        <w:spacing w:before="40" w:after="80" w:line="276" w:lineRule="auto"/>
      </w:pPr>
      <w:r>
        <w:rPr>
          <w:color w:val="334155"/>
          <w:sz w:val="19"/>
        </w:rPr>
        <w:t>experience – The lake and distinctive landscape</w:t>
      </w:r>
    </w:p>
    <w:p>
      <w:pPr>
        <w:spacing w:before="40" w:after="80" w:line="276" w:lineRule="auto"/>
      </w:pPr>
      <w:r>
        <w:rPr>
          <w:color w:val="334155"/>
          <w:sz w:val="19"/>
        </w:rPr>
        <w:t>identity that supports nature-based tourism,</w:t>
      </w:r>
    </w:p>
    <w:p>
      <w:pPr>
        <w:spacing w:before="40" w:after="80" w:line="276" w:lineRule="auto"/>
      </w:pPr>
      <w:r>
        <w:rPr>
          <w:color w:val="334155"/>
          <w:sz w:val="19"/>
        </w:rPr>
        <w:t>recreation and visitor infrastructure, including</w:t>
      </w:r>
    </w:p>
    <w:p>
      <w:pPr>
        <w:spacing w:before="40" w:after="80" w:line="276" w:lineRule="auto"/>
      </w:pPr>
      <w:r>
        <w:rPr>
          <w:color w:val="334155"/>
          <w:sz w:val="19"/>
        </w:rPr>
        <w:t>walking and cycling trails, lookouts, water-based</w:t>
      </w:r>
    </w:p>
    <w:p>
      <w:pPr>
        <w:spacing w:before="40" w:after="80" w:line="276" w:lineRule="auto"/>
      </w:pPr>
      <w:r>
        <w:rPr>
          <w:color w:val="334155"/>
          <w:sz w:val="19"/>
        </w:rPr>
        <w:t>facilities and heritage interpretation.</w:t>
      </w:r>
    </w:p>
    <w:p>
      <w:pPr>
        <w:spacing w:before="40" w:after="80" w:line="276" w:lineRule="auto"/>
      </w:pPr>
      <w:r>
        <w:rPr>
          <w:color w:val="334155"/>
          <w:sz w:val="19"/>
        </w:rPr>
        <w:t>•</w:t>
      </w:r>
    </w:p>
    <w:p>
      <w:pPr>
        <w:spacing w:before="40" w:after="80" w:line="276" w:lineRule="auto"/>
      </w:pPr>
      <w:r>
        <w:rPr>
          <w:color w:val="334155"/>
          <w:sz w:val="19"/>
        </w:rPr>
        <w:t>Integrated landscape and environmental values</w:t>
      </w:r>
    </w:p>
    <w:p>
      <w:pPr>
        <w:spacing w:before="40" w:after="80" w:line="276" w:lineRule="auto"/>
      </w:pPr>
      <w:r>
        <w:rPr>
          <w:color w:val="334155"/>
          <w:sz w:val="19"/>
        </w:rPr>
        <w:t>– Rehabilitation areas, habitat corridors and</w:t>
      </w:r>
    </w:p>
    <w:p>
      <w:pPr>
        <w:spacing w:before="40" w:after="80" w:line="276" w:lineRule="auto"/>
      </w:pPr>
      <w:r>
        <w:rPr>
          <w:color w:val="334155"/>
          <w:sz w:val="19"/>
        </w:rPr>
        <w:t>interfaces with rural landscapes and</w:t>
      </w:r>
    </w:p>
    <w:p>
      <w:pPr>
        <w:spacing w:before="40" w:after="80" w:line="276" w:lineRule="auto"/>
      </w:pPr>
      <w:r>
        <w:rPr>
          <w:color w:val="334155"/>
          <w:sz w:val="19"/>
        </w:rPr>
        <w:t>environmentally constrained areas inform a</w:t>
      </w:r>
    </w:p>
    <w:p>
      <w:pPr>
        <w:spacing w:before="40" w:after="80" w:line="276" w:lineRule="auto"/>
      </w:pPr>
      <w:r>
        <w:rPr>
          <w:color w:val="334155"/>
          <w:sz w:val="19"/>
        </w:rPr>
        <w:t>considered land use pattern, with buffer zones</w:t>
      </w:r>
    </w:p>
    <w:p>
      <w:pPr>
        <w:spacing w:before="40" w:after="80" w:line="276" w:lineRule="auto"/>
      </w:pPr>
      <w:r>
        <w:rPr>
          <w:color w:val="334155"/>
          <w:sz w:val="19"/>
        </w:rPr>
        <w:t>and edge treatments that protect surrounding</w:t>
      </w:r>
    </w:p>
    <w:p>
      <w:pPr>
        <w:spacing w:before="40" w:after="80" w:line="276" w:lineRule="auto"/>
      </w:pPr>
      <w:r>
        <w:rPr>
          <w:color w:val="334155"/>
          <w:sz w:val="19"/>
        </w:rPr>
        <w:t>values and reinforce ecological connectivity</w:t>
      </w:r>
    </w:p>
    <w:p>
      <w:pPr>
        <w:spacing w:before="40" w:after="80" w:line="276" w:lineRule="auto"/>
      </w:pPr>
      <w:r>
        <w:rPr>
          <w:color w:val="334155"/>
          <w:sz w:val="19"/>
        </w:rPr>
        <w:t>across the Precinct.</w:t>
      </w:r>
    </w:p>
    <w:p>
      <w:pPr>
        <w:spacing w:before="40" w:after="80" w:line="276" w:lineRule="auto"/>
      </w:pPr>
      <w:r>
        <w:rPr>
          <w:color w:val="334155"/>
          <w:sz w:val="19"/>
        </w:rPr>
        <w:t>•</w:t>
      </w:r>
    </w:p>
    <w:p>
      <w:pPr>
        <w:spacing w:before="40" w:after="80" w:line="276" w:lineRule="auto"/>
      </w:pPr>
      <w:r>
        <w:rPr>
          <w:color w:val="334155"/>
          <w:sz w:val="19"/>
        </w:rPr>
        <w:t>Evidence-based sequencing – Geotechnical,</w:t>
      </w:r>
    </w:p>
    <w:p>
      <w:pPr>
        <w:spacing w:before="40" w:after="80" w:line="276" w:lineRule="auto"/>
      </w:pPr>
      <w:r>
        <w:rPr>
          <w:color w:val="334155"/>
          <w:sz w:val="19"/>
        </w:rPr>
        <w:t>water quality, utilities and access investigations</w:t>
      </w:r>
    </w:p>
    <w:p>
      <w:pPr>
        <w:spacing w:before="40" w:after="80" w:line="276" w:lineRule="auto"/>
      </w:pPr>
      <w:r>
        <w:rPr>
          <w:color w:val="334155"/>
          <w:sz w:val="19"/>
        </w:rPr>
        <w:t>will inform the staged delivery of development.</w:t>
      </w:r>
    </w:p>
    <w:p>
      <w:pPr>
        <w:spacing w:before="40" w:after="80" w:line="276" w:lineRule="auto"/>
      </w:pPr>
      <w:r>
        <w:rPr>
          <w:color w:val="334155"/>
          <w:sz w:val="19"/>
        </w:rPr>
        <w:t>West Lake</w:t>
      </w:r>
    </w:p>
    <w:p>
      <w:pPr>
        <w:spacing w:before="40" w:after="80" w:line="276" w:lineRule="auto"/>
      </w:pPr>
      <w:r>
        <w:rPr>
          <w:color w:val="334155"/>
          <w:sz w:val="19"/>
        </w:rPr>
        <w:t>Characteristics</w:t>
      </w:r>
    </w:p>
    <w:p>
      <w:pPr>
        <w:spacing w:before="40" w:after="80" w:line="276" w:lineRule="auto"/>
      </w:pPr>
      <w:r>
        <w:rPr>
          <w:color w:val="334155"/>
          <w:sz w:val="19"/>
        </w:rPr>
        <w:t>West Lake sub-precinct occupies the south-</w:t>
      </w:r>
    </w:p>
    <w:p>
      <w:pPr>
        <w:spacing w:before="40" w:after="80" w:line="276" w:lineRule="auto"/>
      </w:pPr>
      <w:r>
        <w:rPr>
          <w:color w:val="334155"/>
          <w:sz w:val="19"/>
        </w:rPr>
        <w:t>western portion of the Precinct and encompasses</w:t>
      </w:r>
    </w:p>
    <w:p>
      <w:pPr>
        <w:spacing w:before="40" w:after="80" w:line="276" w:lineRule="auto"/>
      </w:pPr>
      <w:r>
        <w:rPr>
          <w:color w:val="334155"/>
          <w:sz w:val="19"/>
        </w:rPr>
        <w:t>the former Westside void, now a</w:t>
      </w:r>
    </w:p>
    <w:p>
      <w:pPr>
        <w:spacing w:before="40" w:after="80" w:line="276" w:lineRule="auto"/>
      </w:pPr>
      <w:r>
        <w:rPr>
          <w:color w:val="334155"/>
          <w:sz w:val="19"/>
        </w:rPr>
        <w:t>water-filled lake, together with the surrounding</w:t>
      </w:r>
    </w:p>
    <w:p>
      <w:pPr>
        <w:spacing w:before="40" w:after="80" w:line="276" w:lineRule="auto"/>
      </w:pPr>
      <w:r>
        <w:rPr>
          <w:color w:val="334155"/>
          <w:sz w:val="19"/>
        </w:rPr>
        <w:t>rehabilitation areas. The sub-precinct’s distinctive</w:t>
      </w:r>
    </w:p>
    <w:p>
      <w:pPr>
        <w:spacing w:before="40" w:after="80" w:line="276" w:lineRule="auto"/>
      </w:pPr>
      <w:r>
        <w:rPr>
          <w:color w:val="334155"/>
          <w:sz w:val="19"/>
        </w:rPr>
        <w:t>landscape identity is shaped by the interplay of</w:t>
      </w:r>
    </w:p>
    <w:p>
      <w:pPr>
        <w:spacing w:before="40" w:after="80" w:line="276" w:lineRule="auto"/>
      </w:pPr>
      <w:r>
        <w:rPr>
          <w:color w:val="334155"/>
          <w:sz w:val="19"/>
        </w:rPr>
        <w:t>water, remnant bushland, rehabilitated landforms</w:t>
      </w:r>
    </w:p>
    <w:p>
      <w:pPr>
        <w:spacing w:before="40" w:after="80" w:line="276" w:lineRule="auto"/>
      </w:pPr>
      <w:r>
        <w:rPr>
          <w:color w:val="334155"/>
          <w:sz w:val="19"/>
        </w:rPr>
        <w:t>and elevated topography, with expansive views</w:t>
      </w:r>
    </w:p>
    <w:p>
      <w:pPr>
        <w:spacing w:before="40" w:after="80" w:line="276" w:lineRule="auto"/>
      </w:pPr>
      <w:r>
        <w:rPr>
          <w:color w:val="334155"/>
          <w:sz w:val="19"/>
        </w:rPr>
        <w:t>across the Precinct and towards Lake Macquarie.</w:t>
      </w:r>
    </w:p>
    <w:p>
      <w:pPr>
        <w:spacing w:before="40" w:after="80" w:line="276" w:lineRule="auto"/>
      </w:pPr>
      <w:r>
        <w:rPr>
          <w:color w:val="334155"/>
          <w:sz w:val="19"/>
        </w:rPr>
        <w:t>The lake is a signature landscape asset that</w:t>
      </w:r>
    </w:p>
    <w:p>
      <w:pPr>
        <w:spacing w:before="40" w:after="80" w:line="276" w:lineRule="auto"/>
      </w:pPr>
      <w:r>
        <w:rPr>
          <w:color w:val="334155"/>
          <w:sz w:val="19"/>
        </w:rPr>
        <w:t>anchors a unique sense of place. It provides</w:t>
      </w:r>
    </w:p>
    <w:p>
      <w:pPr>
        <w:spacing w:before="40" w:after="80" w:line="276" w:lineRule="auto"/>
      </w:pPr>
      <w:r>
        <w:rPr>
          <w:color w:val="334155"/>
          <w:sz w:val="19"/>
        </w:rPr>
        <w:t>the foundation for nature-based experiences,</w:t>
      </w:r>
    </w:p>
    <w:p>
      <w:pPr>
        <w:spacing w:before="40" w:after="80" w:line="276" w:lineRule="auto"/>
      </w:pPr>
      <w:r>
        <w:rPr>
          <w:color w:val="334155"/>
          <w:sz w:val="19"/>
        </w:rPr>
        <w:t>recreation and visitor infrastructure that enhance</w:t>
      </w:r>
    </w:p>
    <w:p>
      <w:pPr>
        <w:spacing w:before="40" w:after="80" w:line="276" w:lineRule="auto"/>
      </w:pPr>
      <w:r>
        <w:rPr>
          <w:color w:val="334155"/>
          <w:sz w:val="19"/>
        </w:rPr>
        <w:t>the Precinct’s broader attractiveness as an</w:t>
      </w:r>
    </w:p>
    <w:p>
      <w:pPr>
        <w:spacing w:before="40" w:after="80" w:line="276" w:lineRule="auto"/>
      </w:pPr>
      <w:r>
        <w:rPr>
          <w:color w:val="334155"/>
          <w:sz w:val="19"/>
        </w:rPr>
        <w:t>employment and lifestyle destination. The sub-</w:t>
      </w:r>
    </w:p>
    <w:p>
      <w:pPr>
        <w:spacing w:before="40" w:after="80" w:line="276" w:lineRule="auto"/>
      </w:pPr>
      <w:r>
        <w:rPr>
          <w:color w:val="334155"/>
          <w:sz w:val="19"/>
        </w:rPr>
        <w:t>precinct enables an active waterfront approach</w:t>
      </w:r>
    </w:p>
    <w:p>
      <w:pPr>
        <w:spacing w:before="40" w:after="80" w:line="276" w:lineRule="auto"/>
      </w:pPr>
      <w:r>
        <w:rPr>
          <w:color w:val="334155"/>
          <w:sz w:val="19"/>
        </w:rPr>
        <w:t>to commercial, tourism and recreation around the</w:t>
      </w:r>
    </w:p>
    <w:p>
      <w:pPr>
        <w:spacing w:before="40" w:after="80" w:line="276" w:lineRule="auto"/>
      </w:pPr>
      <w:r>
        <w:rPr>
          <w:color w:val="334155"/>
          <w:sz w:val="19"/>
        </w:rPr>
        <w:t>foreshore, with development carefully integrated</w:t>
      </w:r>
    </w:p>
    <w:p>
      <w:pPr>
        <w:spacing w:before="40" w:after="80" w:line="276" w:lineRule="auto"/>
      </w:pPr>
      <w:r>
        <w:rPr>
          <w:color w:val="334155"/>
          <w:sz w:val="19"/>
        </w:rPr>
        <w:t>to retain and showcase the area’s biodiversity and</w:t>
      </w:r>
    </w:p>
    <w:p>
      <w:pPr>
        <w:spacing w:before="40" w:after="80" w:line="276" w:lineRule="auto"/>
      </w:pPr>
      <w:r>
        <w:rPr>
          <w:color w:val="334155"/>
          <w:sz w:val="19"/>
        </w:rPr>
        <w:t>landscape values.</w:t>
      </w:r>
    </w:p>
    <w:p>
      <w:pPr>
        <w:spacing w:before="40" w:after="80" w:line="276" w:lineRule="auto"/>
      </w:pPr>
      <w:r>
        <w:rPr>
          <w:color w:val="334155"/>
          <w:sz w:val="19"/>
        </w:rPr>
        <w:t>Further investigation areas on the eastern side of</w:t>
      </w:r>
    </w:p>
    <w:p>
      <w:pPr>
        <w:spacing w:before="40" w:after="80" w:line="276" w:lineRule="auto"/>
      </w:pPr>
      <w:r>
        <w:rPr>
          <w:color w:val="334155"/>
          <w:sz w:val="19"/>
        </w:rPr>
        <w:t>the lake offer additional opportunity for low-impact,</w:t>
      </w:r>
    </w:p>
    <w:p>
      <w:pPr>
        <w:spacing w:before="40" w:after="80" w:line="276" w:lineRule="auto"/>
      </w:pPr>
      <w:r>
        <w:rPr>
          <w:color w:val="334155"/>
          <w:sz w:val="19"/>
        </w:rPr>
        <w:t>sensitive development that responds to the desired</w:t>
      </w:r>
    </w:p>
    <w:p>
      <w:pPr>
        <w:spacing w:before="40" w:after="80" w:line="276" w:lineRule="auto"/>
      </w:pPr>
      <w:r>
        <w:rPr>
          <w:color w:val="334155"/>
          <w:sz w:val="19"/>
        </w:rPr>
        <w:t>future character of West Lake and complements its</w:t>
      </w:r>
    </w:p>
    <w:p>
      <w:pPr>
        <w:spacing w:before="40" w:after="80" w:line="276" w:lineRule="auto"/>
      </w:pPr>
      <w:r>
        <w:rPr>
          <w:color w:val="334155"/>
          <w:sz w:val="19"/>
        </w:rPr>
        <w:t>biodiversity and landscape setting.</w:t>
      </w:r>
    </w:p>
    <w:p>
      <w:pPr>
        <w:spacing w:before="40" w:after="80" w:line="276" w:lineRule="auto"/>
      </w:pPr>
      <w:r>
        <w:rPr>
          <w:color w:val="334155"/>
          <w:sz w:val="19"/>
        </w:rPr>
        <w:t>Figure 17: Indicative lakeside development concept</w:t>
      </w:r>
    </w:p>
    <w:p>
      <w:pPr>
        <w:spacing w:before="40" w:after="80" w:line="276" w:lineRule="auto"/>
      </w:pPr>
      <w:r>
        <w:rPr>
          <w:color w:val="334155"/>
          <w:sz w:val="19"/>
        </w:rPr>
        <w:t>22</w:t>
      </w:r>
    </w:p>
    <w:p>
      <w:pPr>
        <w:spacing w:before="40" w:after="80" w:line="276" w:lineRule="auto"/>
      </w:pPr>
      <w:r>
        <w:rPr>
          <w:color w:val="334155"/>
          <w:sz w:val="19"/>
        </w:rPr>
        <w:t>4  Structure plan and sub-precinct framework</w:t>
      </w:r>
    </w:p>
    <w:p>
      <w:pPr>
        <w:pStyle w:val="Heading2"/>
        <w:keepNext/>
        <w:spacing w:before="240" w:after="80"/>
      </w:pPr>
      <w:r>
        <w:rPr>
          <w:b/>
          <w:color w:val="0284C7"/>
        </w:rPr>
        <w:t>Page 23</w:t>
      </w:r>
    </w:p>
    <w:p>
      <w:pPr>
        <w:spacing w:before="40" w:after="80" w:line="276" w:lineRule="auto"/>
      </w:pPr>
      <w:r>
        <w:rPr>
          <w:color w:val="334155"/>
          <w:sz w:val="19"/>
        </w:rPr>
        <w:t>Barnsley West</w:t>
      </w:r>
    </w:p>
    <w:p>
      <w:pPr>
        <w:spacing w:before="40" w:after="80" w:line="276" w:lineRule="auto"/>
      </w:pPr>
      <w:r>
        <w:rPr>
          <w:color w:val="334155"/>
          <w:sz w:val="19"/>
        </w:rPr>
        <w:t>Characteristics</w:t>
      </w:r>
    </w:p>
    <w:p>
      <w:pPr>
        <w:spacing w:before="40" w:after="80" w:line="276" w:lineRule="auto"/>
      </w:pPr>
      <w:r>
        <w:rPr>
          <w:color w:val="334155"/>
          <w:sz w:val="19"/>
        </w:rPr>
        <w:t>Barnsley West sub-precinct is in the north-western</w:t>
      </w:r>
    </w:p>
    <w:p>
      <w:pPr>
        <w:spacing w:before="40" w:after="80" w:line="276" w:lineRule="auto"/>
      </w:pPr>
      <w:r>
        <w:rPr>
          <w:color w:val="334155"/>
          <w:sz w:val="19"/>
        </w:rPr>
        <w:t>portion of the Precinct, comprising separate parcels</w:t>
      </w:r>
    </w:p>
    <w:p>
      <w:pPr>
        <w:spacing w:before="40" w:after="80" w:line="276" w:lineRule="auto"/>
      </w:pPr>
      <w:r>
        <w:rPr>
          <w:color w:val="334155"/>
          <w:sz w:val="19"/>
        </w:rPr>
        <w:t>of land associated with the former Wakefield</w:t>
      </w:r>
    </w:p>
    <w:p>
      <w:pPr>
        <w:spacing w:before="40" w:after="80" w:line="276" w:lineRule="auto"/>
      </w:pPr>
      <w:r>
        <w:rPr>
          <w:color w:val="334155"/>
          <w:sz w:val="19"/>
        </w:rPr>
        <w:t>Colliery. Accessed via Wakefield Road and Charlton</w:t>
      </w:r>
    </w:p>
    <w:p>
      <w:pPr>
        <w:spacing w:before="40" w:after="80" w:line="276" w:lineRule="auto"/>
      </w:pPr>
      <w:r>
        <w:rPr>
          <w:color w:val="334155"/>
          <w:sz w:val="19"/>
        </w:rPr>
        <w:t>Street, the sub-precinct sits within a distinctive</w:t>
      </w:r>
    </w:p>
    <w:p>
      <w:pPr>
        <w:spacing w:before="40" w:after="80" w:line="276" w:lineRule="auto"/>
      </w:pPr>
      <w:r>
        <w:rPr>
          <w:color w:val="334155"/>
          <w:sz w:val="19"/>
        </w:rPr>
        <w:t>landscape setting shaped by its interface with</w:t>
      </w:r>
    </w:p>
    <w:p>
      <w:pPr>
        <w:spacing w:before="40" w:after="80" w:line="276" w:lineRule="auto"/>
      </w:pPr>
      <w:r>
        <w:rPr>
          <w:color w:val="334155"/>
          <w:sz w:val="19"/>
        </w:rPr>
        <w:t>adjoining residential areas, environmentally</w:t>
      </w:r>
    </w:p>
    <w:p>
      <w:pPr>
        <w:spacing w:before="40" w:after="80" w:line="276" w:lineRule="auto"/>
      </w:pPr>
      <w:r>
        <w:rPr>
          <w:color w:val="334155"/>
          <w:sz w:val="19"/>
        </w:rPr>
        <w:t>constrained lands and established transmission</w:t>
      </w:r>
    </w:p>
    <w:p>
      <w:pPr>
        <w:spacing w:before="40" w:after="80" w:line="276" w:lineRule="auto"/>
      </w:pPr>
      <w:r>
        <w:rPr>
          <w:color w:val="334155"/>
          <w:sz w:val="19"/>
        </w:rPr>
        <w:t>infrastructure. High biodiversity land between</w:t>
      </w:r>
    </w:p>
    <w:p>
      <w:pPr>
        <w:spacing w:before="40" w:after="80" w:line="276" w:lineRule="auto"/>
      </w:pPr>
      <w:r>
        <w:rPr>
          <w:color w:val="334155"/>
          <w:sz w:val="19"/>
        </w:rPr>
        <w:t>Barnsley West and the Killingworth sub-precinct</w:t>
      </w:r>
    </w:p>
    <w:p>
      <w:pPr>
        <w:spacing w:before="40" w:after="80" w:line="276" w:lineRule="auto"/>
      </w:pPr>
      <w:r>
        <w:rPr>
          <w:color w:val="334155"/>
          <w:sz w:val="19"/>
        </w:rPr>
        <w:t>reinforces its discrete identity.</w:t>
      </w:r>
    </w:p>
    <w:p>
      <w:pPr>
        <w:spacing w:before="40" w:after="80" w:line="276" w:lineRule="auto"/>
      </w:pPr>
      <w:r>
        <w:rPr>
          <w:color w:val="334155"/>
          <w:sz w:val="19"/>
        </w:rPr>
        <w:t>Key opportunities</w:t>
      </w:r>
    </w:p>
    <w:p>
      <w:pPr>
        <w:spacing w:before="40" w:after="80" w:line="276" w:lineRule="auto"/>
      </w:pPr>
      <w:r>
        <w:rPr>
          <w:color w:val="334155"/>
          <w:sz w:val="19"/>
        </w:rPr>
        <w:t>The following attributes shape the sub-precinct’s</w:t>
      </w:r>
    </w:p>
    <w:p>
      <w:pPr>
        <w:spacing w:before="40" w:after="80" w:line="276" w:lineRule="auto"/>
      </w:pPr>
      <w:r>
        <w:rPr>
          <w:color w:val="334155"/>
          <w:sz w:val="19"/>
        </w:rPr>
        <w:t>development context and inform an opportunity-</w:t>
      </w:r>
    </w:p>
    <w:p>
      <w:pPr>
        <w:spacing w:before="40" w:after="80" w:line="276" w:lineRule="auto"/>
      </w:pPr>
      <w:r>
        <w:rPr>
          <w:color w:val="334155"/>
          <w:sz w:val="19"/>
        </w:rPr>
        <w:t>led, planning response:</w:t>
      </w:r>
    </w:p>
    <w:p>
      <w:pPr>
        <w:spacing w:before="40" w:after="80" w:line="276" w:lineRule="auto"/>
      </w:pPr>
      <w:r>
        <w:rPr>
          <w:color w:val="334155"/>
          <w:sz w:val="19"/>
        </w:rPr>
        <w:t>•</w:t>
      </w:r>
    </w:p>
    <w:p>
      <w:pPr>
        <w:spacing w:before="40" w:after="80" w:line="276" w:lineRule="auto"/>
      </w:pPr>
      <w:r>
        <w:rPr>
          <w:color w:val="334155"/>
          <w:sz w:val="19"/>
        </w:rPr>
        <w:t>Small-scale urban services and light industry</w:t>
      </w:r>
    </w:p>
    <w:p>
      <w:pPr>
        <w:spacing w:before="40" w:after="80" w:line="276" w:lineRule="auto"/>
      </w:pPr>
      <w:r>
        <w:rPr>
          <w:color w:val="334155"/>
          <w:sz w:val="19"/>
        </w:rPr>
        <w:t>– The sub-precinct’s compact scale and</w:t>
      </w:r>
    </w:p>
    <w:p>
      <w:pPr>
        <w:spacing w:before="40" w:after="80" w:line="276" w:lineRule="auto"/>
      </w:pPr>
      <w:r>
        <w:rPr>
          <w:color w:val="334155"/>
          <w:sz w:val="19"/>
        </w:rPr>
        <w:t>adjacency to residential areas provide for a</w:t>
      </w:r>
    </w:p>
    <w:p>
      <w:pPr>
        <w:spacing w:before="40" w:after="80" w:line="276" w:lineRule="auto"/>
      </w:pPr>
      <w:r>
        <w:rPr>
          <w:color w:val="334155"/>
          <w:sz w:val="19"/>
        </w:rPr>
        <w:t>curated mix of small-scale urban services, light</w:t>
      </w:r>
    </w:p>
    <w:p>
      <w:pPr>
        <w:spacing w:before="40" w:after="80" w:line="276" w:lineRule="auto"/>
      </w:pPr>
      <w:r>
        <w:rPr>
          <w:color w:val="334155"/>
          <w:sz w:val="19"/>
        </w:rPr>
        <w:t>industrial and complementary employment</w:t>
      </w:r>
    </w:p>
    <w:p>
      <w:pPr>
        <w:spacing w:before="40" w:after="80" w:line="276" w:lineRule="auto"/>
      </w:pPr>
      <w:r>
        <w:rPr>
          <w:color w:val="334155"/>
          <w:sz w:val="19"/>
        </w:rPr>
        <w:t>uses that meet local needs while supporting the</w:t>
      </w:r>
    </w:p>
    <w:p>
      <w:pPr>
        <w:spacing w:before="40" w:after="80" w:line="276" w:lineRule="auto"/>
      </w:pPr>
      <w:r>
        <w:rPr>
          <w:color w:val="334155"/>
          <w:sz w:val="19"/>
        </w:rPr>
        <w:t>Precinct’s broader economic diversification.</w:t>
      </w:r>
    </w:p>
    <w:p>
      <w:pPr>
        <w:spacing w:before="40" w:after="80" w:line="276" w:lineRule="auto"/>
      </w:pPr>
      <w:r>
        <w:rPr>
          <w:color w:val="334155"/>
          <w:sz w:val="19"/>
        </w:rPr>
        <w:t>•</w:t>
      </w:r>
    </w:p>
    <w:p>
      <w:pPr>
        <w:spacing w:before="40" w:after="80" w:line="276" w:lineRule="auto"/>
      </w:pPr>
      <w:r>
        <w:rPr>
          <w:color w:val="334155"/>
          <w:sz w:val="19"/>
        </w:rPr>
        <w:t>Amenity-led interface with Barnsley village –</w:t>
      </w:r>
    </w:p>
    <w:p>
      <w:pPr>
        <w:spacing w:before="40" w:after="80" w:line="276" w:lineRule="auto"/>
      </w:pPr>
      <w:r>
        <w:rPr>
          <w:color w:val="334155"/>
          <w:sz w:val="19"/>
        </w:rPr>
        <w:t>The residential interface informs a high-quality</w:t>
      </w:r>
    </w:p>
    <w:p>
      <w:pPr>
        <w:spacing w:before="40" w:after="80" w:line="276" w:lineRule="auto"/>
      </w:pPr>
      <w:r>
        <w:rPr>
          <w:color w:val="334155"/>
          <w:sz w:val="19"/>
        </w:rPr>
        <w:t>edge response, including built form transitions,</w:t>
      </w:r>
    </w:p>
    <w:p>
      <w:pPr>
        <w:spacing w:before="40" w:after="80" w:line="276" w:lineRule="auto"/>
      </w:pPr>
      <w:r>
        <w:rPr>
          <w:color w:val="334155"/>
          <w:sz w:val="19"/>
        </w:rPr>
        <w:t>landscape buffers, acoustic treatments and</w:t>
      </w:r>
    </w:p>
    <w:p>
      <w:pPr>
        <w:spacing w:before="40" w:after="80" w:line="276" w:lineRule="auto"/>
      </w:pPr>
      <w:r>
        <w:rPr>
          <w:color w:val="334155"/>
          <w:sz w:val="19"/>
        </w:rPr>
        <w:t>operational controls, that protect the amenity</w:t>
      </w:r>
    </w:p>
    <w:p>
      <w:pPr>
        <w:spacing w:before="40" w:after="80" w:line="276" w:lineRule="auto"/>
      </w:pPr>
      <w:r>
        <w:rPr>
          <w:color w:val="334155"/>
          <w:sz w:val="19"/>
        </w:rPr>
        <w:t>and character of the existing community.</w:t>
      </w:r>
    </w:p>
    <w:p>
      <w:pPr>
        <w:spacing w:before="40" w:after="80" w:line="276" w:lineRule="auto"/>
      </w:pPr>
      <w:r>
        <w:rPr>
          <w:color w:val="334155"/>
          <w:sz w:val="19"/>
        </w:rPr>
        <w:t>•</w:t>
      </w:r>
    </w:p>
    <w:p>
      <w:pPr>
        <w:spacing w:before="40" w:after="80" w:line="276" w:lineRule="auto"/>
      </w:pPr>
      <w:r>
        <w:rPr>
          <w:color w:val="334155"/>
          <w:sz w:val="19"/>
        </w:rPr>
        <w:t>Coordinated infrastructure interface – Existing</w:t>
      </w:r>
    </w:p>
    <w:p>
      <w:pPr>
        <w:spacing w:before="40" w:after="80" w:line="276" w:lineRule="auto"/>
      </w:pPr>
      <w:r>
        <w:rPr>
          <w:color w:val="334155"/>
          <w:sz w:val="19"/>
        </w:rPr>
        <w:t>transmission easements are integrated into</w:t>
      </w:r>
    </w:p>
    <w:p>
      <w:pPr>
        <w:spacing w:before="40" w:after="80" w:line="276" w:lineRule="auto"/>
      </w:pPr>
      <w:r>
        <w:rPr>
          <w:color w:val="334155"/>
          <w:sz w:val="19"/>
        </w:rPr>
        <w:t>the land use pattern, informing layout, access</w:t>
      </w:r>
    </w:p>
    <w:p>
      <w:pPr>
        <w:spacing w:before="40" w:after="80" w:line="276" w:lineRule="auto"/>
      </w:pPr>
      <w:r>
        <w:rPr>
          <w:color w:val="334155"/>
          <w:sz w:val="19"/>
        </w:rPr>
        <w:t>and development footprints that align with</w:t>
      </w:r>
    </w:p>
    <w:p>
      <w:pPr>
        <w:spacing w:before="40" w:after="80" w:line="276" w:lineRule="auto"/>
      </w:pPr>
      <w:r>
        <w:rPr>
          <w:color w:val="334155"/>
          <w:sz w:val="19"/>
        </w:rPr>
        <w:t>infrastructure outcomes and unlock practical</w:t>
      </w:r>
    </w:p>
    <w:p>
      <w:pPr>
        <w:spacing w:before="40" w:after="80" w:line="276" w:lineRule="auto"/>
      </w:pPr>
      <w:r>
        <w:rPr>
          <w:color w:val="334155"/>
          <w:sz w:val="19"/>
        </w:rPr>
        <w:t>development areas.</w:t>
      </w:r>
    </w:p>
    <w:p>
      <w:pPr>
        <w:spacing w:before="40" w:after="80" w:line="276" w:lineRule="auto"/>
      </w:pPr>
      <w:r>
        <w:rPr>
          <w:color w:val="334155"/>
          <w:sz w:val="19"/>
        </w:rPr>
        <w:t>Figure 18: Indicative small unit industrial development concept</w:t>
      </w:r>
    </w:p>
    <w:p>
      <w:pPr>
        <w:spacing w:before="40" w:after="80" w:line="276" w:lineRule="auto"/>
      </w:pPr>
      <w:r>
        <w:rPr>
          <w:color w:val="334155"/>
          <w:sz w:val="19"/>
        </w:rPr>
        <w:t>23</w:t>
      </w:r>
    </w:p>
    <w:p>
      <w:pPr>
        <w:spacing w:before="40" w:after="80" w:line="276" w:lineRule="auto"/>
      </w:pPr>
      <w:r>
        <w:rPr>
          <w:color w:val="334155"/>
          <w:sz w:val="19"/>
        </w:rPr>
        <w:t>4  Structure plan and sub-precinct framework</w:t>
      </w:r>
    </w:p>
    <w:p>
      <w:pPr>
        <w:pStyle w:val="Heading2"/>
        <w:keepNext/>
        <w:spacing w:before="240" w:after="80"/>
      </w:pPr>
      <w:r>
        <w:rPr>
          <w:b/>
          <w:color w:val="0284C7"/>
        </w:rPr>
        <w:t>Page 24</w:t>
      </w:r>
    </w:p>
    <w:p>
      <w:pPr>
        <w:spacing w:before="40" w:after="80" w:line="276" w:lineRule="auto"/>
      </w:pPr>
      <w:r>
        <w:rPr>
          <w:color w:val="334155"/>
          <w:sz w:val="19"/>
        </w:rPr>
        <w:t>Teralba</w:t>
      </w:r>
    </w:p>
    <w:p>
      <w:pPr>
        <w:spacing w:before="40" w:after="80" w:line="276" w:lineRule="auto"/>
      </w:pPr>
      <w:r>
        <w:rPr>
          <w:color w:val="334155"/>
          <w:sz w:val="19"/>
        </w:rPr>
        <w:t>Characteristics</w:t>
      </w:r>
    </w:p>
    <w:p>
      <w:pPr>
        <w:spacing w:before="40" w:after="80" w:line="276" w:lineRule="auto"/>
      </w:pPr>
      <w:r>
        <w:rPr>
          <w:color w:val="334155"/>
          <w:sz w:val="19"/>
        </w:rPr>
        <w:t>The Teralba sub-precinct is located approximately</w:t>
      </w:r>
    </w:p>
    <w:p>
      <w:pPr>
        <w:spacing w:before="40" w:after="80" w:line="276" w:lineRule="auto"/>
      </w:pPr>
      <w:r>
        <w:rPr>
          <w:color w:val="334155"/>
          <w:sz w:val="19"/>
        </w:rPr>
        <w:t>two kilometres south-east of the main Precinct,</w:t>
      </w:r>
    </w:p>
    <w:p>
      <w:pPr>
        <w:spacing w:before="40" w:after="80" w:line="276" w:lineRule="auto"/>
      </w:pPr>
      <w:r>
        <w:rPr>
          <w:color w:val="334155"/>
          <w:sz w:val="19"/>
        </w:rPr>
        <w:t>adjoining the established Teralba local centre. The</w:t>
      </w:r>
    </w:p>
    <w:p>
      <w:pPr>
        <w:spacing w:before="40" w:after="80" w:line="276" w:lineRule="auto"/>
      </w:pPr>
      <w:r>
        <w:rPr>
          <w:color w:val="334155"/>
          <w:sz w:val="19"/>
        </w:rPr>
        <w:t>sub-precinct is defined by its direct proximity to</w:t>
      </w:r>
    </w:p>
    <w:p>
      <w:pPr>
        <w:spacing w:before="40" w:after="80" w:line="276" w:lineRule="auto"/>
      </w:pPr>
      <w:r>
        <w:rPr>
          <w:color w:val="334155"/>
          <w:sz w:val="19"/>
        </w:rPr>
        <w:t>two rail stations, its interface with the heritage-</w:t>
      </w:r>
    </w:p>
    <w:p>
      <w:pPr>
        <w:spacing w:before="40" w:after="80" w:line="276" w:lineRule="auto"/>
      </w:pPr>
      <w:r>
        <w:rPr>
          <w:color w:val="334155"/>
          <w:sz w:val="19"/>
        </w:rPr>
        <w:t>listed Teralba Conservation Area, and its integration</w:t>
      </w:r>
    </w:p>
    <w:p>
      <w:pPr>
        <w:spacing w:before="40" w:after="80" w:line="276" w:lineRule="auto"/>
      </w:pPr>
      <w:r>
        <w:rPr>
          <w:color w:val="334155"/>
          <w:sz w:val="19"/>
        </w:rPr>
        <w:t>with the established residential and commercial</w:t>
      </w:r>
    </w:p>
    <w:p>
      <w:pPr>
        <w:spacing w:before="40" w:after="80" w:line="276" w:lineRule="auto"/>
      </w:pPr>
      <w:r>
        <w:rPr>
          <w:color w:val="334155"/>
          <w:sz w:val="19"/>
        </w:rPr>
        <w:t>fabric of the Teralba village.</w:t>
      </w:r>
    </w:p>
    <w:p>
      <w:pPr>
        <w:spacing w:before="40" w:after="80" w:line="276" w:lineRule="auto"/>
      </w:pPr>
      <w:r>
        <w:rPr>
          <w:color w:val="334155"/>
          <w:sz w:val="19"/>
        </w:rPr>
        <w:t>Together, these attributes position Teralba as the</w:t>
      </w:r>
    </w:p>
    <w:p>
      <w:pPr>
        <w:spacing w:before="40" w:after="80" w:line="276" w:lineRule="auto"/>
      </w:pPr>
      <w:r>
        <w:rPr>
          <w:color w:val="334155"/>
          <w:sz w:val="19"/>
        </w:rPr>
        <w:t>Precinct’s mixed use sub-precinct, a compact,</w:t>
      </w:r>
    </w:p>
    <w:p>
      <w:pPr>
        <w:spacing w:before="40" w:after="80" w:line="276" w:lineRule="auto"/>
      </w:pPr>
      <w:r>
        <w:rPr>
          <w:color w:val="334155"/>
          <w:sz w:val="19"/>
        </w:rPr>
        <w:t>well-serviced setting where new housing and</w:t>
      </w:r>
    </w:p>
    <w:p>
      <w:pPr>
        <w:spacing w:before="40" w:after="80" w:line="276" w:lineRule="auto"/>
      </w:pPr>
      <w:r>
        <w:rPr>
          <w:color w:val="334155"/>
          <w:sz w:val="19"/>
        </w:rPr>
        <w:t>complementary uses can support the ongoing</w:t>
      </w:r>
    </w:p>
    <w:p>
      <w:pPr>
        <w:spacing w:before="40" w:after="80" w:line="276" w:lineRule="auto"/>
      </w:pPr>
      <w:r>
        <w:rPr>
          <w:color w:val="334155"/>
          <w:sz w:val="19"/>
        </w:rPr>
        <w:t>vitality of the local centre and contribute to the</w:t>
      </w:r>
    </w:p>
    <w:p>
      <w:pPr>
        <w:spacing w:before="40" w:after="80" w:line="276" w:lineRule="auto"/>
      </w:pPr>
      <w:r>
        <w:rPr>
          <w:color w:val="334155"/>
          <w:sz w:val="19"/>
        </w:rPr>
        <w:t>broader regional transformation envisaged by the</w:t>
      </w:r>
    </w:p>
    <w:p>
      <w:pPr>
        <w:spacing w:before="40" w:after="80" w:line="276" w:lineRule="auto"/>
      </w:pPr>
      <w:r>
        <w:rPr>
          <w:color w:val="334155"/>
          <w:sz w:val="19"/>
        </w:rPr>
        <w:t>Master Plan.</w:t>
      </w:r>
    </w:p>
    <w:p>
      <w:pPr>
        <w:spacing w:before="40" w:after="80" w:line="276" w:lineRule="auto"/>
      </w:pPr>
      <w:r>
        <w:rPr>
          <w:color w:val="334155"/>
          <w:sz w:val="19"/>
        </w:rPr>
        <w:t>Key opportunities</w:t>
      </w:r>
    </w:p>
    <w:p>
      <w:pPr>
        <w:spacing w:before="40" w:after="80" w:line="276" w:lineRule="auto"/>
      </w:pPr>
      <w:r>
        <w:rPr>
          <w:color w:val="334155"/>
          <w:sz w:val="19"/>
        </w:rPr>
        <w:t>The following attributes shape the sub-precinct’s</w:t>
      </w:r>
    </w:p>
    <w:p>
      <w:pPr>
        <w:spacing w:before="40" w:after="80" w:line="276" w:lineRule="auto"/>
      </w:pPr>
      <w:r>
        <w:rPr>
          <w:color w:val="334155"/>
          <w:sz w:val="19"/>
        </w:rPr>
        <w:t>development context and inform an opportunity-led</w:t>
      </w:r>
    </w:p>
    <w:p>
      <w:pPr>
        <w:spacing w:before="40" w:after="80" w:line="276" w:lineRule="auto"/>
      </w:pPr>
      <w:r>
        <w:rPr>
          <w:color w:val="334155"/>
          <w:sz w:val="19"/>
        </w:rPr>
        <w:t>planning response:</w:t>
      </w:r>
    </w:p>
    <w:p>
      <w:pPr>
        <w:spacing w:before="40" w:after="80" w:line="276" w:lineRule="auto"/>
      </w:pPr>
      <w:r>
        <w:rPr>
          <w:color w:val="334155"/>
          <w:sz w:val="19"/>
        </w:rPr>
        <w:t>•</w:t>
      </w:r>
    </w:p>
    <w:p>
      <w:pPr>
        <w:spacing w:before="40" w:after="80" w:line="276" w:lineRule="auto"/>
      </w:pPr>
      <w:r>
        <w:rPr>
          <w:color w:val="334155"/>
          <w:sz w:val="19"/>
        </w:rPr>
        <w:t>Conveniently connected and serviced –</w:t>
      </w:r>
    </w:p>
    <w:p>
      <w:pPr>
        <w:spacing w:before="40" w:after="80" w:line="276" w:lineRule="auto"/>
      </w:pPr>
      <w:r>
        <w:rPr>
          <w:color w:val="334155"/>
          <w:sz w:val="19"/>
        </w:rPr>
        <w:t>Positioned approximately 300 metres from</w:t>
      </w:r>
    </w:p>
    <w:p>
      <w:pPr>
        <w:spacing w:before="40" w:after="80" w:line="276" w:lineRule="auto"/>
      </w:pPr>
      <w:r>
        <w:rPr>
          <w:color w:val="334155"/>
          <w:sz w:val="19"/>
        </w:rPr>
        <w:t>Booragul Station and 400 metres from Teralba</w:t>
      </w:r>
    </w:p>
    <w:p>
      <w:pPr>
        <w:spacing w:before="40" w:after="80" w:line="276" w:lineRule="auto"/>
      </w:pPr>
      <w:r>
        <w:rPr>
          <w:color w:val="334155"/>
          <w:sz w:val="19"/>
        </w:rPr>
        <w:t>Station, the sub-precinct enables direct access</w:t>
      </w:r>
    </w:p>
    <w:p>
      <w:pPr>
        <w:spacing w:before="40" w:after="80" w:line="276" w:lineRule="auto"/>
      </w:pPr>
      <w:r>
        <w:rPr>
          <w:color w:val="334155"/>
          <w:sz w:val="19"/>
        </w:rPr>
        <w:t>to the regional passenger rail network and</w:t>
      </w:r>
    </w:p>
    <w:p>
      <w:pPr>
        <w:spacing w:before="40" w:after="80" w:line="276" w:lineRule="auto"/>
      </w:pPr>
      <w:r>
        <w:rPr>
          <w:color w:val="334155"/>
          <w:sz w:val="19"/>
        </w:rPr>
        <w:t>supports a walkable, low-car neighbourhood</w:t>
      </w:r>
    </w:p>
    <w:p>
      <w:pPr>
        <w:spacing w:before="40" w:after="80" w:line="276" w:lineRule="auto"/>
      </w:pPr>
      <w:r>
        <w:rPr>
          <w:color w:val="334155"/>
          <w:sz w:val="19"/>
        </w:rPr>
        <w:t>model.</w:t>
      </w:r>
    </w:p>
    <w:p>
      <w:pPr>
        <w:spacing w:before="40" w:after="80" w:line="276" w:lineRule="auto"/>
      </w:pPr>
      <w:r>
        <w:rPr>
          <w:color w:val="334155"/>
          <w:sz w:val="19"/>
        </w:rPr>
        <w:t>•</w:t>
      </w:r>
    </w:p>
    <w:p>
      <w:pPr>
        <w:spacing w:before="40" w:after="80" w:line="276" w:lineRule="auto"/>
      </w:pPr>
      <w:r>
        <w:rPr>
          <w:color w:val="334155"/>
          <w:sz w:val="19"/>
        </w:rPr>
        <w:t>Reinforcement of the Teralba local centre –</w:t>
      </w:r>
    </w:p>
    <w:p>
      <w:pPr>
        <w:spacing w:before="40" w:after="80" w:line="276" w:lineRule="auto"/>
      </w:pPr>
      <w:r>
        <w:rPr>
          <w:color w:val="334155"/>
          <w:sz w:val="19"/>
        </w:rPr>
        <w:t>Proximity to established retail, community and</w:t>
      </w:r>
    </w:p>
    <w:p>
      <w:pPr>
        <w:spacing w:before="40" w:after="80" w:line="276" w:lineRule="auto"/>
      </w:pPr>
      <w:r>
        <w:rPr>
          <w:color w:val="334155"/>
          <w:sz w:val="19"/>
        </w:rPr>
        <w:t>commercial services provides the foundation</w:t>
      </w:r>
    </w:p>
    <w:p>
      <w:pPr>
        <w:spacing w:before="40" w:after="80" w:line="276" w:lineRule="auto"/>
      </w:pPr>
      <w:r>
        <w:rPr>
          <w:color w:val="334155"/>
          <w:sz w:val="19"/>
        </w:rPr>
        <w:t>for residential and complementary uses that</w:t>
      </w:r>
    </w:p>
    <w:p>
      <w:pPr>
        <w:spacing w:before="40" w:after="80" w:line="276" w:lineRule="auto"/>
      </w:pPr>
      <w:r>
        <w:rPr>
          <w:color w:val="334155"/>
          <w:sz w:val="19"/>
        </w:rPr>
        <w:t>strengthen the centre’s economic base, activate</w:t>
      </w:r>
    </w:p>
    <w:p>
      <w:pPr>
        <w:spacing w:before="40" w:after="80" w:line="276" w:lineRule="auto"/>
      </w:pPr>
      <w:r>
        <w:rPr>
          <w:color w:val="334155"/>
          <w:sz w:val="19"/>
        </w:rPr>
        <w:t>the public realm and support day-to-day</w:t>
      </w:r>
    </w:p>
    <w:p>
      <w:pPr>
        <w:spacing w:before="40" w:after="80" w:line="276" w:lineRule="auto"/>
      </w:pPr>
      <w:r>
        <w:rPr>
          <w:color w:val="334155"/>
          <w:sz w:val="19"/>
        </w:rPr>
        <w:t>amenity for residents and workers.</w:t>
      </w:r>
    </w:p>
    <w:p>
      <w:pPr>
        <w:spacing w:before="40" w:after="80" w:line="276" w:lineRule="auto"/>
      </w:pPr>
      <w:r>
        <w:rPr>
          <w:color w:val="334155"/>
          <w:sz w:val="19"/>
        </w:rPr>
        <w:t>•</w:t>
      </w:r>
    </w:p>
    <w:p>
      <w:pPr>
        <w:spacing w:before="40" w:after="80" w:line="276" w:lineRule="auto"/>
      </w:pPr>
      <w:r>
        <w:rPr>
          <w:color w:val="334155"/>
          <w:sz w:val="19"/>
        </w:rPr>
        <w:t>Heritage-informed place-making – The setting</w:t>
      </w:r>
    </w:p>
    <w:p>
      <w:pPr>
        <w:spacing w:before="40" w:after="80" w:line="276" w:lineRule="auto"/>
      </w:pPr>
      <w:r>
        <w:rPr>
          <w:color w:val="334155"/>
          <w:sz w:val="19"/>
        </w:rPr>
        <w:t>of the Teralba Conservation Area and local</w:t>
      </w:r>
    </w:p>
    <w:p>
      <w:pPr>
        <w:spacing w:before="40" w:after="80" w:line="276" w:lineRule="auto"/>
      </w:pPr>
      <w:r>
        <w:rPr>
          <w:color w:val="334155"/>
          <w:sz w:val="19"/>
        </w:rPr>
        <w:t>heritage items, including the Miner’s Cottages</w:t>
      </w:r>
    </w:p>
    <w:p>
      <w:pPr>
        <w:spacing w:before="40" w:after="80" w:line="276" w:lineRule="auto"/>
      </w:pPr>
      <w:r>
        <w:rPr>
          <w:color w:val="334155"/>
          <w:sz w:val="19"/>
        </w:rPr>
        <w:t>and Teralba Public School, informs a considered</w:t>
      </w:r>
    </w:p>
    <w:p>
      <w:pPr>
        <w:spacing w:before="40" w:after="80" w:line="276" w:lineRule="auto"/>
      </w:pPr>
      <w:r>
        <w:rPr>
          <w:color w:val="334155"/>
          <w:sz w:val="19"/>
        </w:rPr>
        <w:t>design response that respects established</w:t>
      </w:r>
    </w:p>
    <w:p>
      <w:pPr>
        <w:spacing w:before="40" w:after="80" w:line="276" w:lineRule="auto"/>
      </w:pPr>
      <w:r>
        <w:rPr>
          <w:color w:val="334155"/>
          <w:sz w:val="19"/>
        </w:rPr>
        <w:t>character, scale and views, and integrates</w:t>
      </w:r>
    </w:p>
    <w:p>
      <w:pPr>
        <w:spacing w:before="40" w:after="80" w:line="276" w:lineRule="auto"/>
      </w:pPr>
      <w:r>
        <w:rPr>
          <w:color w:val="334155"/>
          <w:sz w:val="19"/>
        </w:rPr>
        <w:t>heritage interpretation as a defining element of</w:t>
      </w:r>
    </w:p>
    <w:p>
      <w:pPr>
        <w:spacing w:before="40" w:after="80" w:line="276" w:lineRule="auto"/>
      </w:pPr>
      <w:r>
        <w:rPr>
          <w:color w:val="334155"/>
          <w:sz w:val="19"/>
        </w:rPr>
        <w:t>local identity.</w:t>
      </w:r>
    </w:p>
    <w:p>
      <w:pPr>
        <w:spacing w:before="40" w:after="80" w:line="276" w:lineRule="auto"/>
      </w:pPr>
      <w:r>
        <w:rPr>
          <w:color w:val="334155"/>
          <w:sz w:val="19"/>
        </w:rPr>
        <w:t>•</w:t>
      </w:r>
    </w:p>
    <w:p>
      <w:pPr>
        <w:spacing w:before="40" w:after="80" w:line="276" w:lineRule="auto"/>
      </w:pPr>
      <w:r>
        <w:rPr>
          <w:color w:val="334155"/>
          <w:sz w:val="19"/>
        </w:rPr>
        <w:t>Landscape-led response to Cockle Creek – The</w:t>
      </w:r>
    </w:p>
    <w:p>
      <w:pPr>
        <w:spacing w:before="40" w:after="80" w:line="276" w:lineRule="auto"/>
      </w:pPr>
      <w:r>
        <w:rPr>
          <w:color w:val="334155"/>
          <w:sz w:val="19"/>
        </w:rPr>
        <w:t>Cockle Creek corridor informs a considered</w:t>
      </w:r>
    </w:p>
    <w:p>
      <w:pPr>
        <w:spacing w:before="40" w:after="80" w:line="276" w:lineRule="auto"/>
      </w:pPr>
      <w:r>
        <w:rPr>
          <w:color w:val="334155"/>
          <w:sz w:val="19"/>
        </w:rPr>
        <w:t>land use pattern that balances development</w:t>
      </w:r>
    </w:p>
    <w:p>
      <w:pPr>
        <w:spacing w:before="40" w:after="80" w:line="276" w:lineRule="auto"/>
      </w:pPr>
      <w:r>
        <w:rPr>
          <w:color w:val="334155"/>
          <w:sz w:val="19"/>
        </w:rPr>
        <w:t>opportunity with waterway health, riparian</w:t>
      </w:r>
    </w:p>
    <w:p>
      <w:pPr>
        <w:spacing w:before="40" w:after="80" w:line="276" w:lineRule="auto"/>
      </w:pPr>
      <w:r>
        <w:rPr>
          <w:color w:val="334155"/>
          <w:sz w:val="19"/>
        </w:rPr>
        <w:t>amenity and flood conveyance, delivering</w:t>
      </w:r>
    </w:p>
    <w:p>
      <w:pPr>
        <w:spacing w:before="40" w:after="80" w:line="276" w:lineRule="auto"/>
      </w:pPr>
      <w:r>
        <w:rPr>
          <w:color w:val="334155"/>
          <w:sz w:val="19"/>
        </w:rPr>
        <w:t>a high-quality blue-green edge to the sub-</w:t>
      </w:r>
    </w:p>
    <w:p>
      <w:pPr>
        <w:spacing w:before="40" w:after="80" w:line="276" w:lineRule="auto"/>
      </w:pPr>
      <w:r>
        <w:rPr>
          <w:color w:val="334155"/>
          <w:sz w:val="19"/>
        </w:rPr>
        <w:t>precinct.</w:t>
      </w:r>
    </w:p>
    <w:p>
      <w:pPr>
        <w:spacing w:before="40" w:after="80" w:line="276" w:lineRule="auto"/>
      </w:pPr>
      <w:r>
        <w:rPr>
          <w:color w:val="334155"/>
          <w:sz w:val="19"/>
        </w:rPr>
        <w:t>•</w:t>
      </w:r>
    </w:p>
    <w:p>
      <w:pPr>
        <w:spacing w:before="40" w:after="80" w:line="276" w:lineRule="auto"/>
      </w:pPr>
      <w:r>
        <w:rPr>
          <w:color w:val="334155"/>
          <w:sz w:val="19"/>
        </w:rPr>
        <w:t>Enhanced pedestrian and cycling connectivity</w:t>
      </w:r>
    </w:p>
    <w:p>
      <w:pPr>
        <w:spacing w:before="40" w:after="80" w:line="276" w:lineRule="auto"/>
      </w:pPr>
      <w:r>
        <w:rPr>
          <w:color w:val="334155"/>
          <w:sz w:val="19"/>
        </w:rPr>
        <w:t>– New and upgraded active transport links</w:t>
      </w:r>
    </w:p>
    <w:p>
      <w:pPr>
        <w:spacing w:before="40" w:after="80" w:line="276" w:lineRule="auto"/>
      </w:pPr>
      <w:r>
        <w:rPr>
          <w:color w:val="334155"/>
          <w:sz w:val="19"/>
        </w:rPr>
        <w:t>to Teralba Station and across the railway</w:t>
      </w:r>
    </w:p>
    <w:p>
      <w:pPr>
        <w:spacing w:before="40" w:after="80" w:line="276" w:lineRule="auto"/>
      </w:pPr>
      <w:r>
        <w:rPr>
          <w:color w:val="334155"/>
          <w:sz w:val="19"/>
        </w:rPr>
        <w:t>strengthen the sub-precinct’s transit-oriented</w:t>
      </w:r>
    </w:p>
    <w:p>
      <w:pPr>
        <w:spacing w:before="40" w:after="80" w:line="276" w:lineRule="auto"/>
      </w:pPr>
      <w:r>
        <w:rPr>
          <w:color w:val="334155"/>
          <w:sz w:val="19"/>
        </w:rPr>
        <w:t>potential and improve everyday connections</w:t>
      </w:r>
    </w:p>
    <w:p>
      <w:pPr>
        <w:spacing w:before="40" w:after="80" w:line="276" w:lineRule="auto"/>
      </w:pPr>
      <w:r>
        <w:rPr>
          <w:color w:val="334155"/>
          <w:sz w:val="19"/>
        </w:rPr>
        <w:t>between the neighbourhood, the local centre</w:t>
      </w:r>
    </w:p>
    <w:p>
      <w:pPr>
        <w:spacing w:before="40" w:after="80" w:line="276" w:lineRule="auto"/>
      </w:pPr>
      <w:r>
        <w:rPr>
          <w:color w:val="334155"/>
          <w:sz w:val="19"/>
        </w:rPr>
        <w:t>and surrounding communities.</w:t>
      </w:r>
    </w:p>
    <w:p>
      <w:pPr>
        <w:spacing w:before="40" w:after="80" w:line="276" w:lineRule="auto"/>
      </w:pPr>
      <w:r>
        <w:rPr>
          <w:color w:val="334155"/>
          <w:sz w:val="19"/>
        </w:rPr>
        <w:t>•</w:t>
      </w:r>
    </w:p>
    <w:p>
      <w:pPr>
        <w:spacing w:before="40" w:after="80" w:line="276" w:lineRule="auto"/>
      </w:pPr>
      <w:r>
        <w:rPr>
          <w:color w:val="334155"/>
          <w:sz w:val="19"/>
        </w:rPr>
        <w:t>Early activation potential – Progress in mine</w:t>
      </w:r>
    </w:p>
    <w:p>
      <w:pPr>
        <w:spacing w:before="40" w:after="80" w:line="276" w:lineRule="auto"/>
      </w:pPr>
      <w:r>
        <w:rPr>
          <w:color w:val="334155"/>
          <w:sz w:val="19"/>
        </w:rPr>
        <w:t>closure and rehabilitation, together with</w:t>
      </w:r>
    </w:p>
    <w:p>
      <w:pPr>
        <w:spacing w:before="40" w:after="80" w:line="276" w:lineRule="auto"/>
      </w:pPr>
      <w:r>
        <w:rPr>
          <w:color w:val="334155"/>
          <w:sz w:val="19"/>
        </w:rPr>
        <w:t>established servicing connections, proximity to</w:t>
      </w:r>
    </w:p>
    <w:p>
      <w:pPr>
        <w:spacing w:before="40" w:after="80" w:line="276" w:lineRule="auto"/>
      </w:pPr>
      <w:r>
        <w:rPr>
          <w:color w:val="334155"/>
          <w:sz w:val="19"/>
        </w:rPr>
        <w:t>existing urban areas and direct public transport</w:t>
      </w:r>
    </w:p>
    <w:p>
      <w:pPr>
        <w:spacing w:before="40" w:after="80" w:line="276" w:lineRule="auto"/>
      </w:pPr>
      <w:r>
        <w:rPr>
          <w:color w:val="334155"/>
          <w:sz w:val="19"/>
        </w:rPr>
        <w:t>access, positions the sub-precinct as a strong</w:t>
      </w:r>
    </w:p>
    <w:p>
      <w:pPr>
        <w:spacing w:before="40" w:after="80" w:line="276" w:lineRule="auto"/>
      </w:pPr>
      <w:r>
        <w:rPr>
          <w:color w:val="334155"/>
          <w:sz w:val="19"/>
        </w:rPr>
        <w:t>candidate for early activation and near-term</w:t>
      </w:r>
    </w:p>
    <w:p>
      <w:pPr>
        <w:spacing w:before="40" w:after="80" w:line="276" w:lineRule="auto"/>
      </w:pPr>
      <w:r>
        <w:rPr>
          <w:color w:val="334155"/>
          <w:sz w:val="19"/>
        </w:rPr>
        <w:t>delivery.</w:t>
      </w:r>
    </w:p>
    <w:p>
      <w:pPr>
        <w:spacing w:before="40" w:after="80" w:line="276" w:lineRule="auto"/>
      </w:pPr>
      <w:r>
        <w:rPr>
          <w:color w:val="334155"/>
          <w:sz w:val="19"/>
        </w:rPr>
        <w:t>24</w:t>
      </w:r>
    </w:p>
    <w:p>
      <w:pPr>
        <w:spacing w:before="40" w:after="80" w:line="276" w:lineRule="auto"/>
      </w:pPr>
      <w:r>
        <w:rPr>
          <w:color w:val="334155"/>
          <w:sz w:val="19"/>
        </w:rPr>
        <w:t>4  Structure plan and sub-precinct framework</w:t>
      </w:r>
    </w:p>
    <w:p>
      <w:pPr>
        <w:pStyle w:val="Heading2"/>
        <w:keepNext/>
        <w:spacing w:before="240" w:after="80"/>
      </w:pPr>
      <w:r>
        <w:rPr>
          <w:b/>
          <w:color w:val="0284C7"/>
        </w:rPr>
        <w:t>Page 25</w:t>
      </w:r>
    </w:p>
    <w:p>
      <w:pPr>
        <w:spacing w:before="40" w:after="80" w:line="276" w:lineRule="auto"/>
      </w:pPr>
      <w:r>
        <w:rPr>
          <w:color w:val="334155"/>
          <w:sz w:val="19"/>
        </w:rPr>
        <w:t>Environmentally constrained areas</w:t>
      </w:r>
    </w:p>
    <w:p>
      <w:pPr>
        <w:spacing w:before="40" w:after="80" w:line="276" w:lineRule="auto"/>
      </w:pPr>
      <w:r>
        <w:rPr>
          <w:color w:val="334155"/>
          <w:sz w:val="19"/>
        </w:rPr>
        <w:t>Characteristics</w:t>
      </w:r>
    </w:p>
    <w:p>
      <w:pPr>
        <w:spacing w:before="40" w:after="80" w:line="276" w:lineRule="auto"/>
      </w:pPr>
      <w:r>
        <w:rPr>
          <w:color w:val="334155"/>
          <w:sz w:val="19"/>
        </w:rPr>
        <w:t>Environmentally constrained areas form an integral</w:t>
      </w:r>
    </w:p>
    <w:p>
      <w:pPr>
        <w:spacing w:before="40" w:after="80" w:line="276" w:lineRule="auto"/>
      </w:pPr>
      <w:r>
        <w:rPr>
          <w:color w:val="334155"/>
          <w:sz w:val="19"/>
        </w:rPr>
        <w:t>and defining element of the Precinct’s structure,</w:t>
      </w:r>
    </w:p>
    <w:p>
      <w:pPr>
        <w:spacing w:before="40" w:after="80" w:line="276" w:lineRule="auto"/>
      </w:pPr>
      <w:r>
        <w:rPr>
          <w:color w:val="334155"/>
          <w:sz w:val="19"/>
        </w:rPr>
        <w:t>comprising tracts of remnant native vegetation,</w:t>
      </w:r>
    </w:p>
    <w:p>
      <w:pPr>
        <w:spacing w:before="40" w:after="80" w:line="276" w:lineRule="auto"/>
      </w:pPr>
      <w:r>
        <w:rPr>
          <w:color w:val="334155"/>
          <w:sz w:val="19"/>
        </w:rPr>
        <w:t>rehabilitation areas, riparian corridors, waterways</w:t>
      </w:r>
    </w:p>
    <w:p>
      <w:pPr>
        <w:spacing w:before="40" w:after="80" w:line="276" w:lineRule="auto"/>
      </w:pPr>
      <w:r>
        <w:rPr>
          <w:color w:val="334155"/>
          <w:sz w:val="19"/>
        </w:rPr>
        <w:t>and ecological networks distributed across</w:t>
      </w:r>
    </w:p>
    <w:p>
      <w:pPr>
        <w:spacing w:before="40" w:after="80" w:line="276" w:lineRule="auto"/>
      </w:pPr>
      <w:r>
        <w:rPr>
          <w:color w:val="334155"/>
          <w:sz w:val="19"/>
        </w:rPr>
        <w:t>the Precinct. Together, these areas establish a</w:t>
      </w:r>
    </w:p>
    <w:p>
      <w:pPr>
        <w:spacing w:before="40" w:after="80" w:line="276" w:lineRule="auto"/>
      </w:pPr>
      <w:r>
        <w:rPr>
          <w:color w:val="334155"/>
          <w:sz w:val="19"/>
        </w:rPr>
        <w:t>connected environmental framework that supports</w:t>
      </w:r>
    </w:p>
    <w:p>
      <w:pPr>
        <w:spacing w:before="40" w:after="80" w:line="276" w:lineRule="auto"/>
      </w:pPr>
      <w:r>
        <w:rPr>
          <w:color w:val="334155"/>
          <w:sz w:val="19"/>
        </w:rPr>
        <w:t>biodiversity, water cycle management, landscape</w:t>
      </w:r>
    </w:p>
    <w:p>
      <w:pPr>
        <w:spacing w:before="40" w:after="80" w:line="276" w:lineRule="auto"/>
      </w:pPr>
      <w:r>
        <w:rPr>
          <w:color w:val="334155"/>
          <w:sz w:val="19"/>
        </w:rPr>
        <w:t>identity and Connecting with Country outcomes.</w:t>
      </w:r>
    </w:p>
    <w:p>
      <w:pPr>
        <w:spacing w:before="40" w:after="80" w:line="276" w:lineRule="auto"/>
      </w:pPr>
      <w:r>
        <w:rPr>
          <w:color w:val="334155"/>
          <w:sz w:val="19"/>
        </w:rPr>
        <w:t>Environmentally constrained areas anchor the</w:t>
      </w:r>
    </w:p>
    <w:p>
      <w:pPr>
        <w:spacing w:before="40" w:after="80" w:line="276" w:lineRule="auto"/>
      </w:pPr>
      <w:r>
        <w:rPr>
          <w:color w:val="334155"/>
          <w:sz w:val="19"/>
        </w:rPr>
        <w:t>structure plan in a high-quality landscape setting</w:t>
      </w:r>
    </w:p>
    <w:p>
      <w:pPr>
        <w:spacing w:before="40" w:after="80" w:line="276" w:lineRule="auto"/>
      </w:pPr>
      <w:r>
        <w:rPr>
          <w:color w:val="334155"/>
          <w:sz w:val="19"/>
        </w:rPr>
        <w:t>and reinforce ecological connectivity across the</w:t>
      </w:r>
    </w:p>
    <w:p>
      <w:pPr>
        <w:spacing w:before="40" w:after="80" w:line="276" w:lineRule="auto"/>
      </w:pPr>
      <w:r>
        <w:rPr>
          <w:color w:val="334155"/>
          <w:sz w:val="19"/>
        </w:rPr>
        <w:t>region. The intent of these lands is to protect and</w:t>
      </w:r>
    </w:p>
    <w:p>
      <w:pPr>
        <w:spacing w:before="40" w:after="80" w:line="276" w:lineRule="auto"/>
      </w:pPr>
      <w:r>
        <w:rPr>
          <w:color w:val="334155"/>
          <w:sz w:val="19"/>
        </w:rPr>
        <w:t>enhance environmental, hydrological, cultural and</w:t>
      </w:r>
    </w:p>
    <w:p>
      <w:pPr>
        <w:spacing w:before="40" w:after="80" w:line="276" w:lineRule="auto"/>
      </w:pPr>
      <w:r>
        <w:rPr>
          <w:color w:val="334155"/>
          <w:sz w:val="19"/>
        </w:rPr>
        <w:t>landscape values over the long-term, while</w:t>
      </w:r>
    </w:p>
    <w:p>
      <w:pPr>
        <w:spacing w:before="40" w:after="80" w:line="276" w:lineRule="auto"/>
      </w:pPr>
      <w:r>
        <w:rPr>
          <w:color w:val="334155"/>
          <w:sz w:val="19"/>
        </w:rPr>
        <w:t>enabling sensitive land use where suitable.</w:t>
      </w:r>
    </w:p>
    <w:p>
      <w:pPr>
        <w:spacing w:before="40" w:after="80" w:line="276" w:lineRule="auto"/>
      </w:pPr>
      <w:r>
        <w:rPr>
          <w:color w:val="334155"/>
          <w:sz w:val="19"/>
        </w:rPr>
        <w:t>Key opportunities</w:t>
      </w:r>
    </w:p>
    <w:p>
      <w:pPr>
        <w:spacing w:before="40" w:after="80" w:line="276" w:lineRule="auto"/>
      </w:pPr>
      <w:r>
        <w:rPr>
          <w:color w:val="334155"/>
          <w:sz w:val="19"/>
        </w:rPr>
        <w:t>The following attributes shape the sub-precinct’s</w:t>
      </w:r>
    </w:p>
    <w:p>
      <w:pPr>
        <w:spacing w:before="40" w:after="80" w:line="276" w:lineRule="auto"/>
      </w:pPr>
      <w:r>
        <w:rPr>
          <w:color w:val="334155"/>
          <w:sz w:val="19"/>
        </w:rPr>
        <w:t>development context and inform an opportunity-</w:t>
      </w:r>
    </w:p>
    <w:p>
      <w:pPr>
        <w:spacing w:before="40" w:after="80" w:line="276" w:lineRule="auto"/>
      </w:pPr>
      <w:r>
        <w:rPr>
          <w:color w:val="334155"/>
          <w:sz w:val="19"/>
        </w:rPr>
        <w:t>led, planning response:</w:t>
      </w:r>
    </w:p>
    <w:p>
      <w:pPr>
        <w:spacing w:before="40" w:after="80" w:line="276" w:lineRule="auto"/>
      </w:pPr>
      <w:r>
        <w:rPr>
          <w:color w:val="334155"/>
          <w:sz w:val="19"/>
        </w:rPr>
        <w:t>•</w:t>
      </w:r>
    </w:p>
    <w:p>
      <w:pPr>
        <w:spacing w:before="40" w:after="80" w:line="276" w:lineRule="auto"/>
      </w:pPr>
      <w:r>
        <w:rPr>
          <w:color w:val="334155"/>
          <w:sz w:val="19"/>
        </w:rPr>
        <w:t>Anchoring the Precinct’s ecological framework</w:t>
      </w:r>
    </w:p>
    <w:p>
      <w:pPr>
        <w:spacing w:before="40" w:after="80" w:line="276" w:lineRule="auto"/>
      </w:pPr>
      <w:r>
        <w:rPr>
          <w:color w:val="334155"/>
          <w:sz w:val="19"/>
        </w:rPr>
        <w:t>– High biodiversity areas, key fish habitat</w:t>
      </w:r>
    </w:p>
    <w:p>
      <w:pPr>
        <w:spacing w:before="40" w:after="80" w:line="276" w:lineRule="auto"/>
      </w:pPr>
      <w:r>
        <w:rPr>
          <w:color w:val="334155"/>
          <w:sz w:val="19"/>
        </w:rPr>
        <w:t>and terrestrial corridors provide north–south and</w:t>
      </w:r>
    </w:p>
    <w:p>
      <w:pPr>
        <w:spacing w:before="40" w:after="80" w:line="276" w:lineRule="auto"/>
      </w:pPr>
      <w:r>
        <w:rPr>
          <w:color w:val="334155"/>
          <w:sz w:val="19"/>
        </w:rPr>
        <w:t>east–west ecological connectivity across the</w:t>
      </w:r>
    </w:p>
    <w:p>
      <w:pPr>
        <w:spacing w:before="40" w:after="80" w:line="276" w:lineRule="auto"/>
      </w:pPr>
      <w:r>
        <w:rPr>
          <w:color w:val="334155"/>
          <w:sz w:val="19"/>
        </w:rPr>
        <w:t>Precinct. Biodiversity corridors, coastal</w:t>
      </w:r>
    </w:p>
    <w:p>
      <w:pPr>
        <w:spacing w:before="40" w:after="80" w:line="276" w:lineRule="auto"/>
      </w:pPr>
      <w:r>
        <w:rPr>
          <w:color w:val="334155"/>
          <w:sz w:val="19"/>
        </w:rPr>
        <w:t>wetlands, mapped waterways and areas subject</w:t>
      </w:r>
    </w:p>
    <w:p>
      <w:pPr>
        <w:spacing w:before="40" w:after="80" w:line="276" w:lineRule="auto"/>
      </w:pPr>
      <w:r>
        <w:rPr>
          <w:color w:val="334155"/>
          <w:sz w:val="19"/>
        </w:rPr>
        <w:t>to Voluntary Conservation Agreements</w:t>
      </w:r>
    </w:p>
    <w:p>
      <w:pPr>
        <w:spacing w:before="40" w:after="80" w:line="276" w:lineRule="auto"/>
      </w:pPr>
      <w:r>
        <w:rPr>
          <w:color w:val="334155"/>
          <w:sz w:val="19"/>
        </w:rPr>
        <w:t>informing a clear protection framework aligned</w:t>
      </w:r>
    </w:p>
    <w:p>
      <w:pPr>
        <w:spacing w:before="40" w:after="80" w:line="276" w:lineRule="auto"/>
      </w:pPr>
      <w:r>
        <w:rPr>
          <w:color w:val="334155"/>
          <w:sz w:val="19"/>
        </w:rPr>
        <w:t>with statutory requirements.</w:t>
      </w:r>
    </w:p>
    <w:p>
      <w:pPr>
        <w:spacing w:before="40" w:after="80" w:line="276" w:lineRule="auto"/>
      </w:pPr>
      <w:r>
        <w:rPr>
          <w:color w:val="334155"/>
          <w:sz w:val="19"/>
        </w:rPr>
        <w:t>•</w:t>
      </w:r>
    </w:p>
    <w:p>
      <w:pPr>
        <w:spacing w:before="40" w:after="80" w:line="276" w:lineRule="auto"/>
      </w:pPr>
      <w:r>
        <w:rPr>
          <w:color w:val="334155"/>
          <w:sz w:val="19"/>
        </w:rPr>
        <w:t>Considered, evidence-based approach to</w:t>
      </w:r>
    </w:p>
    <w:p>
      <w:pPr>
        <w:spacing w:before="40" w:after="80" w:line="276" w:lineRule="auto"/>
      </w:pPr>
      <w:r>
        <w:rPr>
          <w:color w:val="334155"/>
          <w:sz w:val="19"/>
        </w:rPr>
        <w:t>compatible use – Where supported by detailed</w:t>
      </w:r>
    </w:p>
    <w:p>
      <w:pPr>
        <w:spacing w:before="40" w:after="80" w:line="276" w:lineRule="auto"/>
      </w:pPr>
      <w:r>
        <w:rPr>
          <w:color w:val="334155"/>
          <w:sz w:val="19"/>
        </w:rPr>
        <w:t>biodiversity assessment, low-impact, compatible</w:t>
      </w:r>
    </w:p>
    <w:p>
      <w:pPr>
        <w:spacing w:before="40" w:after="80" w:line="276" w:lineRule="auto"/>
      </w:pPr>
      <w:r>
        <w:rPr>
          <w:color w:val="334155"/>
          <w:sz w:val="19"/>
        </w:rPr>
        <w:t>uses may be accommodated within these lands,</w:t>
      </w:r>
    </w:p>
    <w:p>
      <w:pPr>
        <w:spacing w:before="40" w:after="80" w:line="276" w:lineRule="auto"/>
      </w:pPr>
      <w:r>
        <w:rPr>
          <w:color w:val="334155"/>
          <w:sz w:val="19"/>
        </w:rPr>
        <w:t>guided by the recognised hierarchy of avoid first,</w:t>
      </w:r>
    </w:p>
    <w:p>
      <w:pPr>
        <w:spacing w:before="40" w:after="80" w:line="276" w:lineRule="auto"/>
      </w:pPr>
      <w:r>
        <w:rPr>
          <w:color w:val="334155"/>
          <w:sz w:val="19"/>
        </w:rPr>
        <w:t>minimise where avoidance is not practicable, and</w:t>
      </w:r>
    </w:p>
    <w:p>
      <w:pPr>
        <w:spacing w:before="40" w:after="80" w:line="276" w:lineRule="auto"/>
      </w:pPr>
      <w:r>
        <w:rPr>
          <w:color w:val="334155"/>
          <w:sz w:val="19"/>
        </w:rPr>
        <w:t>offset residual impacts. This approach makes</w:t>
      </w:r>
    </w:p>
    <w:p>
      <w:pPr>
        <w:spacing w:before="40" w:after="80" w:line="276" w:lineRule="auto"/>
      </w:pPr>
      <w:r>
        <w:rPr>
          <w:color w:val="334155"/>
          <w:sz w:val="19"/>
        </w:rPr>
        <w:t>sure that future use is sensitively located,</w:t>
      </w:r>
    </w:p>
    <w:p>
      <w:pPr>
        <w:spacing w:before="40" w:after="80" w:line="276" w:lineRule="auto"/>
      </w:pPr>
      <w:r>
        <w:rPr>
          <w:color w:val="334155"/>
          <w:sz w:val="19"/>
        </w:rPr>
        <w:t>limited in scale, and consistent with the</w:t>
      </w:r>
    </w:p>
    <w:p>
      <w:pPr>
        <w:spacing w:before="40" w:after="80" w:line="276" w:lineRule="auto"/>
      </w:pPr>
      <w:r>
        <w:rPr>
          <w:color w:val="334155"/>
          <w:sz w:val="19"/>
        </w:rPr>
        <w:t>retention and enhancement of biodiversity,</w:t>
      </w:r>
    </w:p>
    <w:p>
      <w:pPr>
        <w:spacing w:before="40" w:after="80" w:line="276" w:lineRule="auto"/>
      </w:pPr>
      <w:r>
        <w:rPr>
          <w:color w:val="334155"/>
          <w:sz w:val="19"/>
        </w:rPr>
        <w:t>hydrological and landscape values.</w:t>
      </w:r>
    </w:p>
    <w:p>
      <w:pPr>
        <w:spacing w:before="40" w:after="80" w:line="276" w:lineRule="auto"/>
      </w:pPr>
      <w:r>
        <w:rPr>
          <w:color w:val="334155"/>
          <w:sz w:val="19"/>
        </w:rPr>
        <w:t>•</w:t>
      </w:r>
    </w:p>
    <w:p>
      <w:pPr>
        <w:spacing w:before="40" w:after="80" w:line="276" w:lineRule="auto"/>
      </w:pPr>
      <w:r>
        <w:rPr>
          <w:color w:val="334155"/>
          <w:sz w:val="19"/>
        </w:rPr>
        <w:t>Water cycle and landscape performance –</w:t>
      </w:r>
    </w:p>
    <w:p>
      <w:pPr>
        <w:spacing w:before="40" w:after="80" w:line="276" w:lineRule="auto"/>
      </w:pPr>
      <w:r>
        <w:rPr>
          <w:color w:val="334155"/>
          <w:sz w:val="19"/>
        </w:rPr>
        <w:t>Riparian corridors along mapped waterways</w:t>
      </w:r>
    </w:p>
    <w:p>
      <w:pPr>
        <w:spacing w:before="40" w:after="80" w:line="276" w:lineRule="auto"/>
      </w:pPr>
      <w:r>
        <w:rPr>
          <w:color w:val="334155"/>
          <w:sz w:val="19"/>
        </w:rPr>
        <w:t>provide for flood conveyance, stormwater</w:t>
      </w:r>
    </w:p>
    <w:p>
      <w:pPr>
        <w:spacing w:before="40" w:after="80" w:line="276" w:lineRule="auto"/>
      </w:pPr>
      <w:r>
        <w:rPr>
          <w:color w:val="334155"/>
          <w:sz w:val="19"/>
        </w:rPr>
        <w:t>treatment and waterway health, contributing to</w:t>
      </w:r>
    </w:p>
    <w:p>
      <w:pPr>
        <w:spacing w:before="40" w:after="80" w:line="276" w:lineRule="auto"/>
      </w:pPr>
      <w:r>
        <w:rPr>
          <w:color w:val="334155"/>
          <w:sz w:val="19"/>
        </w:rPr>
        <w:t>a resilient water cycle framework that supports</w:t>
      </w:r>
    </w:p>
    <w:p>
      <w:pPr>
        <w:spacing w:before="40" w:after="80" w:line="276" w:lineRule="auto"/>
      </w:pPr>
      <w:r>
        <w:rPr>
          <w:color w:val="334155"/>
          <w:sz w:val="19"/>
        </w:rPr>
        <w:t>development outcomes elsewhere in the</w:t>
      </w:r>
    </w:p>
    <w:p>
      <w:pPr>
        <w:spacing w:before="40" w:after="80" w:line="276" w:lineRule="auto"/>
      </w:pPr>
      <w:r>
        <w:rPr>
          <w:color w:val="334155"/>
          <w:sz w:val="19"/>
        </w:rPr>
        <w:t>Precinct.</w:t>
      </w:r>
    </w:p>
    <w:p>
      <w:pPr>
        <w:spacing w:before="40" w:after="80" w:line="276" w:lineRule="auto"/>
      </w:pPr>
      <w:r>
        <w:rPr>
          <w:color w:val="334155"/>
          <w:sz w:val="19"/>
        </w:rPr>
        <w:t>•</w:t>
      </w:r>
    </w:p>
    <w:p>
      <w:pPr>
        <w:spacing w:before="40" w:after="80" w:line="276" w:lineRule="auto"/>
      </w:pPr>
      <w:r>
        <w:rPr>
          <w:color w:val="334155"/>
          <w:sz w:val="19"/>
        </w:rPr>
        <w:t>Compatible low-impact recreation and visitor</w:t>
      </w:r>
    </w:p>
    <w:p>
      <w:pPr>
        <w:spacing w:before="40" w:after="80" w:line="276" w:lineRule="auto"/>
      </w:pPr>
      <w:r>
        <w:rPr>
          <w:color w:val="334155"/>
          <w:sz w:val="19"/>
        </w:rPr>
        <w:t>experience – Walking trails, lookouts, nature-</w:t>
      </w:r>
    </w:p>
    <w:p>
      <w:pPr>
        <w:spacing w:before="40" w:after="80" w:line="276" w:lineRule="auto"/>
      </w:pPr>
      <w:r>
        <w:rPr>
          <w:color w:val="334155"/>
          <w:sz w:val="19"/>
        </w:rPr>
        <w:t>based education and interpretation position the</w:t>
      </w:r>
    </w:p>
    <w:p>
      <w:pPr>
        <w:spacing w:before="40" w:after="80" w:line="276" w:lineRule="auto"/>
      </w:pPr>
      <w:r>
        <w:rPr>
          <w:color w:val="334155"/>
          <w:sz w:val="19"/>
        </w:rPr>
        <w:t>environmentally constrained areas as part of a</w:t>
      </w:r>
    </w:p>
    <w:p>
      <w:pPr>
        <w:spacing w:before="40" w:after="80" w:line="276" w:lineRule="auto"/>
      </w:pPr>
      <w:r>
        <w:rPr>
          <w:color w:val="334155"/>
          <w:sz w:val="19"/>
        </w:rPr>
        <w:t>layered land use framework that complements</w:t>
      </w:r>
    </w:p>
    <w:p>
      <w:pPr>
        <w:spacing w:before="40" w:after="80" w:line="276" w:lineRule="auto"/>
      </w:pPr>
      <w:r>
        <w:rPr>
          <w:color w:val="334155"/>
          <w:sz w:val="19"/>
        </w:rPr>
        <w:t>community benefit and economic diversification</w:t>
      </w:r>
    </w:p>
    <w:p>
      <w:pPr>
        <w:spacing w:before="40" w:after="80" w:line="276" w:lineRule="auto"/>
      </w:pPr>
      <w:r>
        <w:rPr>
          <w:color w:val="334155"/>
          <w:sz w:val="19"/>
        </w:rPr>
        <w:t>across the Precinct.</w:t>
      </w:r>
    </w:p>
    <w:p>
      <w:pPr>
        <w:spacing w:before="40" w:after="80" w:line="276" w:lineRule="auto"/>
      </w:pPr>
      <w:r>
        <w:rPr>
          <w:color w:val="334155"/>
          <w:sz w:val="19"/>
        </w:rPr>
        <w:t>Figure 19: Indicative view of environmentally</w:t>
      </w:r>
    </w:p>
    <w:p>
      <w:pPr>
        <w:spacing w:before="40" w:after="80" w:line="276" w:lineRule="auto"/>
      </w:pPr>
      <w:r>
        <w:rPr>
          <w:color w:val="334155"/>
          <w:sz w:val="19"/>
        </w:rPr>
        <w:t>constrained areas</w:t>
      </w:r>
    </w:p>
    <w:p>
      <w:pPr>
        <w:spacing w:before="40" w:after="80" w:line="276" w:lineRule="auto"/>
      </w:pPr>
      <w:r>
        <w:rPr>
          <w:color w:val="334155"/>
          <w:sz w:val="19"/>
        </w:rPr>
        <w:t>Figure 20: Indicative trails within the environmentally</w:t>
      </w:r>
    </w:p>
    <w:p>
      <w:pPr>
        <w:spacing w:before="40" w:after="80" w:line="276" w:lineRule="auto"/>
      </w:pPr>
      <w:r>
        <w:rPr>
          <w:color w:val="334155"/>
          <w:sz w:val="19"/>
        </w:rPr>
        <w:t>constrained areas</w:t>
      </w:r>
    </w:p>
    <w:p>
      <w:pPr>
        <w:spacing w:before="40" w:after="80" w:line="276" w:lineRule="auto"/>
      </w:pPr>
      <w:r>
        <w:rPr>
          <w:color w:val="334155"/>
          <w:sz w:val="19"/>
        </w:rPr>
        <w:t>25</w:t>
      </w:r>
    </w:p>
    <w:p>
      <w:pPr>
        <w:spacing w:before="40" w:after="80" w:line="276" w:lineRule="auto"/>
      </w:pPr>
      <w:r>
        <w:rPr>
          <w:color w:val="334155"/>
          <w:sz w:val="19"/>
        </w:rPr>
        <w:t>4  Structure plan and sub-precinct framework</w:t>
      </w:r>
    </w:p>
    <w:p>
      <w:pPr>
        <w:pStyle w:val="Heading2"/>
        <w:keepNext/>
        <w:spacing w:before="240" w:after="80"/>
      </w:pPr>
      <w:r>
        <w:rPr>
          <w:b/>
          <w:color w:val="0284C7"/>
        </w:rPr>
        <w:t>Page 26</w:t>
      </w:r>
    </w:p>
    <w:p>
      <w:pPr>
        <w:spacing w:before="40" w:after="80" w:line="276" w:lineRule="auto"/>
      </w:pPr>
      <w:r>
        <w:rPr>
          <w:color w:val="334155"/>
          <w:sz w:val="19"/>
        </w:rPr>
        <w:t>Implementation and sequencing</w:t>
      </w:r>
    </w:p>
    <w:p>
      <w:pPr>
        <w:spacing w:before="40" w:after="80" w:line="276" w:lineRule="auto"/>
      </w:pPr>
      <w:r>
        <w:rPr>
          <w:color w:val="334155"/>
          <w:sz w:val="19"/>
        </w:rPr>
        <w:t>Implementation</w:t>
      </w:r>
    </w:p>
    <w:p>
      <w:pPr>
        <w:spacing w:before="40" w:after="80" w:line="276" w:lineRule="auto"/>
      </w:pPr>
      <w:r>
        <w:rPr>
          <w:color w:val="334155"/>
          <w:sz w:val="19"/>
        </w:rPr>
        <w:t>The implementation and delivery of the entire</w:t>
      </w:r>
    </w:p>
    <w:p>
      <w:pPr>
        <w:spacing w:before="40" w:after="80" w:line="276" w:lineRule="auto"/>
      </w:pPr>
      <w:r>
        <w:rPr>
          <w:color w:val="334155"/>
          <w:sz w:val="19"/>
        </w:rPr>
        <w:t>Precinct vision is intended to be sequenced over</w:t>
      </w:r>
    </w:p>
    <w:p>
      <w:pPr>
        <w:spacing w:before="40" w:after="80" w:line="276" w:lineRule="auto"/>
      </w:pPr>
      <w:r>
        <w:rPr>
          <w:color w:val="334155"/>
          <w:sz w:val="19"/>
        </w:rPr>
        <w:t>several decades, reflecting the need to manage</w:t>
      </w:r>
    </w:p>
    <w:p>
      <w:pPr>
        <w:spacing w:before="40" w:after="80" w:line="276" w:lineRule="auto"/>
      </w:pPr>
      <w:r>
        <w:rPr>
          <w:color w:val="334155"/>
          <w:sz w:val="19"/>
        </w:rPr>
        <w:t>mine closure and rehabilitation responsibilities and</w:t>
      </w:r>
    </w:p>
    <w:p>
      <w:pPr>
        <w:spacing w:before="40" w:after="80" w:line="276" w:lineRule="auto"/>
      </w:pPr>
      <w:r>
        <w:rPr>
          <w:color w:val="334155"/>
          <w:sz w:val="19"/>
        </w:rPr>
        <w:t>to allow the future land uses to evolve in alignment</w:t>
      </w:r>
    </w:p>
    <w:p>
      <w:pPr>
        <w:spacing w:before="40" w:after="80" w:line="276" w:lineRule="auto"/>
      </w:pPr>
      <w:r>
        <w:rPr>
          <w:color w:val="334155"/>
          <w:sz w:val="19"/>
        </w:rPr>
        <w:t>with development uptake. Delivery of supporting</w:t>
      </w:r>
    </w:p>
    <w:p>
      <w:pPr>
        <w:spacing w:before="40" w:after="80" w:line="276" w:lineRule="auto"/>
      </w:pPr>
      <w:r>
        <w:rPr>
          <w:color w:val="334155"/>
          <w:sz w:val="19"/>
        </w:rPr>
        <w:t>infrastructure is intended to be staged to correlate</w:t>
      </w:r>
    </w:p>
    <w:p>
      <w:pPr>
        <w:spacing w:before="40" w:after="80" w:line="276" w:lineRule="auto"/>
      </w:pPr>
      <w:r>
        <w:rPr>
          <w:color w:val="334155"/>
          <w:sz w:val="19"/>
        </w:rPr>
        <w:t>with the development as it is implemented over</w:t>
      </w:r>
    </w:p>
    <w:p>
      <w:pPr>
        <w:spacing w:before="40" w:after="80" w:line="276" w:lineRule="auto"/>
      </w:pPr>
      <w:r>
        <w:rPr>
          <w:color w:val="334155"/>
          <w:sz w:val="19"/>
        </w:rPr>
        <w:t>time.</w:t>
      </w:r>
    </w:p>
    <w:p>
      <w:pPr>
        <w:spacing w:before="40" w:after="80" w:line="276" w:lineRule="auto"/>
      </w:pPr>
      <w:r>
        <w:rPr>
          <w:color w:val="334155"/>
          <w:sz w:val="19"/>
        </w:rPr>
        <w:t>Development sequencing provides for</w:t>
      </w:r>
    </w:p>
    <w:p>
      <w:pPr>
        <w:spacing w:before="40" w:after="80" w:line="276" w:lineRule="auto"/>
      </w:pPr>
      <w:r>
        <w:rPr>
          <w:color w:val="334155"/>
          <w:sz w:val="19"/>
        </w:rPr>
        <w:t>infrastructure delivery that is proactive but demand</w:t>
      </w:r>
    </w:p>
    <w:p>
      <w:pPr>
        <w:spacing w:before="40" w:after="80" w:line="276" w:lineRule="auto"/>
      </w:pPr>
      <w:r>
        <w:rPr>
          <w:color w:val="334155"/>
          <w:sz w:val="19"/>
        </w:rPr>
        <w:t>led and enables early activation while supporting</w:t>
      </w:r>
    </w:p>
    <w:p>
      <w:pPr>
        <w:spacing w:before="40" w:after="80" w:line="276" w:lineRule="auto"/>
      </w:pPr>
      <w:r>
        <w:rPr>
          <w:color w:val="334155"/>
          <w:sz w:val="19"/>
        </w:rPr>
        <w:t>long-term, efficient and resilient precinct</w:t>
      </w:r>
    </w:p>
    <w:p>
      <w:pPr>
        <w:spacing w:before="40" w:after="80" w:line="276" w:lineRule="auto"/>
      </w:pPr>
      <w:r>
        <w:rPr>
          <w:color w:val="334155"/>
          <w:sz w:val="19"/>
        </w:rPr>
        <w:t>development. Infrastructure delivery is to be</w:t>
      </w:r>
    </w:p>
    <w:p>
      <w:pPr>
        <w:spacing w:before="40" w:after="80" w:line="276" w:lineRule="auto"/>
      </w:pPr>
      <w:r>
        <w:rPr>
          <w:color w:val="334155"/>
          <w:sz w:val="19"/>
        </w:rPr>
        <w:t>adaptive, demand driven and coordinated, ensuring</w:t>
      </w:r>
    </w:p>
    <w:p>
      <w:pPr>
        <w:spacing w:before="40" w:after="80" w:line="276" w:lineRule="auto"/>
      </w:pPr>
      <w:r>
        <w:rPr>
          <w:color w:val="334155"/>
          <w:sz w:val="19"/>
        </w:rPr>
        <w:t>that development does not outpace enabling</w:t>
      </w:r>
    </w:p>
    <w:p>
      <w:pPr>
        <w:spacing w:before="40" w:after="80" w:line="276" w:lineRule="auto"/>
      </w:pPr>
      <w:r>
        <w:rPr>
          <w:color w:val="334155"/>
          <w:sz w:val="19"/>
        </w:rPr>
        <w:t>infrastructure while maintaining flexibility for</w:t>
      </w:r>
    </w:p>
    <w:p>
      <w:pPr>
        <w:spacing w:before="40" w:after="80" w:line="276" w:lineRule="auto"/>
      </w:pPr>
      <w:r>
        <w:rPr>
          <w:color w:val="334155"/>
          <w:sz w:val="19"/>
        </w:rPr>
        <w:t>market led uptake. Development is to be staged in</w:t>
      </w:r>
    </w:p>
    <w:p>
      <w:pPr>
        <w:spacing w:before="40" w:after="80" w:line="276" w:lineRule="auto"/>
      </w:pPr>
      <w:r>
        <w:rPr>
          <w:color w:val="334155"/>
          <w:sz w:val="19"/>
        </w:rPr>
        <w:t>accordance with available infrastructure capacity,</w:t>
      </w:r>
    </w:p>
    <w:p>
      <w:pPr>
        <w:spacing w:before="40" w:after="80" w:line="276" w:lineRule="auto"/>
      </w:pPr>
      <w:r>
        <w:rPr>
          <w:color w:val="334155"/>
          <w:sz w:val="19"/>
        </w:rPr>
        <w:t>with priority given to feasibility of connecting</w:t>
      </w:r>
    </w:p>
    <w:p>
      <w:pPr>
        <w:spacing w:before="40" w:after="80" w:line="276" w:lineRule="auto"/>
      </w:pPr>
      <w:r>
        <w:rPr>
          <w:color w:val="334155"/>
          <w:sz w:val="19"/>
        </w:rPr>
        <w:t>with existing utilities and transport networks.</w:t>
      </w:r>
    </w:p>
    <w:p>
      <w:pPr>
        <w:spacing w:before="40" w:after="80" w:line="276" w:lineRule="auto"/>
      </w:pPr>
      <w:r>
        <w:rPr>
          <w:color w:val="334155"/>
          <w:sz w:val="19"/>
        </w:rPr>
        <w:t>Infrastructure delivery should adopt an integrated</w:t>
      </w:r>
    </w:p>
    <w:p>
      <w:pPr>
        <w:spacing w:before="40" w:after="80" w:line="276" w:lineRule="auto"/>
      </w:pPr>
      <w:r>
        <w:rPr>
          <w:color w:val="334155"/>
          <w:sz w:val="19"/>
        </w:rPr>
        <w:t>and coordinated approach across utilities and</w:t>
      </w:r>
    </w:p>
    <w:p>
      <w:pPr>
        <w:spacing w:before="40" w:after="80" w:line="276" w:lineRule="auto"/>
      </w:pPr>
      <w:r>
        <w:rPr>
          <w:color w:val="334155"/>
          <w:sz w:val="19"/>
        </w:rPr>
        <w:t>transport to minimise disruption and duplication.</w:t>
      </w:r>
    </w:p>
    <w:p>
      <w:pPr>
        <w:spacing w:before="40" w:after="80" w:line="276" w:lineRule="auto"/>
      </w:pPr>
      <w:r>
        <w:rPr>
          <w:color w:val="334155"/>
          <w:sz w:val="19"/>
        </w:rPr>
        <w:t>26</w:t>
      </w:r>
    </w:p>
    <w:p>
      <w:pPr>
        <w:spacing w:before="40" w:after="80" w:line="276" w:lineRule="auto"/>
      </w:pPr>
      <w:r>
        <w:rPr>
          <w:color w:val="334155"/>
          <w:sz w:val="19"/>
        </w:rPr>
        <w:t>4  Structure plan and sub-precinct framework</w:t>
      </w:r>
    </w:p>
    <w:p>
      <w:pPr>
        <w:pStyle w:val="Heading2"/>
        <w:keepNext/>
        <w:spacing w:before="240" w:after="80"/>
      </w:pPr>
      <w:r>
        <w:rPr>
          <w:b/>
          <w:color w:val="0284C7"/>
        </w:rPr>
        <w:t>Page 27</w:t>
      </w:r>
    </w:p>
    <w:p>
      <w:pPr>
        <w:spacing w:before="40" w:after="80" w:line="276" w:lineRule="auto"/>
      </w:pPr>
      <w:r>
        <w:rPr>
          <w:color w:val="334155"/>
          <w:sz w:val="19"/>
        </w:rPr>
        <w:t>Figure 21: Staging and key levers</w:t>
      </w:r>
    </w:p>
    <w:p>
      <w:pPr>
        <w:spacing w:before="40" w:after="80" w:line="276" w:lineRule="auto"/>
      </w:pPr>
      <w:r>
        <w:rPr>
          <w:color w:val="334155"/>
          <w:sz w:val="19"/>
        </w:rPr>
        <w:t>27</w:t>
      </w:r>
    </w:p>
    <w:p>
      <w:pPr>
        <w:spacing w:before="40" w:after="80" w:line="276" w:lineRule="auto"/>
      </w:pPr>
      <w:r>
        <w:rPr>
          <w:color w:val="334155"/>
          <w:sz w:val="19"/>
        </w:rPr>
        <w:t>4  Structure plan and sub-precinct framework</w:t>
      </w:r>
    </w:p>
    <w:p>
      <w:pPr>
        <w:pStyle w:val="Heading2"/>
        <w:keepNext/>
        <w:spacing w:before="240" w:after="80"/>
      </w:pPr>
      <w:r>
        <w:rPr>
          <w:b/>
          <w:color w:val="0284C7"/>
        </w:rPr>
        <w:t>Page 28</w:t>
      </w:r>
    </w:p>
    <w:p>
      <w:pPr>
        <w:spacing w:before="40" w:after="80" w:line="276" w:lineRule="auto"/>
      </w:pPr>
      <w:r>
        <w:rPr>
          <w:color w:val="334155"/>
          <w:sz w:val="19"/>
        </w:rPr>
        <w:t>Development horizons</w:t>
      </w:r>
    </w:p>
    <w:p>
      <w:pPr>
        <w:spacing w:before="40" w:after="80" w:line="276" w:lineRule="auto"/>
      </w:pPr>
      <w:r>
        <w:rPr>
          <w:color w:val="334155"/>
          <w:sz w:val="19"/>
        </w:rPr>
        <w:t>Development horizons are described in Table</w:t>
      </w:r>
    </w:p>
    <w:p>
      <w:pPr>
        <w:pStyle w:val="ListNumber"/>
        <w:spacing w:before="20" w:after="40"/>
      </w:pPr>
      <w:r>
        <w:rPr>
          <w:color w:val="334155"/>
          <w:sz w:val="19"/>
        </w:rPr>
        <w:t>Figure 22 illustrates the sequencing of</w:t>
      </w:r>
    </w:p>
    <w:p>
      <w:pPr>
        <w:spacing w:before="40" w:after="80" w:line="276" w:lineRule="auto"/>
      </w:pPr>
      <w:r>
        <w:rPr>
          <w:color w:val="334155"/>
          <w:sz w:val="19"/>
        </w:rPr>
        <w:t>development within the Precinct, which reflects</w:t>
      </w:r>
    </w:p>
    <w:p>
      <w:pPr>
        <w:spacing w:before="40" w:after="80" w:line="276" w:lineRule="auto"/>
      </w:pPr>
      <w:r>
        <w:rPr>
          <w:color w:val="334155"/>
          <w:sz w:val="19"/>
        </w:rPr>
        <w:t>the horizon within which land would commence</w:t>
      </w:r>
    </w:p>
    <w:p>
      <w:pPr>
        <w:spacing w:before="40" w:after="80" w:line="276" w:lineRule="auto"/>
      </w:pPr>
      <w:r>
        <w:rPr>
          <w:color w:val="334155"/>
          <w:sz w:val="19"/>
        </w:rPr>
        <w:t>development, subject to the drivers and staging</w:t>
      </w:r>
    </w:p>
    <w:p>
      <w:pPr>
        <w:spacing w:before="40" w:after="80" w:line="276" w:lineRule="auto"/>
      </w:pPr>
      <w:r>
        <w:rPr>
          <w:color w:val="334155"/>
          <w:sz w:val="19"/>
        </w:rPr>
        <w:t>triggers.</w:t>
      </w:r>
    </w:p>
    <w:p>
      <w:pPr>
        <w:spacing w:before="40" w:after="80" w:line="276" w:lineRule="auto"/>
      </w:pPr>
      <w:r>
        <w:rPr>
          <w:color w:val="334155"/>
          <w:sz w:val="19"/>
        </w:rPr>
        <w:t>Table 1: Sub-precinct staging</w:t>
      </w:r>
    </w:p>
    <w:p>
      <w:pPr>
        <w:spacing w:before="40" w:after="80" w:line="276" w:lineRule="auto"/>
      </w:pPr>
      <w:r>
        <w:rPr>
          <w:color w:val="334155"/>
          <w:sz w:val="19"/>
        </w:rPr>
        <w:t>Horizon</w:t>
      </w:r>
    </w:p>
    <w:p>
      <w:pPr>
        <w:spacing w:before="40" w:after="80" w:line="276" w:lineRule="auto"/>
      </w:pPr>
      <w:r>
        <w:rPr>
          <w:color w:val="334155"/>
          <w:sz w:val="19"/>
        </w:rPr>
        <w:t>Timeframe</w:t>
      </w:r>
    </w:p>
    <w:p>
      <w:pPr>
        <w:spacing w:before="40" w:after="80" w:line="276" w:lineRule="auto"/>
      </w:pPr>
      <w:r>
        <w:rPr>
          <w:color w:val="334155"/>
          <w:sz w:val="19"/>
        </w:rPr>
        <w:t>Key sub-precincts and drivers</w:t>
      </w:r>
    </w:p>
    <w:p>
      <w:pPr>
        <w:spacing w:before="40" w:after="80" w:line="276" w:lineRule="auto"/>
      </w:pPr>
      <w:r>
        <w:rPr>
          <w:color w:val="334155"/>
          <w:sz w:val="19"/>
        </w:rPr>
        <w:t>Short-term</w:t>
      </w:r>
    </w:p>
    <w:p>
      <w:pPr>
        <w:spacing w:before="40" w:after="80" w:line="276" w:lineRule="auto"/>
      </w:pPr>
      <w:r>
        <w:rPr>
          <w:color w:val="334155"/>
          <w:sz w:val="19"/>
        </w:rPr>
        <w:t>activation</w:t>
      </w:r>
    </w:p>
    <w:p>
      <w:pPr>
        <w:spacing w:before="40" w:after="80" w:line="276" w:lineRule="auto"/>
      </w:pPr>
      <w:r>
        <w:rPr>
          <w:color w:val="334155"/>
          <w:sz w:val="19"/>
        </w:rPr>
        <w:t>0–5 years</w:t>
      </w:r>
    </w:p>
    <w:p>
      <w:pPr>
        <w:spacing w:before="40" w:after="80" w:line="276" w:lineRule="auto"/>
      </w:pPr>
      <w:r>
        <w:rPr>
          <w:color w:val="334155"/>
          <w:sz w:val="19"/>
        </w:rPr>
        <w:t>Cockle Creek, Killingworth, West</w:t>
      </w:r>
    </w:p>
    <w:p>
      <w:pPr>
        <w:spacing w:before="40" w:after="80" w:line="276" w:lineRule="auto"/>
      </w:pPr>
      <w:r>
        <w:rPr>
          <w:color w:val="334155"/>
          <w:sz w:val="19"/>
        </w:rPr>
        <w:t>Lake, Barnsley West, Teralba.</w:t>
      </w:r>
    </w:p>
    <w:p>
      <w:pPr>
        <w:spacing w:before="40" w:after="80" w:line="276" w:lineRule="auto"/>
      </w:pPr>
      <w:r>
        <w:rPr>
          <w:color w:val="334155"/>
          <w:sz w:val="19"/>
        </w:rPr>
        <w:t>Medium-term</w:t>
      </w:r>
    </w:p>
    <w:p>
      <w:pPr>
        <w:spacing w:before="40" w:after="80" w:line="276" w:lineRule="auto"/>
      </w:pPr>
      <w:r>
        <w:rPr>
          <w:color w:val="334155"/>
          <w:sz w:val="19"/>
        </w:rPr>
        <w:t>activation</w:t>
      </w:r>
    </w:p>
    <w:p>
      <w:pPr>
        <w:spacing w:before="40" w:after="80" w:line="276" w:lineRule="auto"/>
      </w:pPr>
      <w:r>
        <w:rPr>
          <w:color w:val="334155"/>
          <w:sz w:val="19"/>
        </w:rPr>
        <w:t>5–15 years</w:t>
      </w:r>
    </w:p>
    <w:p>
      <w:pPr>
        <w:spacing w:before="40" w:after="80" w:line="276" w:lineRule="auto"/>
      </w:pPr>
      <w:r>
        <w:rPr>
          <w:color w:val="334155"/>
          <w:sz w:val="19"/>
        </w:rPr>
        <w:t>Cockle Creek, Killingworth.</w:t>
      </w:r>
    </w:p>
    <w:p>
      <w:pPr>
        <w:spacing w:before="40" w:after="80" w:line="276" w:lineRule="auto"/>
      </w:pPr>
      <w:r>
        <w:rPr>
          <w:color w:val="334155"/>
          <w:sz w:val="19"/>
        </w:rPr>
        <w:t>Long-term</w:t>
      </w:r>
    </w:p>
    <w:p>
      <w:pPr>
        <w:spacing w:before="40" w:after="80" w:line="276" w:lineRule="auto"/>
      </w:pPr>
      <w:r>
        <w:rPr>
          <w:color w:val="334155"/>
          <w:sz w:val="19"/>
        </w:rPr>
        <w:t>activation</w:t>
      </w:r>
    </w:p>
    <w:p>
      <w:pPr>
        <w:spacing w:before="40" w:after="80" w:line="276" w:lineRule="auto"/>
      </w:pPr>
      <w:r>
        <w:rPr>
          <w:color w:val="334155"/>
          <w:sz w:val="19"/>
        </w:rPr>
        <w:t>15+ years</w:t>
      </w:r>
    </w:p>
    <w:p>
      <w:pPr>
        <w:spacing w:before="40" w:after="80" w:line="276" w:lineRule="auto"/>
      </w:pPr>
      <w:r>
        <w:rPr>
          <w:color w:val="334155"/>
          <w:sz w:val="19"/>
        </w:rPr>
        <w:t>Cockle Creek and Killingworth</w:t>
      </w:r>
    </w:p>
    <w:p>
      <w:pPr>
        <w:spacing w:before="40" w:after="80" w:line="276" w:lineRule="auto"/>
      </w:pPr>
      <w:r>
        <w:rPr>
          <w:color w:val="334155"/>
          <w:sz w:val="19"/>
        </w:rPr>
        <w:t>residual land.</w:t>
      </w:r>
    </w:p>
    <w:p>
      <w:pPr>
        <w:spacing w:before="40" w:after="80" w:line="276" w:lineRule="auto"/>
      </w:pPr>
      <w:r>
        <w:rPr>
          <w:color w:val="334155"/>
          <w:sz w:val="19"/>
        </w:rPr>
        <w:t>Figure 22: Sub-precinct staging</w:t>
      </w:r>
    </w:p>
    <w:p>
      <w:pPr>
        <w:spacing w:before="40" w:after="80" w:line="276" w:lineRule="auto"/>
      </w:pPr>
      <w:r>
        <w:rPr>
          <w:color w:val="334155"/>
          <w:sz w:val="19"/>
        </w:rPr>
        <w:t>28</w:t>
      </w:r>
    </w:p>
    <w:p>
      <w:pPr>
        <w:spacing w:before="40" w:after="80" w:line="276" w:lineRule="auto"/>
      </w:pPr>
      <w:r>
        <w:rPr>
          <w:color w:val="334155"/>
          <w:sz w:val="19"/>
        </w:rPr>
        <w:t>4  Structure plan and sub-precinct framework</w:t>
      </w:r>
    </w:p>
    <w:p>
      <w:pPr>
        <w:pStyle w:val="Heading2"/>
        <w:keepNext/>
        <w:spacing w:before="240" w:after="80"/>
      </w:pPr>
      <w:r>
        <w:rPr>
          <w:b/>
          <w:color w:val="0284C7"/>
        </w:rPr>
        <w:t>Page 29</w:t>
      </w:r>
    </w:p>
    <w:p>
      <w:pPr>
        <w:spacing w:before="40" w:after="80" w:line="276" w:lineRule="auto"/>
      </w:pPr>
      <w:r>
        <w:rPr>
          <w:color w:val="334155"/>
          <w:sz w:val="19"/>
        </w:rPr>
        <w:t>Short-term activation</w:t>
      </w:r>
    </w:p>
    <w:p>
      <w:pPr>
        <w:spacing w:before="40" w:after="80" w:line="276" w:lineRule="auto"/>
      </w:pPr>
      <w:r>
        <w:rPr>
          <w:color w:val="334155"/>
          <w:sz w:val="19"/>
        </w:rPr>
        <w:t>Areas identified as being capable of early release</w:t>
      </w:r>
    </w:p>
    <w:p>
      <w:pPr>
        <w:spacing w:before="40" w:after="80" w:line="276" w:lineRule="auto"/>
      </w:pPr>
      <w:r>
        <w:rPr>
          <w:color w:val="334155"/>
          <w:sz w:val="19"/>
        </w:rPr>
        <w:t>for post mining land use development share</w:t>
      </w:r>
    </w:p>
    <w:p>
      <w:pPr>
        <w:spacing w:before="40" w:after="80" w:line="276" w:lineRule="auto"/>
      </w:pPr>
      <w:r>
        <w:rPr>
          <w:color w:val="334155"/>
          <w:sz w:val="19"/>
        </w:rPr>
        <w:t>common characteristics, including land where</w:t>
      </w:r>
    </w:p>
    <w:p>
      <w:pPr>
        <w:spacing w:before="40" w:after="80" w:line="276" w:lineRule="auto"/>
      </w:pPr>
      <w:r>
        <w:rPr>
          <w:color w:val="334155"/>
          <w:sz w:val="19"/>
        </w:rPr>
        <w:t>rehabilitation is at or near completion, existing</w:t>
      </w:r>
    </w:p>
    <w:p>
      <w:pPr>
        <w:spacing w:before="40" w:after="80" w:line="276" w:lineRule="auto"/>
      </w:pPr>
      <w:r>
        <w:rPr>
          <w:color w:val="334155"/>
          <w:sz w:val="19"/>
        </w:rPr>
        <w:t>road access is available, servicing connections are</w:t>
      </w:r>
    </w:p>
    <w:p>
      <w:pPr>
        <w:spacing w:before="40" w:after="80" w:line="276" w:lineRule="auto"/>
      </w:pPr>
      <w:r>
        <w:rPr>
          <w:color w:val="334155"/>
          <w:sz w:val="19"/>
        </w:rPr>
        <w:t>feasible and the risk profile is manageable without</w:t>
      </w:r>
    </w:p>
    <w:p>
      <w:pPr>
        <w:spacing w:before="40" w:after="80" w:line="276" w:lineRule="auto"/>
      </w:pPr>
      <w:r>
        <w:rPr>
          <w:color w:val="334155"/>
          <w:sz w:val="19"/>
        </w:rPr>
        <w:t>requiring major investigations or infrastructure</w:t>
      </w:r>
    </w:p>
    <w:p>
      <w:pPr>
        <w:spacing w:before="40" w:after="80" w:line="276" w:lineRule="auto"/>
      </w:pPr>
      <w:r>
        <w:rPr>
          <w:color w:val="334155"/>
          <w:sz w:val="19"/>
        </w:rPr>
        <w:t>upgrades.</w:t>
      </w:r>
    </w:p>
    <w:p>
      <w:pPr>
        <w:spacing w:before="40" w:after="80" w:line="276" w:lineRule="auto"/>
      </w:pPr>
      <w:r>
        <w:rPr>
          <w:color w:val="334155"/>
          <w:sz w:val="19"/>
        </w:rPr>
        <w:t>Early phases are expected to leverage available</w:t>
      </w:r>
    </w:p>
    <w:p>
      <w:pPr>
        <w:spacing w:before="40" w:after="80" w:line="276" w:lineRule="auto"/>
      </w:pPr>
      <w:r>
        <w:rPr>
          <w:color w:val="334155"/>
          <w:sz w:val="19"/>
        </w:rPr>
        <w:t>capacity within the Argenton Substation, existing</w:t>
      </w:r>
    </w:p>
    <w:p>
      <w:pPr>
        <w:spacing w:before="40" w:after="80" w:line="276" w:lineRule="auto"/>
      </w:pPr>
      <w:r>
        <w:rPr>
          <w:color w:val="334155"/>
          <w:sz w:val="19"/>
        </w:rPr>
        <w:t>potable water connections and established regional</w:t>
      </w:r>
    </w:p>
    <w:p>
      <w:pPr>
        <w:spacing w:before="40" w:after="80" w:line="276" w:lineRule="auto"/>
      </w:pPr>
      <w:r>
        <w:rPr>
          <w:color w:val="334155"/>
          <w:sz w:val="19"/>
        </w:rPr>
        <w:t>freight corridors, minimising the need for major</w:t>
      </w:r>
    </w:p>
    <w:p>
      <w:pPr>
        <w:spacing w:before="40" w:after="80" w:line="276" w:lineRule="auto"/>
      </w:pPr>
      <w:r>
        <w:rPr>
          <w:color w:val="334155"/>
          <w:sz w:val="19"/>
        </w:rPr>
        <w:t>upfront augmentation. These areas also align with</w:t>
      </w:r>
    </w:p>
    <w:p>
      <w:pPr>
        <w:spacing w:before="40" w:after="80" w:line="276" w:lineRule="auto"/>
      </w:pPr>
      <w:r>
        <w:rPr>
          <w:color w:val="334155"/>
          <w:sz w:val="19"/>
        </w:rPr>
        <w:t>transport accessibility and heavy vehicle routing</w:t>
      </w:r>
    </w:p>
    <w:p>
      <w:pPr>
        <w:spacing w:before="40" w:after="80" w:line="276" w:lineRule="auto"/>
      </w:pPr>
      <w:r>
        <w:rPr>
          <w:color w:val="334155"/>
          <w:sz w:val="19"/>
        </w:rPr>
        <w:t>capability, supporting early industrial and logistics</w:t>
      </w:r>
    </w:p>
    <w:p>
      <w:pPr>
        <w:spacing w:before="40" w:after="80" w:line="276" w:lineRule="auto"/>
      </w:pPr>
      <w:r>
        <w:rPr>
          <w:color w:val="334155"/>
          <w:sz w:val="19"/>
        </w:rPr>
        <w:t>uses.</w:t>
      </w:r>
    </w:p>
    <w:p>
      <w:pPr>
        <w:spacing w:before="40" w:after="80" w:line="276" w:lineRule="auto"/>
      </w:pPr>
      <w:r>
        <w:rPr>
          <w:color w:val="334155"/>
          <w:sz w:val="19"/>
        </w:rPr>
        <w:t>These short-term activation areas provide the</w:t>
      </w:r>
    </w:p>
    <w:p>
      <w:pPr>
        <w:spacing w:before="40" w:after="80" w:line="276" w:lineRule="auto"/>
      </w:pPr>
      <w:r>
        <w:rPr>
          <w:color w:val="334155"/>
          <w:sz w:val="19"/>
        </w:rPr>
        <w:t>opportunity to demonstrate viability of post mining</w:t>
      </w:r>
    </w:p>
    <w:p>
      <w:pPr>
        <w:spacing w:before="40" w:after="80" w:line="276" w:lineRule="auto"/>
      </w:pPr>
      <w:r>
        <w:rPr>
          <w:color w:val="334155"/>
          <w:sz w:val="19"/>
        </w:rPr>
        <w:t>land use shift, generate investment confidence and</w:t>
      </w:r>
    </w:p>
    <w:p>
      <w:pPr>
        <w:spacing w:before="40" w:after="80" w:line="276" w:lineRule="auto"/>
      </w:pPr>
      <w:r>
        <w:rPr>
          <w:color w:val="334155"/>
          <w:sz w:val="19"/>
        </w:rPr>
        <w:t>deliver tangible employment and community</w:t>
      </w:r>
    </w:p>
    <w:p>
      <w:pPr>
        <w:spacing w:before="40" w:after="80" w:line="276" w:lineRule="auto"/>
      </w:pPr>
      <w:r>
        <w:rPr>
          <w:color w:val="334155"/>
          <w:sz w:val="19"/>
        </w:rPr>
        <w:t>outcomes.</w:t>
      </w:r>
    </w:p>
    <w:p>
      <w:pPr>
        <w:spacing w:before="40" w:after="80" w:line="276" w:lineRule="auto"/>
      </w:pPr>
      <w:r>
        <w:rPr>
          <w:color w:val="334155"/>
          <w:sz w:val="19"/>
        </w:rPr>
        <w:t>Cockle Creek</w:t>
      </w:r>
    </w:p>
    <w:p>
      <w:pPr>
        <w:spacing w:before="40" w:after="80" w:line="276" w:lineRule="auto"/>
      </w:pPr>
      <w:r>
        <w:rPr>
          <w:color w:val="334155"/>
          <w:sz w:val="19"/>
        </w:rPr>
        <w:t>Previously disturbed areas outside the TSF and</w:t>
      </w:r>
    </w:p>
    <w:p>
      <w:pPr>
        <w:spacing w:before="40" w:after="80" w:line="276" w:lineRule="auto"/>
      </w:pPr>
      <w:r>
        <w:rPr>
          <w:color w:val="334155"/>
          <w:sz w:val="19"/>
        </w:rPr>
        <w:t>dam break inundation zone with existing access to</w:t>
      </w:r>
    </w:p>
    <w:p>
      <w:pPr>
        <w:spacing w:before="40" w:after="80" w:line="276" w:lineRule="auto"/>
      </w:pPr>
      <w:r>
        <w:rPr>
          <w:color w:val="334155"/>
          <w:sz w:val="19"/>
        </w:rPr>
        <w:t>the regional road network. Early activation within</w:t>
      </w:r>
    </w:p>
    <w:p>
      <w:pPr>
        <w:spacing w:before="40" w:after="80" w:line="276" w:lineRule="auto"/>
      </w:pPr>
      <w:r>
        <w:rPr>
          <w:color w:val="334155"/>
          <w:sz w:val="19"/>
        </w:rPr>
        <w:t>this sub-precinct could leverage the existing rail</w:t>
      </w:r>
    </w:p>
    <w:p>
      <w:pPr>
        <w:spacing w:before="40" w:after="80" w:line="276" w:lineRule="auto"/>
      </w:pPr>
      <w:r>
        <w:rPr>
          <w:color w:val="334155"/>
          <w:sz w:val="19"/>
        </w:rPr>
        <w:t>loop with opportunities for related manufacturing</w:t>
      </w:r>
    </w:p>
    <w:p>
      <w:pPr>
        <w:spacing w:before="40" w:after="80" w:line="276" w:lineRule="auto"/>
      </w:pPr>
      <w:r>
        <w:rPr>
          <w:color w:val="334155"/>
          <w:sz w:val="19"/>
        </w:rPr>
        <w:t>facilities.</w:t>
      </w:r>
    </w:p>
    <w:p>
      <w:pPr>
        <w:spacing w:before="40" w:after="80" w:line="276" w:lineRule="auto"/>
      </w:pPr>
      <w:r>
        <w:rPr>
          <w:color w:val="334155"/>
          <w:sz w:val="19"/>
        </w:rPr>
        <w:t>This sub-precinct benefits from the strategic role</w:t>
      </w:r>
    </w:p>
    <w:p>
      <w:pPr>
        <w:spacing w:before="40" w:after="80" w:line="276" w:lineRule="auto"/>
      </w:pPr>
      <w:r>
        <w:rPr>
          <w:color w:val="334155"/>
          <w:sz w:val="19"/>
        </w:rPr>
        <w:t>of freight and logistics in this area, leveraging</w:t>
      </w:r>
    </w:p>
    <w:p>
      <w:pPr>
        <w:spacing w:before="40" w:after="80" w:line="276" w:lineRule="auto"/>
      </w:pPr>
      <w:r>
        <w:rPr>
          <w:color w:val="334155"/>
          <w:sz w:val="19"/>
        </w:rPr>
        <w:t>proximity to supporting flexible, freight-adjacent</w:t>
      </w:r>
    </w:p>
    <w:p>
      <w:pPr>
        <w:spacing w:before="40" w:after="80" w:line="276" w:lineRule="auto"/>
      </w:pPr>
      <w:r>
        <w:rPr>
          <w:color w:val="334155"/>
          <w:sz w:val="19"/>
        </w:rPr>
        <w:t>land uses as infrastructure staging evolves.</w:t>
      </w:r>
    </w:p>
    <w:p>
      <w:pPr>
        <w:spacing w:before="40" w:after="80" w:line="276" w:lineRule="auto"/>
      </w:pPr>
      <w:r>
        <w:rPr>
          <w:color w:val="334155"/>
          <w:sz w:val="19"/>
        </w:rPr>
        <w:t>Development in this sub-precinct is staged to align</w:t>
      </w:r>
    </w:p>
    <w:p>
      <w:pPr>
        <w:spacing w:before="40" w:after="80" w:line="276" w:lineRule="auto"/>
      </w:pPr>
      <w:r>
        <w:rPr>
          <w:color w:val="334155"/>
          <w:sz w:val="19"/>
        </w:rPr>
        <w:t>with infrastructure delivery. A graduated approach</w:t>
      </w:r>
    </w:p>
    <w:p>
      <w:pPr>
        <w:spacing w:before="40" w:after="80" w:line="276" w:lineRule="auto"/>
      </w:pPr>
      <w:r>
        <w:rPr>
          <w:color w:val="334155"/>
          <w:sz w:val="19"/>
        </w:rPr>
        <w:t>to the staging model is proposed, transitioning</w:t>
      </w:r>
    </w:p>
    <w:p>
      <w:pPr>
        <w:spacing w:before="40" w:after="80" w:line="276" w:lineRule="auto"/>
      </w:pPr>
      <w:r>
        <w:rPr>
          <w:color w:val="334155"/>
          <w:sz w:val="19"/>
        </w:rPr>
        <w:t>from lighter industry near Cockle Creek to heavier</w:t>
      </w:r>
    </w:p>
    <w:p>
      <w:pPr>
        <w:spacing w:before="40" w:after="80" w:line="276" w:lineRule="auto"/>
      </w:pPr>
      <w:r>
        <w:rPr>
          <w:color w:val="334155"/>
          <w:sz w:val="19"/>
        </w:rPr>
        <w:t>industrial and warehousing uses further within the</w:t>
      </w:r>
    </w:p>
    <w:p>
      <w:pPr>
        <w:spacing w:before="40" w:after="80" w:line="276" w:lineRule="auto"/>
      </w:pPr>
      <w:r>
        <w:rPr>
          <w:color w:val="334155"/>
          <w:sz w:val="19"/>
        </w:rPr>
        <w:t>sub-precinct.</w:t>
      </w:r>
    </w:p>
    <w:p>
      <w:pPr>
        <w:spacing w:before="40" w:after="80" w:line="276" w:lineRule="auto"/>
      </w:pPr>
      <w:r>
        <w:rPr>
          <w:color w:val="334155"/>
          <w:sz w:val="19"/>
        </w:rPr>
        <w:t>Early activation</w:t>
      </w:r>
    </w:p>
    <w:p>
      <w:pPr>
        <w:spacing w:before="40" w:after="80" w:line="276" w:lineRule="auto"/>
      </w:pPr>
      <w:r>
        <w:rPr>
          <w:color w:val="334155"/>
          <w:sz w:val="19"/>
        </w:rPr>
        <w:t>is subject to geotechnical investigation and</w:t>
      </w:r>
    </w:p>
    <w:p>
      <w:pPr>
        <w:spacing w:before="40" w:after="80" w:line="276" w:lineRule="auto"/>
      </w:pPr>
      <w:r>
        <w:rPr>
          <w:color w:val="334155"/>
          <w:sz w:val="19"/>
        </w:rPr>
        <w:t>confirmation that development will not</w:t>
      </w:r>
    </w:p>
    <w:p>
      <w:pPr>
        <w:spacing w:before="40" w:after="80" w:line="276" w:lineRule="auto"/>
      </w:pPr>
      <w:r>
        <w:rPr>
          <w:color w:val="334155"/>
          <w:sz w:val="19"/>
        </w:rPr>
        <w:t>compromise TSF rehabilitation or increase societal</w:t>
      </w:r>
    </w:p>
    <w:p>
      <w:pPr>
        <w:spacing w:before="40" w:after="80" w:line="276" w:lineRule="auto"/>
      </w:pPr>
      <w:r>
        <w:rPr>
          <w:color w:val="334155"/>
          <w:sz w:val="19"/>
        </w:rPr>
        <w:t>risk within the dam break inundation zone.</w:t>
      </w:r>
    </w:p>
    <w:p>
      <w:pPr>
        <w:spacing w:before="40" w:after="80" w:line="276" w:lineRule="auto"/>
      </w:pPr>
      <w:r>
        <w:rPr>
          <w:color w:val="334155"/>
          <w:sz w:val="19"/>
        </w:rPr>
        <w:t>Killingworth</w:t>
      </w:r>
    </w:p>
    <w:p>
      <w:pPr>
        <w:spacing w:before="40" w:after="80" w:line="276" w:lineRule="auto"/>
      </w:pPr>
      <w:r>
        <w:rPr>
          <w:color w:val="334155"/>
          <w:sz w:val="19"/>
        </w:rPr>
        <w:t>The northwest area near Killingworth presents</w:t>
      </w:r>
    </w:p>
    <w:p>
      <w:pPr>
        <w:spacing w:before="40" w:after="80" w:line="276" w:lineRule="auto"/>
      </w:pPr>
      <w:r>
        <w:rPr>
          <w:color w:val="334155"/>
          <w:sz w:val="19"/>
        </w:rPr>
        <w:t>a strategic opportunity for land uses such as</w:t>
      </w:r>
    </w:p>
    <w:p>
      <w:pPr>
        <w:spacing w:before="40" w:after="80" w:line="276" w:lineRule="auto"/>
      </w:pPr>
      <w:r>
        <w:rPr>
          <w:color w:val="334155"/>
          <w:sz w:val="19"/>
        </w:rPr>
        <w:t>advanced manufacturing, data-driven uses and</w:t>
      </w:r>
    </w:p>
    <w:p>
      <w:pPr>
        <w:spacing w:before="40" w:after="80" w:line="276" w:lineRule="auto"/>
      </w:pPr>
      <w:r>
        <w:rPr>
          <w:color w:val="334155"/>
          <w:sz w:val="19"/>
        </w:rPr>
        <w:t>business parks, which take advantage of the</w:t>
      </w:r>
    </w:p>
    <w:p>
      <w:pPr>
        <w:spacing w:before="40" w:after="80" w:line="276" w:lineRule="auto"/>
      </w:pPr>
      <w:r>
        <w:rPr>
          <w:color w:val="334155"/>
          <w:sz w:val="19"/>
        </w:rPr>
        <w:t>Transgrid substation and existing electricity</w:t>
      </w:r>
    </w:p>
    <w:p>
      <w:pPr>
        <w:spacing w:before="40" w:after="80" w:line="276" w:lineRule="auto"/>
      </w:pPr>
      <w:r>
        <w:rPr>
          <w:color w:val="334155"/>
          <w:sz w:val="19"/>
        </w:rPr>
        <w:t>capacity. The area offers opportunity for local</w:t>
      </w:r>
    </w:p>
    <w:p>
      <w:pPr>
        <w:spacing w:before="40" w:after="80" w:line="276" w:lineRule="auto"/>
      </w:pPr>
      <w:r>
        <w:rPr>
          <w:color w:val="334155"/>
          <w:sz w:val="19"/>
        </w:rPr>
        <w:t>uplift and diversification through enabling light</w:t>
      </w:r>
    </w:p>
    <w:p>
      <w:pPr>
        <w:spacing w:before="40" w:after="80" w:line="276" w:lineRule="auto"/>
      </w:pPr>
      <w:r>
        <w:rPr>
          <w:color w:val="334155"/>
          <w:sz w:val="19"/>
        </w:rPr>
        <w:t>infrastructure, business parks, technology and</w:t>
      </w:r>
    </w:p>
    <w:p>
      <w:pPr>
        <w:spacing w:before="40" w:after="80" w:line="276" w:lineRule="auto"/>
      </w:pPr>
      <w:r>
        <w:rPr>
          <w:color w:val="334155"/>
          <w:sz w:val="19"/>
        </w:rPr>
        <w:t>data-driven employment to support local jobs and</w:t>
      </w:r>
    </w:p>
    <w:p>
      <w:pPr>
        <w:spacing w:before="40" w:after="80" w:line="276" w:lineRule="auto"/>
      </w:pPr>
      <w:r>
        <w:rPr>
          <w:color w:val="334155"/>
          <w:sz w:val="19"/>
        </w:rPr>
        <w:t>complement existing residential areas.</w:t>
      </w:r>
    </w:p>
    <w:p>
      <w:pPr>
        <w:spacing w:before="40" w:after="80" w:line="276" w:lineRule="auto"/>
      </w:pPr>
      <w:r>
        <w:rPr>
          <w:color w:val="334155"/>
          <w:sz w:val="19"/>
        </w:rPr>
        <w:t>The sub-precinct is well-suited for activation given</w:t>
      </w:r>
    </w:p>
    <w:p>
      <w:pPr>
        <w:spacing w:before="40" w:after="80" w:line="276" w:lineRule="auto"/>
      </w:pPr>
      <w:r>
        <w:rPr>
          <w:color w:val="334155"/>
          <w:sz w:val="19"/>
        </w:rPr>
        <w:t>its previously disturbed land provides a strong</w:t>
      </w:r>
    </w:p>
    <w:p>
      <w:pPr>
        <w:spacing w:before="40" w:after="80" w:line="276" w:lineRule="auto"/>
      </w:pPr>
      <w:r>
        <w:rPr>
          <w:color w:val="334155"/>
          <w:sz w:val="19"/>
        </w:rPr>
        <w:t>foundation for redevelopment, complemented by</w:t>
      </w:r>
    </w:p>
    <w:p>
      <w:pPr>
        <w:spacing w:before="40" w:after="80" w:line="276" w:lineRule="auto"/>
      </w:pPr>
      <w:r>
        <w:rPr>
          <w:color w:val="334155"/>
          <w:sz w:val="19"/>
        </w:rPr>
        <w:t>its proximity to existing high-voltage transmission</w:t>
      </w:r>
    </w:p>
    <w:p>
      <w:pPr>
        <w:spacing w:before="40" w:after="80" w:line="276" w:lineRule="auto"/>
      </w:pPr>
      <w:r>
        <w:rPr>
          <w:color w:val="334155"/>
          <w:sz w:val="19"/>
        </w:rPr>
        <w:t>infrastructure and the Transgrid substation.</w:t>
      </w:r>
    </w:p>
    <w:p>
      <w:pPr>
        <w:spacing w:before="40" w:after="80" w:line="276" w:lineRule="auto"/>
      </w:pPr>
      <w:r>
        <w:rPr>
          <w:color w:val="334155"/>
          <w:sz w:val="19"/>
        </w:rPr>
        <w:t>Additionally, road access is available via the</w:t>
      </w:r>
    </w:p>
    <w:p>
      <w:pPr>
        <w:spacing w:before="40" w:after="80" w:line="276" w:lineRule="auto"/>
      </w:pPr>
      <w:r>
        <w:rPr>
          <w:color w:val="334155"/>
          <w:sz w:val="19"/>
        </w:rPr>
        <w:t>existing local road network, with potential for</w:t>
      </w:r>
    </w:p>
    <w:p>
      <w:pPr>
        <w:spacing w:before="40" w:after="80" w:line="276" w:lineRule="auto"/>
      </w:pPr>
      <w:r>
        <w:rPr>
          <w:color w:val="334155"/>
          <w:sz w:val="19"/>
        </w:rPr>
        <w:t>future upgrades to support new land uses.</w:t>
      </w:r>
    </w:p>
    <w:p>
      <w:pPr>
        <w:spacing w:before="40" w:after="80" w:line="276" w:lineRule="auto"/>
      </w:pPr>
      <w:r>
        <w:rPr>
          <w:color w:val="334155"/>
          <w:sz w:val="19"/>
        </w:rPr>
        <w:t>Water and wastewater servicing requires further</w:t>
      </w:r>
    </w:p>
    <w:p>
      <w:pPr>
        <w:spacing w:before="40" w:after="80" w:line="276" w:lineRule="auto"/>
      </w:pPr>
      <w:r>
        <w:rPr>
          <w:color w:val="334155"/>
          <w:sz w:val="19"/>
        </w:rPr>
        <w:t>investigation. Bush fire and biodiversity interface</w:t>
      </w:r>
    </w:p>
    <w:p>
      <w:pPr>
        <w:spacing w:before="40" w:after="80" w:line="276" w:lineRule="auto"/>
      </w:pPr>
      <w:r>
        <w:rPr>
          <w:color w:val="334155"/>
          <w:sz w:val="19"/>
        </w:rPr>
        <w:t>management will be required along the western</w:t>
      </w:r>
    </w:p>
    <w:p>
      <w:pPr>
        <w:spacing w:before="40" w:after="80" w:line="276" w:lineRule="auto"/>
      </w:pPr>
      <w:r>
        <w:rPr>
          <w:color w:val="334155"/>
          <w:sz w:val="19"/>
        </w:rPr>
        <w:t>edge.</w:t>
      </w:r>
    </w:p>
    <w:p>
      <w:pPr>
        <w:spacing w:before="40" w:after="80" w:line="276" w:lineRule="auto"/>
      </w:pPr>
      <w:r>
        <w:rPr>
          <w:color w:val="334155"/>
          <w:sz w:val="19"/>
        </w:rPr>
        <w:t>Barnsley West</w:t>
      </w:r>
    </w:p>
    <w:p>
      <w:pPr>
        <w:spacing w:before="40" w:after="80" w:line="276" w:lineRule="auto"/>
      </w:pPr>
      <w:r>
        <w:rPr>
          <w:color w:val="334155"/>
          <w:sz w:val="19"/>
        </w:rPr>
        <w:t>Development of previously undisturbed areas</w:t>
      </w:r>
    </w:p>
    <w:p>
      <w:pPr>
        <w:spacing w:before="40" w:after="80" w:line="276" w:lineRule="auto"/>
      </w:pPr>
      <w:r>
        <w:rPr>
          <w:color w:val="334155"/>
          <w:sz w:val="19"/>
        </w:rPr>
        <w:t>adjacent to existing residential in Barnsley is</w:t>
      </w:r>
    </w:p>
    <w:p>
      <w:pPr>
        <w:spacing w:before="40" w:after="80" w:line="276" w:lineRule="auto"/>
      </w:pPr>
      <w:r>
        <w:rPr>
          <w:color w:val="334155"/>
          <w:sz w:val="19"/>
        </w:rPr>
        <w:t>contingent upon assessment of transmission</w:t>
      </w:r>
    </w:p>
    <w:p>
      <w:pPr>
        <w:spacing w:before="40" w:after="80" w:line="276" w:lineRule="auto"/>
      </w:pPr>
      <w:r>
        <w:rPr>
          <w:color w:val="334155"/>
          <w:sz w:val="19"/>
        </w:rPr>
        <w:t>easements, servicing viability and biodiversity</w:t>
      </w:r>
    </w:p>
    <w:p>
      <w:pPr>
        <w:spacing w:before="40" w:after="80" w:line="276" w:lineRule="auto"/>
      </w:pPr>
      <w:r>
        <w:rPr>
          <w:color w:val="334155"/>
          <w:sz w:val="19"/>
        </w:rPr>
        <w:t>values.</w:t>
      </w:r>
    </w:p>
    <w:p>
      <w:pPr>
        <w:spacing w:before="40" w:after="80" w:line="276" w:lineRule="auto"/>
      </w:pPr>
      <w:r>
        <w:rPr>
          <w:color w:val="334155"/>
          <w:sz w:val="19"/>
        </w:rPr>
        <w:t>West Lake</w:t>
      </w:r>
    </w:p>
    <w:p>
      <w:pPr>
        <w:spacing w:before="40" w:after="80" w:line="276" w:lineRule="auto"/>
      </w:pPr>
      <w:r>
        <w:rPr>
          <w:color w:val="334155"/>
          <w:sz w:val="19"/>
        </w:rPr>
        <w:t>The West Lake area offers excellent water quality</w:t>
      </w:r>
    </w:p>
    <w:p>
      <w:pPr>
        <w:spacing w:before="40" w:after="80" w:line="276" w:lineRule="auto"/>
      </w:pPr>
      <w:r>
        <w:rPr>
          <w:color w:val="334155"/>
          <w:sz w:val="19"/>
        </w:rPr>
        <w:t>suitable for recreational use (subject to ongoing</w:t>
      </w:r>
    </w:p>
    <w:p>
      <w:pPr>
        <w:spacing w:before="40" w:after="80" w:line="276" w:lineRule="auto"/>
      </w:pPr>
      <w:r>
        <w:rPr>
          <w:color w:val="334155"/>
          <w:sz w:val="19"/>
        </w:rPr>
        <w:t>monitoring). Rehabilitation around the lake has</w:t>
      </w:r>
    </w:p>
    <w:p>
      <w:pPr>
        <w:spacing w:before="40" w:after="80" w:line="276" w:lineRule="auto"/>
      </w:pPr>
      <w:r>
        <w:rPr>
          <w:color w:val="334155"/>
          <w:sz w:val="19"/>
        </w:rPr>
        <w:t>been progressively signed off, with approximately</w:t>
      </w:r>
    </w:p>
    <w:p>
      <w:pPr>
        <w:spacing w:before="40" w:after="80" w:line="276" w:lineRule="auto"/>
      </w:pPr>
      <w:r>
        <w:rPr>
          <w:color w:val="334155"/>
          <w:sz w:val="19"/>
        </w:rPr>
        <w:t>one-third approved and the balance targeted</w:t>
      </w:r>
    </w:p>
    <w:p>
      <w:pPr>
        <w:spacing w:before="40" w:after="80" w:line="276" w:lineRule="auto"/>
      </w:pPr>
      <w:r>
        <w:rPr>
          <w:color w:val="334155"/>
          <w:sz w:val="19"/>
        </w:rPr>
        <w:t>for completion in 2026, indicating suitability for</w:t>
      </w:r>
    </w:p>
    <w:p>
      <w:pPr>
        <w:spacing w:before="40" w:after="80" w:line="276" w:lineRule="auto"/>
      </w:pPr>
      <w:r>
        <w:rPr>
          <w:color w:val="334155"/>
          <w:sz w:val="19"/>
        </w:rPr>
        <w:t>recreational contact.</w:t>
      </w:r>
    </w:p>
    <w:p>
      <w:pPr>
        <w:spacing w:before="40" w:after="80" w:line="276" w:lineRule="auto"/>
      </w:pPr>
      <w:r>
        <w:rPr>
          <w:color w:val="334155"/>
          <w:sz w:val="19"/>
        </w:rPr>
        <w:t>Existing walking tracks and connection</w:t>
      </w:r>
    </w:p>
    <w:p>
      <w:pPr>
        <w:spacing w:before="40" w:after="80" w:line="276" w:lineRule="auto"/>
      </w:pPr>
      <w:r>
        <w:rPr>
          <w:color w:val="334155"/>
          <w:sz w:val="19"/>
        </w:rPr>
        <w:t>opportunities to Sugarloaf State Conservation</w:t>
      </w:r>
    </w:p>
    <w:p>
      <w:pPr>
        <w:spacing w:before="40" w:after="80" w:line="276" w:lineRule="auto"/>
      </w:pPr>
      <w:r>
        <w:rPr>
          <w:color w:val="334155"/>
          <w:sz w:val="19"/>
        </w:rPr>
        <w:t>Area further enhance the Precinct’s potential for</w:t>
      </w:r>
    </w:p>
    <w:p>
      <w:pPr>
        <w:spacing w:before="40" w:after="80" w:line="276" w:lineRule="auto"/>
      </w:pPr>
      <w:r>
        <w:rPr>
          <w:color w:val="334155"/>
          <w:sz w:val="19"/>
        </w:rPr>
        <w:t>tourism and recreation uses that are compatible</w:t>
      </w:r>
    </w:p>
    <w:p>
      <w:pPr>
        <w:spacing w:before="40" w:after="80" w:line="276" w:lineRule="auto"/>
      </w:pPr>
      <w:r>
        <w:rPr>
          <w:color w:val="334155"/>
          <w:sz w:val="19"/>
        </w:rPr>
        <w:t>with the ecological and landscape values of the</w:t>
      </w:r>
    </w:p>
    <w:p>
      <w:pPr>
        <w:spacing w:before="40" w:after="80" w:line="276" w:lineRule="auto"/>
      </w:pPr>
      <w:r>
        <w:rPr>
          <w:color w:val="334155"/>
          <w:sz w:val="19"/>
        </w:rPr>
        <w:t>area. Basic servicing for visitor amenities would be</w:t>
      </w:r>
    </w:p>
    <w:p>
      <w:pPr>
        <w:spacing w:before="40" w:after="80" w:line="276" w:lineRule="auto"/>
      </w:pPr>
      <w:r>
        <w:rPr>
          <w:color w:val="334155"/>
          <w:sz w:val="19"/>
        </w:rPr>
        <w:t>required, while the western edge of the lake area</w:t>
      </w:r>
    </w:p>
    <w:p>
      <w:pPr>
        <w:spacing w:before="40" w:after="80" w:line="276" w:lineRule="auto"/>
      </w:pPr>
      <w:r>
        <w:rPr>
          <w:color w:val="334155"/>
          <w:sz w:val="19"/>
        </w:rPr>
        <w:t>presents ecological constraints including</w:t>
      </w:r>
    </w:p>
    <w:p>
      <w:pPr>
        <w:spacing w:before="40" w:after="80" w:line="276" w:lineRule="auto"/>
      </w:pPr>
      <w:r>
        <w:rPr>
          <w:color w:val="334155"/>
          <w:sz w:val="19"/>
        </w:rPr>
        <w:t>biodiversity corridors and remnant vegetation that</w:t>
      </w:r>
    </w:p>
    <w:p>
      <w:pPr>
        <w:spacing w:before="40" w:after="80" w:line="276" w:lineRule="auto"/>
      </w:pPr>
      <w:r>
        <w:rPr>
          <w:color w:val="334155"/>
          <w:sz w:val="19"/>
        </w:rPr>
        <w:t>define the extent of any development boundaries.</w:t>
      </w:r>
    </w:p>
    <w:p>
      <w:pPr>
        <w:spacing w:before="40" w:after="80" w:line="276" w:lineRule="auto"/>
      </w:pPr>
      <w:r>
        <w:rPr>
          <w:color w:val="334155"/>
          <w:sz w:val="19"/>
        </w:rPr>
        <w:t>Future development around the lake must</w:t>
      </w:r>
    </w:p>
    <w:p>
      <w:pPr>
        <w:spacing w:before="40" w:after="80" w:line="276" w:lineRule="auto"/>
      </w:pPr>
      <w:r>
        <w:rPr>
          <w:color w:val="334155"/>
          <w:sz w:val="19"/>
        </w:rPr>
        <w:t>maintain water quality through appropriate</w:t>
      </w:r>
    </w:p>
    <w:p>
      <w:pPr>
        <w:spacing w:before="40" w:after="80" w:line="276" w:lineRule="auto"/>
      </w:pPr>
      <w:r>
        <w:rPr>
          <w:color w:val="334155"/>
          <w:sz w:val="19"/>
        </w:rPr>
        <w:t>catchment management measures.</w:t>
      </w:r>
    </w:p>
    <w:p>
      <w:pPr>
        <w:spacing w:before="40" w:after="80" w:line="276" w:lineRule="auto"/>
      </w:pPr>
      <w:r>
        <w:rPr>
          <w:color w:val="334155"/>
          <w:sz w:val="19"/>
        </w:rPr>
        <w:t>29</w:t>
      </w:r>
    </w:p>
    <w:p>
      <w:pPr>
        <w:spacing w:before="40" w:after="80" w:line="276" w:lineRule="auto"/>
      </w:pPr>
      <w:r>
        <w:rPr>
          <w:color w:val="334155"/>
          <w:sz w:val="19"/>
        </w:rPr>
        <w:t>4  Structure plan and sub-precinct framework</w:t>
      </w:r>
    </w:p>
    <w:p>
      <w:pPr>
        <w:pStyle w:val="Heading2"/>
        <w:keepNext/>
        <w:spacing w:before="240" w:after="80"/>
      </w:pPr>
      <w:r>
        <w:rPr>
          <w:b/>
          <w:color w:val="0284C7"/>
        </w:rPr>
        <w:t>Page 30</w:t>
      </w:r>
    </w:p>
    <w:p>
      <w:pPr>
        <w:spacing w:before="40" w:after="80" w:line="276" w:lineRule="auto"/>
      </w:pPr>
      <w:r>
        <w:rPr>
          <w:color w:val="334155"/>
          <w:sz w:val="19"/>
        </w:rPr>
        <w:t>Teralba</w:t>
      </w:r>
    </w:p>
    <w:p>
      <w:pPr>
        <w:spacing w:before="40" w:after="80" w:line="276" w:lineRule="auto"/>
      </w:pPr>
      <w:r>
        <w:rPr>
          <w:color w:val="334155"/>
          <w:sz w:val="19"/>
        </w:rPr>
        <w:t>Teralba sub-precinct is strategically located</w:t>
      </w:r>
    </w:p>
    <w:p>
      <w:pPr>
        <w:spacing w:before="40" w:after="80" w:line="276" w:lineRule="auto"/>
      </w:pPr>
      <w:r>
        <w:rPr>
          <w:color w:val="334155"/>
          <w:sz w:val="19"/>
        </w:rPr>
        <w:t>between the Teralba and Booragul train stations.</w:t>
      </w:r>
    </w:p>
    <w:p>
      <w:pPr>
        <w:spacing w:before="40" w:after="80" w:line="276" w:lineRule="auto"/>
      </w:pPr>
      <w:r>
        <w:rPr>
          <w:color w:val="334155"/>
          <w:sz w:val="19"/>
        </w:rPr>
        <w:t>Proximity to existing utility networks reduces</w:t>
      </w:r>
    </w:p>
    <w:p>
      <w:pPr>
        <w:spacing w:before="40" w:after="80" w:line="276" w:lineRule="auto"/>
      </w:pPr>
      <w:r>
        <w:rPr>
          <w:color w:val="334155"/>
          <w:sz w:val="19"/>
        </w:rPr>
        <w:t>servicing lead times and upfront infrastructure</w:t>
      </w:r>
    </w:p>
    <w:p>
      <w:pPr>
        <w:spacing w:before="40" w:after="80" w:line="276" w:lineRule="auto"/>
      </w:pPr>
      <w:r>
        <w:rPr>
          <w:color w:val="334155"/>
          <w:sz w:val="19"/>
        </w:rPr>
        <w:t>costs. Established road access and adjacency</w:t>
      </w:r>
    </w:p>
    <w:p>
      <w:pPr>
        <w:spacing w:before="40" w:after="80" w:line="276" w:lineRule="auto"/>
      </w:pPr>
      <w:r>
        <w:rPr>
          <w:color w:val="334155"/>
          <w:sz w:val="19"/>
        </w:rPr>
        <w:t>to nearby rail stations, residential communities</w:t>
      </w:r>
    </w:p>
    <w:p>
      <w:pPr>
        <w:spacing w:before="40" w:after="80" w:line="276" w:lineRule="auto"/>
      </w:pPr>
      <w:r>
        <w:rPr>
          <w:color w:val="334155"/>
          <w:sz w:val="19"/>
        </w:rPr>
        <w:t>and employment areas provide a ready platform</w:t>
      </w:r>
    </w:p>
    <w:p>
      <w:pPr>
        <w:spacing w:before="40" w:after="80" w:line="276" w:lineRule="auto"/>
      </w:pPr>
      <w:r>
        <w:rPr>
          <w:color w:val="334155"/>
          <w:sz w:val="19"/>
        </w:rPr>
        <w:t>for early development. Together, these attributes</w:t>
      </w:r>
    </w:p>
    <w:p>
      <w:pPr>
        <w:spacing w:before="40" w:after="80" w:line="276" w:lineRule="auto"/>
      </w:pPr>
      <w:r>
        <w:rPr>
          <w:color w:val="334155"/>
          <w:sz w:val="19"/>
        </w:rPr>
        <w:t>present a compelling opportunity to deliver</w:t>
      </w:r>
    </w:p>
    <w:p>
      <w:pPr>
        <w:spacing w:before="40" w:after="80" w:line="276" w:lineRule="auto"/>
      </w:pPr>
      <w:r>
        <w:rPr>
          <w:color w:val="334155"/>
          <w:sz w:val="19"/>
        </w:rPr>
        <w:t>residential outcomes that complement the</w:t>
      </w:r>
    </w:p>
    <w:p>
      <w:pPr>
        <w:spacing w:before="40" w:after="80" w:line="276" w:lineRule="auto"/>
      </w:pPr>
      <w:r>
        <w:rPr>
          <w:color w:val="334155"/>
          <w:sz w:val="19"/>
        </w:rPr>
        <w:t>surrounding context and contribute to the</w:t>
      </w:r>
    </w:p>
    <w:p>
      <w:pPr>
        <w:spacing w:before="40" w:after="80" w:line="276" w:lineRule="auto"/>
      </w:pPr>
      <w:r>
        <w:rPr>
          <w:color w:val="334155"/>
          <w:sz w:val="19"/>
        </w:rPr>
        <w:t>Precinct’s early activation and investment</w:t>
      </w:r>
    </w:p>
    <w:p>
      <w:pPr>
        <w:spacing w:before="40" w:after="80" w:line="276" w:lineRule="auto"/>
      </w:pPr>
      <w:r>
        <w:rPr>
          <w:color w:val="334155"/>
          <w:sz w:val="19"/>
        </w:rPr>
        <w:t>momentum.</w:t>
      </w:r>
    </w:p>
    <w:p>
      <w:pPr>
        <w:spacing w:before="40" w:after="80" w:line="276" w:lineRule="auto"/>
      </w:pPr>
      <w:r>
        <w:rPr>
          <w:color w:val="334155"/>
          <w:sz w:val="19"/>
        </w:rPr>
        <w:t>Medium-term activation</w:t>
      </w:r>
    </w:p>
    <w:p>
      <w:pPr>
        <w:spacing w:before="40" w:after="80" w:line="276" w:lineRule="auto"/>
      </w:pPr>
      <w:r>
        <w:rPr>
          <w:color w:val="334155"/>
          <w:sz w:val="19"/>
        </w:rPr>
        <w:t>Medium-term activation areas require the delivery</w:t>
      </w:r>
    </w:p>
    <w:p>
      <w:pPr>
        <w:spacing w:before="40" w:after="80" w:line="276" w:lineRule="auto"/>
      </w:pPr>
      <w:r>
        <w:rPr>
          <w:color w:val="334155"/>
          <w:sz w:val="19"/>
        </w:rPr>
        <w:t>of enabling infrastructure, resolution of key</w:t>
      </w:r>
    </w:p>
    <w:p>
      <w:pPr>
        <w:spacing w:before="40" w:after="80" w:line="276" w:lineRule="auto"/>
      </w:pPr>
      <w:r>
        <w:rPr>
          <w:color w:val="334155"/>
          <w:sz w:val="19"/>
        </w:rPr>
        <w:t>transport and access constraints and progressive</w:t>
      </w:r>
    </w:p>
    <w:p>
      <w:pPr>
        <w:spacing w:before="40" w:after="80" w:line="276" w:lineRule="auto"/>
      </w:pPr>
      <w:r>
        <w:rPr>
          <w:color w:val="334155"/>
          <w:sz w:val="19"/>
        </w:rPr>
        <w:t>risk reduction through ongoing rehabilitation and</w:t>
      </w:r>
    </w:p>
    <w:p>
      <w:pPr>
        <w:spacing w:before="40" w:after="80" w:line="276" w:lineRule="auto"/>
      </w:pPr>
      <w:r>
        <w:rPr>
          <w:color w:val="334155"/>
          <w:sz w:val="19"/>
        </w:rPr>
        <w:t>technical investigations. These areas represent the</w:t>
      </w:r>
    </w:p>
    <w:p>
      <w:pPr>
        <w:spacing w:before="40" w:after="80" w:line="276" w:lineRule="auto"/>
      </w:pPr>
      <w:r>
        <w:rPr>
          <w:color w:val="334155"/>
          <w:sz w:val="19"/>
        </w:rPr>
        <w:t>core employment-generating lands of the Precinct</w:t>
      </w:r>
    </w:p>
    <w:p>
      <w:pPr>
        <w:spacing w:before="40" w:after="80" w:line="276" w:lineRule="auto"/>
      </w:pPr>
      <w:r>
        <w:rPr>
          <w:color w:val="334155"/>
          <w:sz w:val="19"/>
        </w:rPr>
        <w:t>and will require coordinated investment in roads,</w:t>
      </w:r>
    </w:p>
    <w:p>
      <w:pPr>
        <w:spacing w:before="40" w:after="80" w:line="276" w:lineRule="auto"/>
      </w:pPr>
      <w:r>
        <w:rPr>
          <w:color w:val="334155"/>
          <w:sz w:val="19"/>
        </w:rPr>
        <w:t>utilities and potentially rail infrastructure.</w:t>
      </w:r>
    </w:p>
    <w:p>
      <w:pPr>
        <w:spacing w:before="40" w:after="80" w:line="276" w:lineRule="auto"/>
      </w:pPr>
      <w:r>
        <w:rPr>
          <w:color w:val="334155"/>
          <w:sz w:val="19"/>
        </w:rPr>
        <w:t>Progressive development toward the southern and</w:t>
      </w:r>
    </w:p>
    <w:p>
      <w:pPr>
        <w:spacing w:before="40" w:after="80" w:line="276" w:lineRule="auto"/>
      </w:pPr>
      <w:r>
        <w:rPr>
          <w:color w:val="334155"/>
          <w:sz w:val="19"/>
        </w:rPr>
        <w:t>more constrained areas will require coordinated</w:t>
      </w:r>
    </w:p>
    <w:p>
      <w:pPr>
        <w:spacing w:before="40" w:after="80" w:line="276" w:lineRule="auto"/>
      </w:pPr>
      <w:r>
        <w:rPr>
          <w:color w:val="334155"/>
          <w:sz w:val="19"/>
        </w:rPr>
        <w:t>upgrades to transport, utilities and Precinct scale</w:t>
      </w:r>
    </w:p>
    <w:p>
      <w:pPr>
        <w:spacing w:before="40" w:after="80" w:line="276" w:lineRule="auto"/>
      </w:pPr>
      <w:r>
        <w:rPr>
          <w:color w:val="334155"/>
          <w:sz w:val="19"/>
        </w:rPr>
        <w:t>water cycle management. This includes delivery of</w:t>
      </w:r>
    </w:p>
    <w:p>
      <w:pPr>
        <w:spacing w:before="40" w:after="80" w:line="276" w:lineRule="auto"/>
      </w:pPr>
      <w:r>
        <w:rPr>
          <w:color w:val="334155"/>
          <w:sz w:val="19"/>
        </w:rPr>
        <w:t>wastewater infrastructure (currently absent across</w:t>
      </w:r>
    </w:p>
    <w:p>
      <w:pPr>
        <w:spacing w:before="40" w:after="80" w:line="276" w:lineRule="auto"/>
      </w:pPr>
      <w:r>
        <w:rPr>
          <w:color w:val="334155"/>
          <w:sz w:val="19"/>
        </w:rPr>
        <w:t>much of the Precinct), expansion of water networks</w:t>
      </w:r>
    </w:p>
    <w:p>
      <w:pPr>
        <w:spacing w:before="40" w:after="80" w:line="276" w:lineRule="auto"/>
      </w:pPr>
      <w:r>
        <w:rPr>
          <w:color w:val="334155"/>
          <w:sz w:val="19"/>
        </w:rPr>
        <w:t>and potential major electricity augmentation or</w:t>
      </w:r>
    </w:p>
    <w:p>
      <w:pPr>
        <w:spacing w:before="40" w:after="80" w:line="276" w:lineRule="auto"/>
      </w:pPr>
      <w:r>
        <w:rPr>
          <w:color w:val="334155"/>
          <w:sz w:val="19"/>
        </w:rPr>
        <w:t>new substations where demand thresholds are</w:t>
      </w:r>
    </w:p>
    <w:p>
      <w:pPr>
        <w:spacing w:before="40" w:after="80" w:line="276" w:lineRule="auto"/>
      </w:pPr>
      <w:r>
        <w:rPr>
          <w:color w:val="334155"/>
          <w:sz w:val="19"/>
        </w:rPr>
        <w:t>exceeded. Concurrently, transport upgrades,</w:t>
      </w:r>
    </w:p>
    <w:p>
      <w:pPr>
        <w:spacing w:before="40" w:after="80" w:line="276" w:lineRule="auto"/>
      </w:pPr>
      <w:r>
        <w:rPr>
          <w:color w:val="334155"/>
          <w:sz w:val="19"/>
        </w:rPr>
        <w:t>including intersection capacity improvements,</w:t>
      </w:r>
    </w:p>
    <w:p>
      <w:pPr>
        <w:spacing w:before="40" w:after="80" w:line="276" w:lineRule="auto"/>
      </w:pPr>
      <w:r>
        <w:rPr>
          <w:color w:val="334155"/>
          <w:sz w:val="19"/>
        </w:rPr>
        <w:t>new internal road links and potential additional</w:t>
      </w:r>
    </w:p>
    <w:p>
      <w:pPr>
        <w:spacing w:before="40" w:after="80" w:line="276" w:lineRule="auto"/>
      </w:pPr>
      <w:r>
        <w:rPr>
          <w:color w:val="334155"/>
          <w:sz w:val="19"/>
        </w:rPr>
        <w:t>crossings of Cockle Creek, must be staged</w:t>
      </w:r>
    </w:p>
    <w:p>
      <w:pPr>
        <w:spacing w:before="40" w:after="80" w:line="276" w:lineRule="auto"/>
      </w:pPr>
      <w:r>
        <w:rPr>
          <w:color w:val="334155"/>
          <w:sz w:val="19"/>
        </w:rPr>
        <w:t>alongside development to maintain network</w:t>
      </w:r>
    </w:p>
    <w:p>
      <w:pPr>
        <w:spacing w:before="40" w:after="80" w:line="276" w:lineRule="auto"/>
      </w:pPr>
      <w:r>
        <w:rPr>
          <w:color w:val="334155"/>
          <w:sz w:val="19"/>
        </w:rPr>
        <w:t>performance and resilience.</w:t>
      </w:r>
    </w:p>
    <w:p>
      <w:pPr>
        <w:spacing w:before="40" w:after="80" w:line="276" w:lineRule="auto"/>
      </w:pPr>
      <w:r>
        <w:rPr>
          <w:color w:val="334155"/>
          <w:sz w:val="19"/>
        </w:rPr>
        <w:t>Cockle Creek and Killingworth</w:t>
      </w:r>
    </w:p>
    <w:p>
      <w:pPr>
        <w:spacing w:before="40" w:after="80" w:line="276" w:lineRule="auto"/>
      </w:pPr>
      <w:r>
        <w:rPr>
          <w:color w:val="334155"/>
          <w:sz w:val="19"/>
        </w:rPr>
        <w:t>residual land</w:t>
      </w:r>
    </w:p>
    <w:p>
      <w:pPr>
        <w:spacing w:before="40" w:after="80" w:line="276" w:lineRule="auto"/>
      </w:pPr>
      <w:r>
        <w:rPr>
          <w:color w:val="334155"/>
          <w:sz w:val="19"/>
        </w:rPr>
        <w:t>Previously undisturbed areas outside the TSF and</w:t>
      </w:r>
    </w:p>
    <w:p>
      <w:pPr>
        <w:spacing w:before="40" w:after="80" w:line="276" w:lineRule="auto"/>
      </w:pPr>
      <w:r>
        <w:rPr>
          <w:color w:val="334155"/>
          <w:sz w:val="19"/>
        </w:rPr>
        <w:t>dam break inundation zone with existing access to</w:t>
      </w:r>
    </w:p>
    <w:p>
      <w:pPr>
        <w:spacing w:before="40" w:after="80" w:line="276" w:lineRule="auto"/>
      </w:pPr>
      <w:r>
        <w:rPr>
          <w:color w:val="334155"/>
          <w:sz w:val="19"/>
        </w:rPr>
        <w:t>the regional road network. Medium term activation</w:t>
      </w:r>
    </w:p>
    <w:p>
      <w:pPr>
        <w:spacing w:before="40" w:after="80" w:line="276" w:lineRule="auto"/>
      </w:pPr>
      <w:r>
        <w:rPr>
          <w:color w:val="334155"/>
          <w:sz w:val="19"/>
        </w:rPr>
        <w:t>is subject to biodiversity investigations, geotechnical</w:t>
      </w:r>
    </w:p>
    <w:p>
      <w:pPr>
        <w:spacing w:before="40" w:after="80" w:line="276" w:lineRule="auto"/>
      </w:pPr>
      <w:r>
        <w:rPr>
          <w:color w:val="334155"/>
          <w:sz w:val="19"/>
        </w:rPr>
        <w:t>investigation and flood risk assessment.</w:t>
      </w:r>
    </w:p>
    <w:p>
      <w:pPr>
        <w:spacing w:before="40" w:after="80" w:line="276" w:lineRule="auto"/>
      </w:pPr>
      <w:r>
        <w:rPr>
          <w:color w:val="334155"/>
          <w:sz w:val="19"/>
        </w:rPr>
        <w:t>Medium term activation in Cockle Creek sub-</w:t>
      </w:r>
    </w:p>
    <w:p>
      <w:pPr>
        <w:spacing w:before="40" w:after="80" w:line="276" w:lineRule="auto"/>
      </w:pPr>
      <w:r>
        <w:rPr>
          <w:color w:val="334155"/>
          <w:sz w:val="19"/>
        </w:rPr>
        <w:t>precinct requires confirmation that development</w:t>
      </w:r>
    </w:p>
    <w:p>
      <w:pPr>
        <w:spacing w:before="40" w:after="80" w:line="276" w:lineRule="auto"/>
      </w:pPr>
      <w:r>
        <w:rPr>
          <w:color w:val="334155"/>
          <w:sz w:val="19"/>
        </w:rPr>
        <w:t>will not compromise TSF rehabilitation or increase</w:t>
      </w:r>
    </w:p>
    <w:p>
      <w:pPr>
        <w:spacing w:before="40" w:after="80" w:line="276" w:lineRule="auto"/>
      </w:pPr>
      <w:r>
        <w:rPr>
          <w:color w:val="334155"/>
          <w:sz w:val="19"/>
        </w:rPr>
        <w:t>risk within the dam break inundation zone.</w:t>
      </w:r>
    </w:p>
    <w:p>
      <w:pPr>
        <w:spacing w:before="40" w:after="80" w:line="276" w:lineRule="auto"/>
      </w:pPr>
      <w:r>
        <w:rPr>
          <w:color w:val="334155"/>
          <w:sz w:val="19"/>
        </w:rPr>
        <w:t>Long-term activation</w:t>
      </w:r>
    </w:p>
    <w:p>
      <w:pPr>
        <w:spacing w:before="40" w:after="80" w:line="276" w:lineRule="auto"/>
      </w:pPr>
      <w:r>
        <w:rPr>
          <w:color w:val="334155"/>
          <w:sz w:val="19"/>
        </w:rPr>
        <w:t>Release of areas identified for long-term</w:t>
      </w:r>
    </w:p>
    <w:p>
      <w:pPr>
        <w:spacing w:before="40" w:after="80" w:line="276" w:lineRule="auto"/>
      </w:pPr>
      <w:r>
        <w:rPr>
          <w:color w:val="334155"/>
          <w:sz w:val="19"/>
        </w:rPr>
        <w:t>development potential for productive use is</w:t>
      </w:r>
    </w:p>
    <w:p>
      <w:pPr>
        <w:spacing w:before="40" w:after="80" w:line="276" w:lineRule="auto"/>
      </w:pPr>
      <w:r>
        <w:rPr>
          <w:color w:val="334155"/>
          <w:sz w:val="19"/>
        </w:rPr>
        <w:t>contingent upon the completion of critical</w:t>
      </w:r>
    </w:p>
    <w:p>
      <w:pPr>
        <w:spacing w:before="40" w:after="80" w:line="276" w:lineRule="auto"/>
      </w:pPr>
      <w:r>
        <w:rPr>
          <w:color w:val="334155"/>
          <w:sz w:val="19"/>
        </w:rPr>
        <w:t>investigations, successful risk reduction through</w:t>
      </w:r>
    </w:p>
    <w:p>
      <w:pPr>
        <w:spacing w:before="40" w:after="80" w:line="276" w:lineRule="auto"/>
      </w:pPr>
      <w:r>
        <w:rPr>
          <w:color w:val="334155"/>
          <w:sz w:val="19"/>
        </w:rPr>
        <w:t>ongoing rehabilitation and potentially major</w:t>
      </w:r>
    </w:p>
    <w:p>
      <w:pPr>
        <w:spacing w:before="40" w:after="80" w:line="276" w:lineRule="auto"/>
      </w:pPr>
      <w:r>
        <w:rPr>
          <w:color w:val="334155"/>
          <w:sz w:val="19"/>
        </w:rPr>
        <w:t>infrastructure interventions.</w:t>
      </w:r>
    </w:p>
    <w:p>
      <w:pPr>
        <w:spacing w:before="40" w:after="80" w:line="276" w:lineRule="auto"/>
      </w:pPr>
      <w:r>
        <w:rPr>
          <w:color w:val="334155"/>
          <w:sz w:val="19"/>
        </w:rPr>
        <w:t>Cockle Creek (TSF and dam break</w:t>
      </w:r>
    </w:p>
    <w:p>
      <w:pPr>
        <w:spacing w:before="40" w:after="80" w:line="276" w:lineRule="auto"/>
      </w:pPr>
      <w:r>
        <w:rPr>
          <w:color w:val="334155"/>
          <w:sz w:val="19"/>
        </w:rPr>
        <w:t>inundation zone)</w:t>
      </w:r>
    </w:p>
    <w:p>
      <w:pPr>
        <w:spacing w:before="40" w:after="80" w:line="276" w:lineRule="auto"/>
      </w:pPr>
      <w:r>
        <w:rPr>
          <w:color w:val="334155"/>
          <w:sz w:val="19"/>
        </w:rPr>
        <w:t>Development of the TSF area is contingent upon</w:t>
      </w:r>
    </w:p>
    <w:p>
      <w:pPr>
        <w:spacing w:before="40" w:after="80" w:line="276" w:lineRule="auto"/>
      </w:pPr>
      <w:r>
        <w:rPr>
          <w:color w:val="334155"/>
          <w:sz w:val="19"/>
        </w:rPr>
        <w:t>several key prerequisites, including the completion</w:t>
      </w:r>
    </w:p>
    <w:p>
      <w:pPr>
        <w:spacing w:before="40" w:after="80" w:line="276" w:lineRule="auto"/>
      </w:pPr>
      <w:r>
        <w:rPr>
          <w:color w:val="334155"/>
          <w:sz w:val="19"/>
        </w:rPr>
        <w:t>and regulatory acceptance of long-term dewatering</w:t>
      </w:r>
    </w:p>
    <w:p>
      <w:pPr>
        <w:spacing w:before="40" w:after="80" w:line="276" w:lineRule="auto"/>
      </w:pPr>
      <w:r>
        <w:rPr>
          <w:color w:val="334155"/>
          <w:sz w:val="19"/>
        </w:rPr>
        <w:t>and stabilisation, together with an updated dam</w:t>
      </w:r>
    </w:p>
    <w:p>
      <w:pPr>
        <w:spacing w:before="40" w:after="80" w:line="276" w:lineRule="auto"/>
      </w:pPr>
      <w:r>
        <w:rPr>
          <w:color w:val="334155"/>
          <w:sz w:val="19"/>
        </w:rPr>
        <w:t>break failure impact assessment reflecting current</w:t>
      </w:r>
    </w:p>
    <w:p>
      <w:pPr>
        <w:spacing w:before="40" w:after="80" w:line="276" w:lineRule="auto"/>
      </w:pPr>
      <w:r>
        <w:rPr>
          <w:color w:val="334155"/>
          <w:sz w:val="19"/>
        </w:rPr>
        <w:t>capped conditions.</w:t>
      </w:r>
    </w:p>
    <w:p>
      <w:pPr>
        <w:spacing w:before="40" w:after="80" w:line="276" w:lineRule="auto"/>
      </w:pPr>
      <w:r>
        <w:rPr>
          <w:color w:val="334155"/>
          <w:sz w:val="19"/>
        </w:rPr>
        <w:t>As a declared dam, development in both the TSF</w:t>
      </w:r>
    </w:p>
    <w:p>
      <w:pPr>
        <w:spacing w:before="40" w:after="80" w:line="276" w:lineRule="auto"/>
      </w:pPr>
      <w:r>
        <w:rPr>
          <w:color w:val="334155"/>
          <w:sz w:val="19"/>
        </w:rPr>
        <w:t>and dam break inundation zone remain limited to</w:t>
      </w:r>
    </w:p>
    <w:p>
      <w:pPr>
        <w:spacing w:before="40" w:after="80" w:line="276" w:lineRule="auto"/>
      </w:pPr>
      <w:r>
        <w:rPr>
          <w:color w:val="334155"/>
          <w:sz w:val="19"/>
        </w:rPr>
        <w:t>land uses that do not increase the risk to life or</w:t>
      </w:r>
    </w:p>
    <w:p>
      <w:pPr>
        <w:spacing w:before="40" w:after="80" w:line="276" w:lineRule="auto"/>
      </w:pPr>
      <w:r>
        <w:rPr>
          <w:color w:val="334155"/>
          <w:sz w:val="19"/>
        </w:rPr>
        <w:t>undermine the structural stability of the TSF and</w:t>
      </w:r>
    </w:p>
    <w:p>
      <w:pPr>
        <w:spacing w:before="40" w:after="80" w:line="276" w:lineRule="auto"/>
      </w:pPr>
      <w:r>
        <w:rPr>
          <w:color w:val="334155"/>
          <w:sz w:val="19"/>
        </w:rPr>
        <w:t>associated structures. The downstream dam break</w:t>
      </w:r>
    </w:p>
    <w:p>
      <w:pPr>
        <w:spacing w:before="40" w:after="80" w:line="276" w:lineRule="auto"/>
      </w:pPr>
      <w:r>
        <w:rPr>
          <w:color w:val="334155"/>
          <w:sz w:val="19"/>
        </w:rPr>
        <w:t>inundation zone may be reduced in size over time</w:t>
      </w:r>
    </w:p>
    <w:p>
      <w:pPr>
        <w:spacing w:before="40" w:after="80" w:line="276" w:lineRule="auto"/>
      </w:pPr>
      <w:r>
        <w:rPr>
          <w:color w:val="334155"/>
          <w:sz w:val="19"/>
        </w:rPr>
        <w:t>as rehabilitation progresses, potentially to the</w:t>
      </w:r>
    </w:p>
    <w:p>
      <w:pPr>
        <w:spacing w:before="40" w:after="80" w:line="276" w:lineRule="auto"/>
      </w:pPr>
      <w:r>
        <w:rPr>
          <w:color w:val="334155"/>
          <w:sz w:val="19"/>
        </w:rPr>
        <w:t>point of revoking its declaration as a dam. Once</w:t>
      </w:r>
    </w:p>
    <w:p>
      <w:pPr>
        <w:spacing w:before="40" w:after="80" w:line="276" w:lineRule="auto"/>
      </w:pPr>
      <w:r>
        <w:rPr>
          <w:color w:val="334155"/>
          <w:sz w:val="19"/>
        </w:rPr>
        <w:t>the TSF dam declaration is revoked, development</w:t>
      </w:r>
    </w:p>
    <w:p>
      <w:pPr>
        <w:spacing w:before="40" w:after="80" w:line="276" w:lineRule="auto"/>
      </w:pPr>
      <w:r>
        <w:rPr>
          <w:color w:val="334155"/>
          <w:sz w:val="19"/>
        </w:rPr>
        <w:t>downstream of the dam can be achieved, subject to</w:t>
      </w:r>
    </w:p>
    <w:p>
      <w:pPr>
        <w:spacing w:before="40" w:after="80" w:line="276" w:lineRule="auto"/>
      </w:pPr>
      <w:r>
        <w:rPr>
          <w:color w:val="334155"/>
          <w:sz w:val="19"/>
        </w:rPr>
        <w:t>other constraints.</w:t>
      </w:r>
    </w:p>
    <w:p>
      <w:pPr>
        <w:spacing w:before="40" w:after="80" w:line="276" w:lineRule="auto"/>
      </w:pPr>
      <w:r>
        <w:rPr>
          <w:color w:val="334155"/>
          <w:sz w:val="19"/>
        </w:rPr>
        <w:t>Re-purposing and use of the TSF and associated</w:t>
      </w:r>
    </w:p>
    <w:p>
      <w:pPr>
        <w:spacing w:before="40" w:after="80" w:line="276" w:lineRule="auto"/>
      </w:pPr>
      <w:r>
        <w:rPr>
          <w:color w:val="334155"/>
          <w:sz w:val="19"/>
        </w:rPr>
        <w:t>structures can occur provided detailed structural,</w:t>
      </w:r>
    </w:p>
    <w:p>
      <w:pPr>
        <w:spacing w:before="40" w:after="80" w:line="276" w:lineRule="auto"/>
      </w:pPr>
      <w:r>
        <w:rPr>
          <w:color w:val="334155"/>
          <w:sz w:val="19"/>
        </w:rPr>
        <w:t>geotechnical and hydrological investigations occur</w:t>
      </w:r>
    </w:p>
    <w:p>
      <w:pPr>
        <w:spacing w:before="40" w:after="80" w:line="276" w:lineRule="auto"/>
      </w:pPr>
      <w:r>
        <w:rPr>
          <w:color w:val="334155"/>
          <w:sz w:val="19"/>
        </w:rPr>
        <w:t>in parallel to each development application.</w:t>
      </w:r>
    </w:p>
    <w:p>
      <w:pPr>
        <w:spacing w:before="40" w:after="80" w:line="276" w:lineRule="auto"/>
      </w:pPr>
      <w:r>
        <w:rPr>
          <w:color w:val="334155"/>
          <w:sz w:val="19"/>
        </w:rPr>
        <w:t>Until these prerequisites are met, the TSF and its</w:t>
      </w:r>
    </w:p>
    <w:p>
      <w:pPr>
        <w:spacing w:before="40" w:after="80" w:line="276" w:lineRule="auto"/>
      </w:pPr>
      <w:r>
        <w:rPr>
          <w:color w:val="334155"/>
          <w:sz w:val="19"/>
        </w:rPr>
        <w:t>associated inundation zone may support interim</w:t>
      </w:r>
    </w:p>
    <w:p>
      <w:pPr>
        <w:spacing w:before="40" w:after="80" w:line="276" w:lineRule="auto"/>
      </w:pPr>
      <w:r>
        <w:rPr>
          <w:color w:val="334155"/>
          <w:sz w:val="19"/>
        </w:rPr>
        <w:t>or ‘meanwhile’ uses that maintain a low population</w:t>
      </w:r>
    </w:p>
    <w:p>
      <w:pPr>
        <w:spacing w:before="40" w:after="80" w:line="276" w:lineRule="auto"/>
      </w:pPr>
      <w:r>
        <w:rPr>
          <w:color w:val="334155"/>
          <w:sz w:val="19"/>
        </w:rPr>
        <w:t>level. Such interim uses could include solar energy</w:t>
      </w:r>
    </w:p>
    <w:p>
      <w:pPr>
        <w:spacing w:before="40" w:after="80" w:line="276" w:lineRule="auto"/>
      </w:pPr>
      <w:r>
        <w:rPr>
          <w:color w:val="334155"/>
          <w:sz w:val="19"/>
        </w:rPr>
        <w:t>installations, for which international precedents on</w:t>
      </w:r>
    </w:p>
    <w:p>
      <w:pPr>
        <w:spacing w:before="40" w:after="80" w:line="276" w:lineRule="auto"/>
      </w:pPr>
      <w:r>
        <w:rPr>
          <w:color w:val="334155"/>
          <w:sz w:val="19"/>
        </w:rPr>
        <w:t>tailings dams exist, as well as biodiversity corridor</w:t>
      </w:r>
    </w:p>
    <w:p>
      <w:pPr>
        <w:spacing w:before="40" w:after="80" w:line="276" w:lineRule="auto"/>
      </w:pPr>
      <w:r>
        <w:rPr>
          <w:color w:val="334155"/>
          <w:sz w:val="19"/>
        </w:rPr>
        <w:t>functions, landscape rehabilitation and other low</w:t>
      </w:r>
    </w:p>
    <w:p>
      <w:pPr>
        <w:spacing w:before="40" w:after="80" w:line="276" w:lineRule="auto"/>
      </w:pPr>
      <w:r>
        <w:rPr>
          <w:color w:val="334155"/>
          <w:sz w:val="19"/>
        </w:rPr>
        <w:t>occupancy uses.</w:t>
      </w:r>
    </w:p>
    <w:p>
      <w:pPr>
        <w:spacing w:before="40" w:after="80" w:line="276" w:lineRule="auto"/>
      </w:pPr>
      <w:r>
        <w:rPr>
          <w:color w:val="334155"/>
          <w:sz w:val="19"/>
        </w:rPr>
        <w:t>Development within the further investigation areas</w:t>
      </w:r>
    </w:p>
    <w:p>
      <w:pPr>
        <w:spacing w:before="40" w:after="80" w:line="276" w:lineRule="auto"/>
      </w:pPr>
      <w:r>
        <w:rPr>
          <w:color w:val="334155"/>
          <w:sz w:val="19"/>
        </w:rPr>
        <w:t>associated with the TSF and dam break inundation</w:t>
      </w:r>
    </w:p>
    <w:p>
      <w:pPr>
        <w:spacing w:before="40" w:after="80" w:line="276" w:lineRule="auto"/>
      </w:pPr>
      <w:r>
        <w:rPr>
          <w:color w:val="334155"/>
          <w:sz w:val="19"/>
        </w:rPr>
        <w:t>areas may be brought forward to medium</w:t>
      </w:r>
    </w:p>
    <w:p>
      <w:pPr>
        <w:spacing w:before="40" w:after="80" w:line="276" w:lineRule="auto"/>
      </w:pPr>
      <w:r>
        <w:rPr>
          <w:color w:val="334155"/>
          <w:sz w:val="19"/>
        </w:rPr>
        <w:t>horizon, either as a whole or in part, depending on</w:t>
      </w:r>
    </w:p>
    <w:p>
      <w:pPr>
        <w:spacing w:before="40" w:after="80" w:line="276" w:lineRule="auto"/>
      </w:pPr>
      <w:r>
        <w:rPr>
          <w:color w:val="334155"/>
          <w:sz w:val="19"/>
        </w:rPr>
        <w:t>rehabilitation and ongoing monitoring.</w:t>
      </w:r>
    </w:p>
    <w:p>
      <w:pPr>
        <w:spacing w:before="40" w:after="80" w:line="276" w:lineRule="auto"/>
      </w:pPr>
      <w:r>
        <w:rPr>
          <w:color w:val="334155"/>
          <w:sz w:val="19"/>
        </w:rPr>
        <w:t>30</w:t>
      </w:r>
    </w:p>
    <w:p>
      <w:pPr>
        <w:spacing w:before="40" w:after="80" w:line="276" w:lineRule="auto"/>
      </w:pPr>
      <w:r>
        <w:rPr>
          <w:color w:val="334155"/>
          <w:sz w:val="19"/>
        </w:rPr>
        <w:t>4  Structure plan and sub-precinct framework</w:t>
      </w:r>
    </w:p>
    <w:p>
      <w:pPr>
        <w:pStyle w:val="Heading2"/>
        <w:keepNext/>
        <w:spacing w:before="240" w:after="80"/>
      </w:pPr>
      <w:r>
        <w:rPr>
          <w:b/>
          <w:color w:val="0284C7"/>
        </w:rPr>
        <w:t>Page 31</w:t>
      </w:r>
    </w:p>
    <w:p>
      <w:pPr>
        <w:spacing w:before="40" w:after="80" w:line="276" w:lineRule="auto"/>
      </w:pPr>
      <w:r>
        <w:rPr>
          <w:color w:val="334155"/>
          <w:sz w:val="19"/>
        </w:rPr>
        <w:t>Staging triggers</w:t>
      </w:r>
    </w:p>
    <w:p>
      <w:pPr>
        <w:spacing w:before="40" w:after="80" w:line="276" w:lineRule="auto"/>
      </w:pPr>
      <w:r>
        <w:rPr>
          <w:color w:val="334155"/>
          <w:sz w:val="19"/>
        </w:rPr>
        <w:t>The progressive release of developable land across</w:t>
      </w:r>
    </w:p>
    <w:p>
      <w:pPr>
        <w:spacing w:before="40" w:after="80" w:line="276" w:lineRule="auto"/>
      </w:pPr>
      <w:r>
        <w:rPr>
          <w:color w:val="334155"/>
          <w:sz w:val="19"/>
        </w:rPr>
        <w:t>the Precinct is linked to the completion of key</w:t>
      </w:r>
    </w:p>
    <w:p>
      <w:pPr>
        <w:spacing w:before="40" w:after="80" w:line="276" w:lineRule="auto"/>
      </w:pPr>
      <w:r>
        <w:rPr>
          <w:color w:val="334155"/>
          <w:sz w:val="19"/>
        </w:rPr>
        <w:t>technical investigations and the achievement of</w:t>
      </w:r>
    </w:p>
    <w:p>
      <w:pPr>
        <w:spacing w:before="40" w:after="80" w:line="276" w:lineRule="auto"/>
      </w:pPr>
      <w:r>
        <w:rPr>
          <w:color w:val="334155"/>
          <w:sz w:val="19"/>
        </w:rPr>
        <w:t>rehabilitation milestones. The following staging</w:t>
      </w:r>
    </w:p>
    <w:p>
      <w:pPr>
        <w:spacing w:before="40" w:after="80" w:line="276" w:lineRule="auto"/>
      </w:pPr>
      <w:r>
        <w:rPr>
          <w:color w:val="334155"/>
          <w:sz w:val="19"/>
        </w:rPr>
        <w:t>triggers apply as relevant across the Precinct:</w:t>
      </w:r>
    </w:p>
    <w:p>
      <w:pPr>
        <w:spacing w:before="40" w:after="80" w:line="276" w:lineRule="auto"/>
      </w:pPr>
      <w:r>
        <w:rPr>
          <w:color w:val="334155"/>
          <w:sz w:val="19"/>
        </w:rPr>
        <w:t>•</w:t>
      </w:r>
    </w:p>
    <w:p>
      <w:pPr>
        <w:spacing w:before="40" w:after="80" w:line="276" w:lineRule="auto"/>
      </w:pPr>
      <w:r>
        <w:rPr>
          <w:color w:val="334155"/>
          <w:sz w:val="19"/>
        </w:rPr>
        <w:t>Dam safety and Geotech – Geotechnical</w:t>
      </w:r>
    </w:p>
    <w:p>
      <w:pPr>
        <w:spacing w:before="40" w:after="80" w:line="276" w:lineRule="auto"/>
      </w:pPr>
      <w:r>
        <w:rPr>
          <w:color w:val="334155"/>
          <w:sz w:val="19"/>
        </w:rPr>
        <w:t>monitoring and assessment of TSF, with the view</w:t>
      </w:r>
    </w:p>
    <w:p>
      <w:pPr>
        <w:spacing w:before="40" w:after="80" w:line="276" w:lineRule="auto"/>
      </w:pPr>
      <w:r>
        <w:rPr>
          <w:color w:val="334155"/>
          <w:sz w:val="19"/>
        </w:rPr>
        <w:t>to de-declaring the dam. Updated dam break</w:t>
      </w:r>
    </w:p>
    <w:p>
      <w:pPr>
        <w:spacing w:before="40" w:after="80" w:line="276" w:lineRule="auto"/>
      </w:pPr>
      <w:r>
        <w:rPr>
          <w:color w:val="334155"/>
          <w:sz w:val="19"/>
        </w:rPr>
        <w:t>and consequence assessments demonstrating</w:t>
      </w:r>
    </w:p>
    <w:p>
      <w:pPr>
        <w:spacing w:before="40" w:after="80" w:line="276" w:lineRule="auto"/>
      </w:pPr>
      <w:r>
        <w:rPr>
          <w:color w:val="334155"/>
          <w:sz w:val="19"/>
        </w:rPr>
        <w:t>a reduction in the dam break inundation zone.</w:t>
      </w:r>
    </w:p>
    <w:p>
      <w:pPr>
        <w:spacing w:before="40" w:after="80" w:line="276" w:lineRule="auto"/>
      </w:pPr>
      <w:r>
        <w:rPr>
          <w:color w:val="334155"/>
          <w:sz w:val="19"/>
        </w:rPr>
        <w:t>Refer to Section 9 Sustainability and resilience</w:t>
      </w:r>
    </w:p>
    <w:p>
      <w:pPr>
        <w:spacing w:before="40" w:after="80" w:line="276" w:lineRule="auto"/>
      </w:pPr>
      <w:r>
        <w:rPr>
          <w:color w:val="334155"/>
          <w:sz w:val="19"/>
        </w:rPr>
        <w:t>on page 51 for detailed dam safety aims and</w:t>
      </w:r>
    </w:p>
    <w:p>
      <w:pPr>
        <w:spacing w:before="40" w:after="80" w:line="276" w:lineRule="auto"/>
      </w:pPr>
      <w:r>
        <w:rPr>
          <w:color w:val="334155"/>
          <w:sz w:val="19"/>
        </w:rPr>
        <w:t>performance criteria.</w:t>
      </w:r>
    </w:p>
    <w:p>
      <w:pPr>
        <w:spacing w:before="40" w:after="80" w:line="276" w:lineRule="auto"/>
      </w:pPr>
      <w:r>
        <w:rPr>
          <w:color w:val="334155"/>
          <w:sz w:val="19"/>
        </w:rPr>
        <w:t>•</w:t>
      </w:r>
    </w:p>
    <w:p>
      <w:pPr>
        <w:spacing w:before="40" w:after="80" w:line="276" w:lineRule="auto"/>
      </w:pPr>
      <w:r>
        <w:rPr>
          <w:color w:val="334155"/>
          <w:sz w:val="19"/>
        </w:rPr>
        <w:t>Contamination – Completion of staged</w:t>
      </w:r>
    </w:p>
    <w:p>
      <w:pPr>
        <w:spacing w:before="40" w:after="80" w:line="276" w:lineRule="auto"/>
      </w:pPr>
      <w:r>
        <w:rPr>
          <w:color w:val="334155"/>
          <w:sz w:val="19"/>
        </w:rPr>
        <w:t>contamination investigations and, where</w:t>
      </w:r>
    </w:p>
    <w:p>
      <w:pPr>
        <w:spacing w:before="40" w:after="80" w:line="276" w:lineRule="auto"/>
      </w:pPr>
      <w:r>
        <w:rPr>
          <w:color w:val="334155"/>
          <w:sz w:val="19"/>
        </w:rPr>
        <w:t>required, remediation or management</w:t>
      </w:r>
    </w:p>
    <w:p>
      <w:pPr>
        <w:spacing w:before="40" w:after="80" w:line="276" w:lineRule="auto"/>
      </w:pPr>
      <w:r>
        <w:rPr>
          <w:color w:val="334155"/>
          <w:sz w:val="19"/>
        </w:rPr>
        <w:t>measures appropriate to the proposed land</w:t>
      </w:r>
    </w:p>
    <w:p>
      <w:pPr>
        <w:spacing w:before="40" w:after="80" w:line="276" w:lineRule="auto"/>
      </w:pPr>
      <w:r>
        <w:rPr>
          <w:color w:val="334155"/>
          <w:sz w:val="19"/>
        </w:rPr>
        <w:t>use, in accordance with the Contaminated Land</w:t>
      </w:r>
    </w:p>
    <w:p>
      <w:pPr>
        <w:spacing w:before="40" w:after="80" w:line="276" w:lineRule="auto"/>
      </w:pPr>
      <w:r>
        <w:rPr>
          <w:color w:val="334155"/>
          <w:sz w:val="19"/>
        </w:rPr>
        <w:t>Management Act 1997 and State Environmental</w:t>
      </w:r>
    </w:p>
    <w:p>
      <w:pPr>
        <w:spacing w:before="40" w:after="80" w:line="276" w:lineRule="auto"/>
      </w:pPr>
      <w:r>
        <w:rPr>
          <w:color w:val="334155"/>
          <w:sz w:val="19"/>
        </w:rPr>
        <w:t>Planning Policy (Resilience and Hazards) 2021.</w:t>
      </w:r>
    </w:p>
    <w:p>
      <w:pPr>
        <w:spacing w:before="40" w:after="80" w:line="276" w:lineRule="auto"/>
      </w:pPr>
      <w:r>
        <w:rPr>
          <w:color w:val="334155"/>
          <w:sz w:val="19"/>
        </w:rPr>
        <w:t>•</w:t>
      </w:r>
    </w:p>
    <w:p>
      <w:pPr>
        <w:spacing w:before="40" w:after="80" w:line="276" w:lineRule="auto"/>
      </w:pPr>
      <w:r>
        <w:rPr>
          <w:color w:val="334155"/>
          <w:sz w:val="19"/>
        </w:rPr>
        <w:t>Geotechnical stability – Geotechnical</w:t>
      </w:r>
    </w:p>
    <w:p>
      <w:pPr>
        <w:spacing w:before="40" w:after="80" w:line="276" w:lineRule="auto"/>
      </w:pPr>
      <w:r>
        <w:rPr>
          <w:color w:val="334155"/>
          <w:sz w:val="19"/>
        </w:rPr>
        <w:t>assessments confirming the suitability of land</w:t>
      </w:r>
    </w:p>
    <w:p>
      <w:pPr>
        <w:spacing w:before="40" w:after="80" w:line="276" w:lineRule="auto"/>
      </w:pPr>
      <w:r>
        <w:rPr>
          <w:color w:val="334155"/>
          <w:sz w:val="19"/>
        </w:rPr>
        <w:t>for the proposed development type, particularly</w:t>
      </w:r>
    </w:p>
    <w:p>
      <w:pPr>
        <w:spacing w:before="40" w:after="80" w:line="276" w:lineRule="auto"/>
      </w:pPr>
      <w:r>
        <w:rPr>
          <w:color w:val="334155"/>
          <w:sz w:val="19"/>
        </w:rPr>
        <w:t>rehabilitated landforms.</w:t>
      </w:r>
    </w:p>
    <w:p>
      <w:pPr>
        <w:spacing w:before="40" w:after="80" w:line="276" w:lineRule="auto"/>
      </w:pPr>
      <w:r>
        <w:rPr>
          <w:color w:val="334155"/>
          <w:sz w:val="19"/>
        </w:rPr>
        <w:t>•</w:t>
      </w:r>
    </w:p>
    <w:p>
      <w:pPr>
        <w:spacing w:before="40" w:after="80" w:line="276" w:lineRule="auto"/>
      </w:pPr>
      <w:r>
        <w:rPr>
          <w:color w:val="334155"/>
          <w:sz w:val="19"/>
        </w:rPr>
        <w:t>Flooding – Detailed flood modelling confirming</w:t>
      </w:r>
    </w:p>
    <w:p>
      <w:pPr>
        <w:spacing w:before="40" w:after="80" w:line="276" w:lineRule="auto"/>
      </w:pPr>
      <w:r>
        <w:rPr>
          <w:color w:val="334155"/>
          <w:sz w:val="19"/>
        </w:rPr>
        <w:t>flood planning levels, developable areas</w:t>
      </w:r>
    </w:p>
    <w:p>
      <w:pPr>
        <w:spacing w:before="40" w:after="80" w:line="276" w:lineRule="auto"/>
      </w:pPr>
      <w:r>
        <w:rPr>
          <w:color w:val="334155"/>
          <w:sz w:val="19"/>
        </w:rPr>
        <w:t>and appropriate mitigation measures for</w:t>
      </w:r>
    </w:p>
    <w:p>
      <w:pPr>
        <w:spacing w:before="40" w:after="80" w:line="276" w:lineRule="auto"/>
      </w:pPr>
      <w:r>
        <w:rPr>
          <w:color w:val="334155"/>
          <w:sz w:val="19"/>
        </w:rPr>
        <w:t>development within or adjacent to flood-</w:t>
      </w:r>
    </w:p>
    <w:p>
      <w:pPr>
        <w:spacing w:before="40" w:after="80" w:line="276" w:lineRule="auto"/>
      </w:pPr>
      <w:r>
        <w:rPr>
          <w:color w:val="334155"/>
          <w:sz w:val="19"/>
        </w:rPr>
        <w:t>affected land, including climate change and</w:t>
      </w:r>
    </w:p>
    <w:p>
      <w:pPr>
        <w:spacing w:before="40" w:after="80" w:line="276" w:lineRule="auto"/>
      </w:pPr>
      <w:r>
        <w:rPr>
          <w:color w:val="334155"/>
          <w:sz w:val="19"/>
        </w:rPr>
        <w:t>dam break interaction scenarios.</w:t>
      </w:r>
    </w:p>
    <w:p>
      <w:pPr>
        <w:spacing w:before="40" w:after="80" w:line="276" w:lineRule="auto"/>
      </w:pPr>
      <w:r>
        <w:rPr>
          <w:color w:val="334155"/>
          <w:sz w:val="19"/>
        </w:rPr>
        <w:t>•</w:t>
      </w:r>
    </w:p>
    <w:p>
      <w:pPr>
        <w:spacing w:before="40" w:after="80" w:line="276" w:lineRule="auto"/>
      </w:pPr>
      <w:r>
        <w:rPr>
          <w:color w:val="334155"/>
          <w:sz w:val="19"/>
        </w:rPr>
        <w:t>Infrastructure and servicing – Confirmation of</w:t>
      </w:r>
    </w:p>
    <w:p>
      <w:pPr>
        <w:spacing w:before="40" w:after="80" w:line="276" w:lineRule="auto"/>
      </w:pPr>
      <w:r>
        <w:rPr>
          <w:color w:val="334155"/>
          <w:sz w:val="19"/>
        </w:rPr>
        <w:t>utility servicing capacity (water, wastewater,</w:t>
      </w:r>
    </w:p>
    <w:p>
      <w:pPr>
        <w:spacing w:before="40" w:after="80" w:line="276" w:lineRule="auto"/>
      </w:pPr>
      <w:r>
        <w:rPr>
          <w:color w:val="334155"/>
          <w:sz w:val="19"/>
        </w:rPr>
        <w:t>electricity, telecommunications) and delivery</w:t>
      </w:r>
    </w:p>
    <w:p>
      <w:pPr>
        <w:spacing w:before="40" w:after="80" w:line="276" w:lineRule="auto"/>
      </w:pPr>
      <w:r>
        <w:rPr>
          <w:color w:val="334155"/>
          <w:sz w:val="19"/>
        </w:rPr>
        <w:t>of enabling infrastructure to support</w:t>
      </w:r>
    </w:p>
    <w:p>
      <w:pPr>
        <w:spacing w:before="40" w:after="80" w:line="276" w:lineRule="auto"/>
      </w:pPr>
      <w:r>
        <w:rPr>
          <w:color w:val="334155"/>
          <w:sz w:val="19"/>
        </w:rPr>
        <w:t>staged development. Refer to Section 10</w:t>
      </w:r>
    </w:p>
    <w:p>
      <w:pPr>
        <w:spacing w:before="40" w:after="80" w:line="276" w:lineRule="auto"/>
      </w:pPr>
      <w:r>
        <w:rPr>
          <w:color w:val="334155"/>
          <w:sz w:val="19"/>
        </w:rPr>
        <w:t>Infrastructure, utilities and servicing on page</w:t>
      </w:r>
    </w:p>
    <w:p>
      <w:pPr>
        <w:spacing w:before="40" w:after="80" w:line="276" w:lineRule="auto"/>
      </w:pPr>
      <w:r>
        <w:rPr>
          <w:color w:val="334155"/>
          <w:sz w:val="19"/>
        </w:rPr>
        <w:t>58 for detailed infrastructure and servicing</w:t>
      </w:r>
    </w:p>
    <w:p>
      <w:pPr>
        <w:spacing w:before="40" w:after="80" w:line="276" w:lineRule="auto"/>
      </w:pPr>
      <w:r>
        <w:rPr>
          <w:color w:val="334155"/>
          <w:sz w:val="19"/>
        </w:rPr>
        <w:t>aims and performance criteria.</w:t>
      </w:r>
    </w:p>
    <w:p>
      <w:pPr>
        <w:spacing w:before="40" w:after="80" w:line="276" w:lineRule="auto"/>
      </w:pPr>
      <w:r>
        <w:rPr>
          <w:color w:val="334155"/>
          <w:sz w:val="19"/>
        </w:rPr>
        <w:t>•</w:t>
      </w:r>
    </w:p>
    <w:p>
      <w:pPr>
        <w:spacing w:before="40" w:after="80" w:line="276" w:lineRule="auto"/>
      </w:pPr>
      <w:r>
        <w:rPr>
          <w:color w:val="334155"/>
          <w:sz w:val="19"/>
        </w:rPr>
        <w:t>Biodiversity – Completion of detailed</w:t>
      </w:r>
    </w:p>
    <w:p>
      <w:pPr>
        <w:spacing w:before="40" w:after="80" w:line="276" w:lineRule="auto"/>
      </w:pPr>
      <w:r>
        <w:rPr>
          <w:color w:val="334155"/>
          <w:sz w:val="19"/>
        </w:rPr>
        <w:t>environmental surveys to verify biodiversity</w:t>
      </w:r>
    </w:p>
    <w:p>
      <w:pPr>
        <w:spacing w:before="40" w:after="80" w:line="276" w:lineRule="auto"/>
      </w:pPr>
      <w:r>
        <w:rPr>
          <w:color w:val="334155"/>
          <w:sz w:val="19"/>
        </w:rPr>
        <w:t>values and confirm environmentally constrained</w:t>
      </w:r>
    </w:p>
    <w:p>
      <w:pPr>
        <w:spacing w:before="40" w:after="80" w:line="276" w:lineRule="auto"/>
      </w:pPr>
      <w:r>
        <w:rPr>
          <w:color w:val="334155"/>
          <w:sz w:val="19"/>
        </w:rPr>
        <w:t>area boundaries.</w:t>
      </w:r>
    </w:p>
    <w:p>
      <w:pPr>
        <w:spacing w:before="40" w:after="80" w:line="276" w:lineRule="auto"/>
      </w:pPr>
      <w:r>
        <w:rPr>
          <w:color w:val="334155"/>
          <w:sz w:val="19"/>
        </w:rPr>
        <w:t>•</w:t>
      </w:r>
    </w:p>
    <w:p>
      <w:pPr>
        <w:spacing w:before="40" w:after="80" w:line="276" w:lineRule="auto"/>
      </w:pPr>
      <w:r>
        <w:rPr>
          <w:color w:val="334155"/>
          <w:sz w:val="19"/>
        </w:rPr>
        <w:t>Take-up and market demand – Progressive</w:t>
      </w:r>
    </w:p>
    <w:p>
      <w:pPr>
        <w:spacing w:before="40" w:after="80" w:line="276" w:lineRule="auto"/>
      </w:pPr>
      <w:r>
        <w:rPr>
          <w:color w:val="334155"/>
          <w:sz w:val="19"/>
        </w:rPr>
        <w:t>development is informed by demonstrated</w:t>
      </w:r>
    </w:p>
    <w:p>
      <w:pPr>
        <w:spacing w:before="40" w:after="80" w:line="276" w:lineRule="auto"/>
      </w:pPr>
      <w:r>
        <w:rPr>
          <w:color w:val="334155"/>
          <w:sz w:val="19"/>
        </w:rPr>
        <w:t>market take-up across the Precinct.</w:t>
      </w:r>
    </w:p>
    <w:p>
      <w:pPr>
        <w:spacing w:before="40" w:after="80" w:line="276" w:lineRule="auto"/>
      </w:pPr>
      <w:r>
        <w:rPr>
          <w:color w:val="334155"/>
          <w:sz w:val="19"/>
        </w:rPr>
        <w:t>The sequencing of development is to be</w:t>
      </w:r>
    </w:p>
    <w:p>
      <w:pPr>
        <w:spacing w:before="40" w:after="80" w:line="276" w:lineRule="auto"/>
      </w:pPr>
      <w:r>
        <w:rPr>
          <w:color w:val="334155"/>
          <w:sz w:val="19"/>
        </w:rPr>
        <w:t>coordinated with the delivery of supporting</w:t>
      </w:r>
    </w:p>
    <w:p>
      <w:pPr>
        <w:spacing w:before="40" w:after="80" w:line="276" w:lineRule="auto"/>
      </w:pPr>
      <w:r>
        <w:rPr>
          <w:color w:val="334155"/>
          <w:sz w:val="19"/>
        </w:rPr>
        <w:t>infrastructure to make sure that the transport</w:t>
      </w:r>
    </w:p>
    <w:p>
      <w:pPr>
        <w:spacing w:before="40" w:after="80" w:line="276" w:lineRule="auto"/>
      </w:pPr>
      <w:r>
        <w:rPr>
          <w:color w:val="334155"/>
          <w:sz w:val="19"/>
        </w:rPr>
        <w:t>network, utilities and community facilities can</w:t>
      </w:r>
    </w:p>
    <w:p>
      <w:pPr>
        <w:spacing w:before="40" w:after="80" w:line="276" w:lineRule="auto"/>
      </w:pPr>
      <w:r>
        <w:rPr>
          <w:color w:val="334155"/>
          <w:sz w:val="19"/>
        </w:rPr>
        <w:t>accommodate incremental growth. Development</w:t>
      </w:r>
    </w:p>
    <w:p>
      <w:pPr>
        <w:spacing w:before="40" w:after="80" w:line="276" w:lineRule="auto"/>
      </w:pPr>
      <w:r>
        <w:rPr>
          <w:color w:val="334155"/>
          <w:sz w:val="19"/>
        </w:rPr>
        <w:t>staging should also be coordinated with mine</w:t>
      </w:r>
    </w:p>
    <w:p>
      <w:pPr>
        <w:spacing w:before="40" w:after="80" w:line="276" w:lineRule="auto"/>
      </w:pPr>
      <w:r>
        <w:rPr>
          <w:color w:val="334155"/>
          <w:sz w:val="19"/>
        </w:rPr>
        <w:t>closure and rehabilitation activities so that land</w:t>
      </w:r>
    </w:p>
    <w:p>
      <w:pPr>
        <w:spacing w:before="40" w:after="80" w:line="276" w:lineRule="auto"/>
      </w:pPr>
      <w:r>
        <w:rPr>
          <w:color w:val="334155"/>
          <w:sz w:val="19"/>
        </w:rPr>
        <w:t>use transformation proceeds in an orderly manner.</w:t>
      </w:r>
    </w:p>
    <w:p>
      <w:pPr>
        <w:spacing w:before="40" w:after="80" w:line="276" w:lineRule="auto"/>
      </w:pPr>
      <w:r>
        <w:rPr>
          <w:color w:val="334155"/>
          <w:sz w:val="19"/>
        </w:rPr>
        <w:t>An indicative description of the staging triggers</w:t>
      </w:r>
    </w:p>
    <w:p>
      <w:pPr>
        <w:spacing w:before="40" w:after="80" w:line="276" w:lineRule="auto"/>
      </w:pPr>
      <w:r>
        <w:rPr>
          <w:color w:val="334155"/>
          <w:sz w:val="19"/>
        </w:rPr>
        <w:t>according to sub-precincts is provided in Table 2.</w:t>
      </w:r>
    </w:p>
    <w:p>
      <w:pPr>
        <w:spacing w:before="40" w:after="80" w:line="276" w:lineRule="auto"/>
      </w:pPr>
      <w:r>
        <w:rPr>
          <w:color w:val="334155"/>
          <w:sz w:val="19"/>
        </w:rPr>
        <w:t>31</w:t>
      </w:r>
    </w:p>
    <w:p>
      <w:pPr>
        <w:spacing w:before="40" w:after="80" w:line="276" w:lineRule="auto"/>
      </w:pPr>
      <w:r>
        <w:rPr>
          <w:color w:val="334155"/>
          <w:sz w:val="19"/>
        </w:rPr>
        <w:t>4  Structure plan and sub-precinct framework</w:t>
      </w:r>
    </w:p>
    <w:p>
      <w:pPr>
        <w:pStyle w:val="Heading2"/>
        <w:keepNext/>
        <w:spacing w:before="240" w:after="80"/>
      </w:pPr>
      <w:r>
        <w:rPr>
          <w:b/>
          <w:color w:val="0284C7"/>
        </w:rPr>
        <w:t>Page 32</w:t>
      </w:r>
    </w:p>
    <w:p>
      <w:pPr>
        <w:spacing w:before="40" w:after="80" w:line="276" w:lineRule="auto"/>
      </w:pPr>
      <w:r>
        <w:rPr>
          <w:color w:val="334155"/>
          <w:sz w:val="19"/>
        </w:rPr>
        <w:t>Table 2: Indicative staging triggers by sub-precinct</w:t>
      </w:r>
    </w:p>
    <w:p>
      <w:pPr>
        <w:spacing w:before="40" w:after="80" w:line="276" w:lineRule="auto"/>
      </w:pPr>
      <w:r>
        <w:rPr>
          <w:color w:val="334155"/>
          <w:sz w:val="19"/>
        </w:rPr>
        <w:t>Sub</w:t>
      </w:r>
    </w:p>
    <w:p>
      <w:pPr>
        <w:spacing w:before="40" w:after="80" w:line="276" w:lineRule="auto"/>
      </w:pPr>
      <w:r>
        <w:rPr>
          <w:color w:val="334155"/>
          <w:sz w:val="19"/>
        </w:rPr>
        <w:t>precinct</w:t>
      </w:r>
    </w:p>
    <w:p>
      <w:pPr>
        <w:spacing w:before="40" w:after="80" w:line="276" w:lineRule="auto"/>
      </w:pPr>
      <w:r>
        <w:rPr>
          <w:color w:val="334155"/>
          <w:sz w:val="19"/>
        </w:rPr>
        <w:t>Timing</w:t>
      </w:r>
    </w:p>
    <w:p>
      <w:pPr>
        <w:spacing w:before="40" w:after="80" w:line="276" w:lineRule="auto"/>
      </w:pPr>
      <w:r>
        <w:rPr>
          <w:color w:val="334155"/>
          <w:sz w:val="19"/>
        </w:rPr>
        <w:t>horizon</w:t>
      </w:r>
    </w:p>
    <w:p>
      <w:pPr>
        <w:spacing w:before="40" w:after="80" w:line="276" w:lineRule="auto"/>
      </w:pPr>
      <w:r>
        <w:rPr>
          <w:color w:val="334155"/>
          <w:sz w:val="19"/>
        </w:rPr>
        <w:t>Staging intent</w:t>
      </w:r>
    </w:p>
    <w:p>
      <w:pPr>
        <w:spacing w:before="40" w:after="80" w:line="276" w:lineRule="auto"/>
      </w:pPr>
      <w:r>
        <w:rPr>
          <w:color w:val="334155"/>
          <w:sz w:val="19"/>
        </w:rPr>
        <w:t>Key enabling triggers</w:t>
      </w:r>
    </w:p>
    <w:p>
      <w:pPr>
        <w:spacing w:before="40" w:after="80" w:line="276" w:lineRule="auto"/>
      </w:pPr>
      <w:r>
        <w:rPr>
          <w:color w:val="334155"/>
          <w:sz w:val="19"/>
        </w:rPr>
        <w:t>Cockle</w:t>
      </w:r>
    </w:p>
    <w:p>
      <w:pPr>
        <w:spacing w:before="40" w:after="80" w:line="276" w:lineRule="auto"/>
      </w:pPr>
      <w:r>
        <w:rPr>
          <w:color w:val="334155"/>
          <w:sz w:val="19"/>
        </w:rPr>
        <w:t>Creek</w:t>
      </w:r>
    </w:p>
    <w:p>
      <w:pPr>
        <w:spacing w:before="40" w:after="80" w:line="276" w:lineRule="auto"/>
      </w:pPr>
      <w:r>
        <w:rPr>
          <w:color w:val="334155"/>
          <w:sz w:val="19"/>
        </w:rPr>
        <w:t>Short-</w:t>
      </w:r>
    </w:p>
    <w:p>
      <w:pPr>
        <w:spacing w:before="40" w:after="80" w:line="276" w:lineRule="auto"/>
      </w:pPr>
      <w:r>
        <w:rPr>
          <w:color w:val="334155"/>
          <w:sz w:val="19"/>
        </w:rPr>
        <w:t>Medium-Long</w:t>
      </w:r>
    </w:p>
    <w:p>
      <w:pPr>
        <w:spacing w:before="40" w:after="80" w:line="276" w:lineRule="auto"/>
      </w:pPr>
      <w:r>
        <w:rPr>
          <w:color w:val="334155"/>
          <w:sz w:val="19"/>
        </w:rPr>
        <w:t>Infrastructure-led and</w:t>
      </w:r>
    </w:p>
    <w:p>
      <w:pPr>
        <w:spacing w:before="40" w:after="80" w:line="276" w:lineRule="auto"/>
      </w:pPr>
      <w:r>
        <w:rPr>
          <w:color w:val="334155"/>
          <w:sz w:val="19"/>
        </w:rPr>
        <w:t>staged development areas</w:t>
      </w:r>
    </w:p>
    <w:p>
      <w:pPr>
        <w:spacing w:before="40" w:after="80" w:line="276" w:lineRule="auto"/>
      </w:pPr>
      <w:r>
        <w:rPr>
          <w:color w:val="334155"/>
          <w:sz w:val="19"/>
        </w:rPr>
        <w:t>linked to triggers</w:t>
      </w:r>
    </w:p>
    <w:p>
      <w:pPr>
        <w:spacing w:before="40" w:after="80" w:line="276" w:lineRule="auto"/>
      </w:pPr>
      <w:r>
        <w:rPr>
          <w:color w:val="334155"/>
          <w:sz w:val="19"/>
        </w:rPr>
        <w:t>•</w:t>
      </w:r>
    </w:p>
    <w:p>
      <w:pPr>
        <w:spacing w:before="40" w:after="80" w:line="276" w:lineRule="auto"/>
      </w:pPr>
      <w:r>
        <w:rPr>
          <w:color w:val="334155"/>
          <w:sz w:val="19"/>
        </w:rPr>
        <w:t>Completion of rehabilitation and Geotechnical verification</w:t>
      </w:r>
    </w:p>
    <w:p>
      <w:pPr>
        <w:spacing w:before="40" w:after="80" w:line="276" w:lineRule="auto"/>
      </w:pPr>
      <w:r>
        <w:rPr>
          <w:color w:val="334155"/>
          <w:sz w:val="19"/>
        </w:rPr>
        <w:t>•</w:t>
      </w:r>
    </w:p>
    <w:p>
      <w:pPr>
        <w:spacing w:before="40" w:after="80" w:line="276" w:lineRule="auto"/>
      </w:pPr>
      <w:r>
        <w:rPr>
          <w:color w:val="334155"/>
          <w:sz w:val="19"/>
        </w:rPr>
        <w:t>Adequate provision for site access (including heavy vehicle and rail</w:t>
      </w:r>
    </w:p>
    <w:p>
      <w:pPr>
        <w:spacing w:before="40" w:after="80" w:line="276" w:lineRule="auto"/>
      </w:pPr>
      <w:r>
        <w:rPr>
          <w:color w:val="334155"/>
          <w:sz w:val="19"/>
        </w:rPr>
        <w:t>interface as required)</w:t>
      </w:r>
    </w:p>
    <w:p>
      <w:pPr>
        <w:spacing w:before="40" w:after="80" w:line="276" w:lineRule="auto"/>
      </w:pPr>
      <w:r>
        <w:rPr>
          <w:color w:val="334155"/>
          <w:sz w:val="19"/>
        </w:rPr>
        <w:t>•</w:t>
      </w:r>
    </w:p>
    <w:p>
      <w:pPr>
        <w:spacing w:before="40" w:after="80" w:line="276" w:lineRule="auto"/>
      </w:pPr>
      <w:r>
        <w:rPr>
          <w:color w:val="334155"/>
          <w:sz w:val="19"/>
        </w:rPr>
        <w:t>Delivery of enabling infrastructure and servicing</w:t>
      </w:r>
    </w:p>
    <w:p>
      <w:pPr>
        <w:spacing w:before="40" w:after="80" w:line="276" w:lineRule="auto"/>
      </w:pPr>
      <w:r>
        <w:rPr>
          <w:color w:val="334155"/>
          <w:sz w:val="19"/>
        </w:rPr>
        <w:t>•</w:t>
      </w:r>
    </w:p>
    <w:p>
      <w:pPr>
        <w:spacing w:before="40" w:after="80" w:line="276" w:lineRule="auto"/>
      </w:pPr>
      <w:r>
        <w:rPr>
          <w:color w:val="334155"/>
          <w:sz w:val="19"/>
        </w:rPr>
        <w:t>Detailed flood assessment in low-lying areas</w:t>
      </w:r>
    </w:p>
    <w:p>
      <w:pPr>
        <w:spacing w:before="40" w:after="80" w:line="276" w:lineRule="auto"/>
      </w:pPr>
      <w:r>
        <w:rPr>
          <w:color w:val="334155"/>
          <w:sz w:val="19"/>
        </w:rPr>
        <w:t>•</w:t>
      </w:r>
    </w:p>
    <w:p>
      <w:pPr>
        <w:spacing w:before="40" w:after="80" w:line="276" w:lineRule="auto"/>
      </w:pPr>
      <w:r>
        <w:rPr>
          <w:color w:val="334155"/>
          <w:sz w:val="19"/>
        </w:rPr>
        <w:t>Resolution of dam safety constraints (including reduction in dam break</w:t>
      </w:r>
    </w:p>
    <w:p>
      <w:pPr>
        <w:spacing w:before="40" w:after="80" w:line="276" w:lineRule="auto"/>
      </w:pPr>
      <w:r>
        <w:rPr>
          <w:color w:val="334155"/>
          <w:sz w:val="19"/>
        </w:rPr>
        <w:t>inundation zone extent) relevant to the proposed development and site</w:t>
      </w:r>
    </w:p>
    <w:p>
      <w:pPr>
        <w:spacing w:before="40" w:after="80" w:line="276" w:lineRule="auto"/>
      </w:pPr>
      <w:r>
        <w:rPr>
          <w:color w:val="334155"/>
          <w:sz w:val="19"/>
        </w:rPr>
        <w:t>access</w:t>
      </w:r>
    </w:p>
    <w:p>
      <w:pPr>
        <w:spacing w:before="40" w:after="80" w:line="276" w:lineRule="auto"/>
      </w:pPr>
      <w:r>
        <w:rPr>
          <w:color w:val="334155"/>
          <w:sz w:val="19"/>
        </w:rPr>
        <w:t>•</w:t>
      </w:r>
    </w:p>
    <w:p>
      <w:pPr>
        <w:spacing w:before="40" w:after="80" w:line="276" w:lineRule="auto"/>
      </w:pPr>
      <w:r>
        <w:rPr>
          <w:color w:val="334155"/>
          <w:sz w:val="19"/>
        </w:rPr>
        <w:t>Demonstrated market take-up of preceding stages within the sub-</w:t>
      </w:r>
    </w:p>
    <w:p>
      <w:pPr>
        <w:spacing w:before="40" w:after="80" w:line="276" w:lineRule="auto"/>
      </w:pPr>
      <w:r>
        <w:rPr>
          <w:color w:val="334155"/>
          <w:sz w:val="19"/>
        </w:rPr>
        <w:t>precinct or across the Precinct.</w:t>
      </w:r>
    </w:p>
    <w:p>
      <w:pPr>
        <w:spacing w:before="40" w:after="80" w:line="276" w:lineRule="auto"/>
      </w:pPr>
      <w:r>
        <w:rPr>
          <w:color w:val="334155"/>
          <w:sz w:val="19"/>
        </w:rPr>
        <w:t>Killingworth Short-Medium Infrastructure-led and</w:t>
      </w:r>
    </w:p>
    <w:p>
      <w:pPr>
        <w:spacing w:before="40" w:after="80" w:line="276" w:lineRule="auto"/>
      </w:pPr>
      <w:r>
        <w:rPr>
          <w:color w:val="334155"/>
          <w:sz w:val="19"/>
        </w:rPr>
        <w:t>staged development areas</w:t>
      </w:r>
    </w:p>
    <w:p>
      <w:pPr>
        <w:spacing w:before="40" w:after="80" w:line="276" w:lineRule="auto"/>
      </w:pPr>
      <w:r>
        <w:rPr>
          <w:color w:val="334155"/>
          <w:sz w:val="19"/>
        </w:rPr>
        <w:t>linked to triggers</w:t>
      </w:r>
    </w:p>
    <w:p>
      <w:pPr>
        <w:spacing w:before="40" w:after="80" w:line="276" w:lineRule="auto"/>
      </w:pPr>
      <w:r>
        <w:rPr>
          <w:color w:val="334155"/>
          <w:sz w:val="19"/>
        </w:rPr>
        <w:t>•</w:t>
      </w:r>
    </w:p>
    <w:p>
      <w:pPr>
        <w:spacing w:before="40" w:after="80" w:line="276" w:lineRule="auto"/>
      </w:pPr>
      <w:r>
        <w:rPr>
          <w:color w:val="334155"/>
          <w:sz w:val="19"/>
        </w:rPr>
        <w:t>Completion of rehabilitation and Geotechnical verification</w:t>
      </w:r>
    </w:p>
    <w:p>
      <w:pPr>
        <w:spacing w:before="40" w:after="80" w:line="276" w:lineRule="auto"/>
      </w:pPr>
      <w:r>
        <w:rPr>
          <w:color w:val="334155"/>
          <w:sz w:val="19"/>
        </w:rPr>
        <w:t>•</w:t>
      </w:r>
    </w:p>
    <w:p>
      <w:pPr>
        <w:spacing w:before="40" w:after="80" w:line="276" w:lineRule="auto"/>
      </w:pPr>
      <w:r>
        <w:rPr>
          <w:color w:val="334155"/>
          <w:sz w:val="19"/>
        </w:rPr>
        <w:t>Detailed flood modelling and confirmation of developable areas</w:t>
      </w:r>
    </w:p>
    <w:p>
      <w:pPr>
        <w:spacing w:before="40" w:after="80" w:line="276" w:lineRule="auto"/>
      </w:pPr>
      <w:r>
        <w:rPr>
          <w:color w:val="334155"/>
          <w:sz w:val="19"/>
        </w:rPr>
        <w:t>•</w:t>
      </w:r>
    </w:p>
    <w:p>
      <w:pPr>
        <w:spacing w:before="40" w:after="80" w:line="276" w:lineRule="auto"/>
      </w:pPr>
      <w:r>
        <w:rPr>
          <w:color w:val="334155"/>
          <w:sz w:val="19"/>
        </w:rPr>
        <w:t>Detailed flood assessment in low-lying areas</w:t>
      </w:r>
    </w:p>
    <w:p>
      <w:pPr>
        <w:spacing w:before="40" w:after="80" w:line="276" w:lineRule="auto"/>
      </w:pPr>
      <w:r>
        <w:rPr>
          <w:color w:val="334155"/>
          <w:sz w:val="19"/>
        </w:rPr>
        <w:t>•</w:t>
      </w:r>
    </w:p>
    <w:p>
      <w:pPr>
        <w:spacing w:before="40" w:after="80" w:line="276" w:lineRule="auto"/>
      </w:pPr>
      <w:r>
        <w:rPr>
          <w:color w:val="334155"/>
          <w:sz w:val="19"/>
        </w:rPr>
        <w:t>Assessment of biodiversity constraints to confirm developable land</w:t>
      </w:r>
    </w:p>
    <w:p>
      <w:pPr>
        <w:spacing w:before="40" w:after="80" w:line="276" w:lineRule="auto"/>
      </w:pPr>
      <w:r>
        <w:rPr>
          <w:color w:val="334155"/>
          <w:sz w:val="19"/>
        </w:rPr>
        <w:t>•</w:t>
      </w:r>
    </w:p>
    <w:p>
      <w:pPr>
        <w:spacing w:before="40" w:after="80" w:line="276" w:lineRule="auto"/>
      </w:pPr>
      <w:r>
        <w:rPr>
          <w:color w:val="334155"/>
          <w:sz w:val="19"/>
        </w:rPr>
        <w:t>Demonstrated market take-up of preceding stages within the sub-</w:t>
      </w:r>
    </w:p>
    <w:p>
      <w:pPr>
        <w:spacing w:before="40" w:after="80" w:line="276" w:lineRule="auto"/>
      </w:pPr>
      <w:r>
        <w:rPr>
          <w:color w:val="334155"/>
          <w:sz w:val="19"/>
        </w:rPr>
        <w:t>precinct or across the Precinct.</w:t>
      </w:r>
    </w:p>
    <w:p>
      <w:pPr>
        <w:spacing w:before="40" w:after="80" w:line="276" w:lineRule="auto"/>
      </w:pPr>
      <w:r>
        <w:rPr>
          <w:color w:val="334155"/>
          <w:sz w:val="19"/>
        </w:rPr>
        <w:t>West Lake</w:t>
      </w:r>
    </w:p>
    <w:p>
      <w:pPr>
        <w:spacing w:before="40" w:after="80" w:line="276" w:lineRule="auto"/>
      </w:pPr>
      <w:r>
        <w:rPr>
          <w:color w:val="334155"/>
          <w:sz w:val="19"/>
        </w:rPr>
        <w:t>Short–</w:t>
      </w:r>
    </w:p>
    <w:p>
      <w:pPr>
        <w:spacing w:before="40" w:after="80" w:line="276" w:lineRule="auto"/>
      </w:pPr>
      <w:r>
        <w:rPr>
          <w:color w:val="334155"/>
          <w:sz w:val="19"/>
        </w:rPr>
        <w:t>Medium</w:t>
      </w:r>
    </w:p>
    <w:p>
      <w:pPr>
        <w:spacing w:before="40" w:after="80" w:line="276" w:lineRule="auto"/>
      </w:pPr>
      <w:r>
        <w:rPr>
          <w:color w:val="334155"/>
          <w:sz w:val="19"/>
        </w:rPr>
        <w:t>Infrastructure-led and</w:t>
      </w:r>
    </w:p>
    <w:p>
      <w:pPr>
        <w:spacing w:before="40" w:after="80" w:line="276" w:lineRule="auto"/>
      </w:pPr>
      <w:r>
        <w:rPr>
          <w:color w:val="334155"/>
          <w:sz w:val="19"/>
        </w:rPr>
        <w:t>staged development areas</w:t>
      </w:r>
    </w:p>
    <w:p>
      <w:pPr>
        <w:spacing w:before="40" w:after="80" w:line="276" w:lineRule="auto"/>
      </w:pPr>
      <w:r>
        <w:rPr>
          <w:color w:val="334155"/>
          <w:sz w:val="19"/>
        </w:rPr>
        <w:t>linked to triggers</w:t>
      </w:r>
    </w:p>
    <w:p>
      <w:pPr>
        <w:spacing w:before="40" w:after="80" w:line="276" w:lineRule="auto"/>
      </w:pPr>
      <w:r>
        <w:rPr>
          <w:color w:val="334155"/>
          <w:sz w:val="19"/>
        </w:rPr>
        <w:t>•</w:t>
      </w:r>
    </w:p>
    <w:p>
      <w:pPr>
        <w:spacing w:before="40" w:after="80" w:line="276" w:lineRule="auto"/>
      </w:pPr>
      <w:r>
        <w:rPr>
          <w:color w:val="334155"/>
          <w:sz w:val="19"/>
        </w:rPr>
        <w:t>Completion of rehabilitation and Geotechnical verification</w:t>
      </w:r>
    </w:p>
    <w:p>
      <w:pPr>
        <w:spacing w:before="40" w:after="80" w:line="276" w:lineRule="auto"/>
      </w:pPr>
      <w:r>
        <w:rPr>
          <w:color w:val="334155"/>
          <w:sz w:val="19"/>
        </w:rPr>
        <w:t>•</w:t>
      </w:r>
    </w:p>
    <w:p>
      <w:pPr>
        <w:spacing w:before="40" w:after="80" w:line="276" w:lineRule="auto"/>
      </w:pPr>
      <w:r>
        <w:rPr>
          <w:color w:val="334155"/>
          <w:sz w:val="19"/>
        </w:rPr>
        <w:t>Detailed flood assessment (including climate change and interaction</w:t>
      </w:r>
    </w:p>
    <w:p>
      <w:pPr>
        <w:spacing w:before="40" w:after="80" w:line="276" w:lineRule="auto"/>
      </w:pPr>
      <w:r>
        <w:rPr>
          <w:color w:val="334155"/>
          <w:sz w:val="19"/>
        </w:rPr>
        <w:t>scenarios)</w:t>
      </w:r>
    </w:p>
    <w:p>
      <w:pPr>
        <w:spacing w:before="40" w:after="80" w:line="276" w:lineRule="auto"/>
      </w:pPr>
      <w:r>
        <w:rPr>
          <w:color w:val="334155"/>
          <w:sz w:val="19"/>
        </w:rPr>
        <w:t>•</w:t>
      </w:r>
    </w:p>
    <w:p>
      <w:pPr>
        <w:spacing w:before="40" w:after="80" w:line="276" w:lineRule="auto"/>
      </w:pPr>
      <w:r>
        <w:rPr>
          <w:color w:val="334155"/>
          <w:sz w:val="19"/>
        </w:rPr>
        <w:t>Delivery of enabling infrastructure and servicing (including consideration</w:t>
      </w:r>
    </w:p>
    <w:p>
      <w:pPr>
        <w:spacing w:before="40" w:after="80" w:line="276" w:lineRule="auto"/>
      </w:pPr>
      <w:r>
        <w:rPr>
          <w:color w:val="334155"/>
          <w:sz w:val="19"/>
        </w:rPr>
        <w:t>of onsite servicing)</w:t>
      </w:r>
    </w:p>
    <w:p>
      <w:pPr>
        <w:spacing w:before="40" w:after="80" w:line="276" w:lineRule="auto"/>
      </w:pPr>
      <w:r>
        <w:rPr>
          <w:color w:val="334155"/>
          <w:sz w:val="19"/>
        </w:rPr>
        <w:t>•</w:t>
      </w:r>
    </w:p>
    <w:p>
      <w:pPr>
        <w:spacing w:before="40" w:after="80" w:line="276" w:lineRule="auto"/>
      </w:pPr>
      <w:r>
        <w:rPr>
          <w:color w:val="334155"/>
          <w:sz w:val="19"/>
        </w:rPr>
        <w:t>Assessment of biodiversity constraints to confirm developable land</w:t>
      </w:r>
    </w:p>
    <w:p>
      <w:pPr>
        <w:spacing w:before="40" w:after="80" w:line="276" w:lineRule="auto"/>
      </w:pPr>
      <w:r>
        <w:rPr>
          <w:color w:val="334155"/>
          <w:sz w:val="19"/>
        </w:rPr>
        <w:t>•</w:t>
      </w:r>
    </w:p>
    <w:p>
      <w:pPr>
        <w:spacing w:before="40" w:after="80" w:line="276" w:lineRule="auto"/>
      </w:pPr>
      <w:r>
        <w:rPr>
          <w:color w:val="334155"/>
          <w:sz w:val="19"/>
        </w:rPr>
        <w:t>Demonstrated market take-up of preceding stages within the sub-</w:t>
      </w:r>
    </w:p>
    <w:p>
      <w:pPr>
        <w:spacing w:before="40" w:after="80" w:line="276" w:lineRule="auto"/>
      </w:pPr>
      <w:r>
        <w:rPr>
          <w:color w:val="334155"/>
          <w:sz w:val="19"/>
        </w:rPr>
        <w:t>precinct or across the Precinct.</w:t>
      </w:r>
    </w:p>
    <w:p>
      <w:pPr>
        <w:spacing w:before="40" w:after="80" w:line="276" w:lineRule="auto"/>
      </w:pPr>
      <w:r>
        <w:rPr>
          <w:color w:val="334155"/>
          <w:sz w:val="19"/>
        </w:rPr>
        <w:t>Barnsley</w:t>
      </w:r>
    </w:p>
    <w:p>
      <w:pPr>
        <w:spacing w:before="40" w:after="80" w:line="276" w:lineRule="auto"/>
      </w:pPr>
      <w:r>
        <w:rPr>
          <w:color w:val="334155"/>
          <w:sz w:val="19"/>
        </w:rPr>
        <w:t>West</w:t>
      </w:r>
    </w:p>
    <w:p>
      <w:pPr>
        <w:spacing w:before="40" w:after="80" w:line="276" w:lineRule="auto"/>
      </w:pPr>
      <w:r>
        <w:rPr>
          <w:color w:val="334155"/>
          <w:sz w:val="19"/>
        </w:rPr>
        <w:t>Short–</w:t>
      </w:r>
    </w:p>
    <w:p>
      <w:pPr>
        <w:spacing w:before="40" w:after="80" w:line="276" w:lineRule="auto"/>
      </w:pPr>
      <w:r>
        <w:rPr>
          <w:color w:val="334155"/>
          <w:sz w:val="19"/>
        </w:rPr>
        <w:t>Medium</w:t>
      </w:r>
    </w:p>
    <w:p>
      <w:pPr>
        <w:spacing w:before="40" w:after="80" w:line="276" w:lineRule="auto"/>
      </w:pPr>
      <w:r>
        <w:rPr>
          <w:color w:val="334155"/>
          <w:sz w:val="19"/>
        </w:rPr>
        <w:t>Early to progressive</w:t>
      </w:r>
    </w:p>
    <w:p>
      <w:pPr>
        <w:spacing w:before="40" w:after="80" w:line="276" w:lineRule="auto"/>
      </w:pPr>
      <w:r>
        <w:rPr>
          <w:color w:val="334155"/>
          <w:sz w:val="19"/>
        </w:rPr>
        <w:t>activation</w:t>
      </w:r>
    </w:p>
    <w:p>
      <w:pPr>
        <w:spacing w:before="40" w:after="80" w:line="276" w:lineRule="auto"/>
      </w:pPr>
      <w:r>
        <w:rPr>
          <w:color w:val="334155"/>
          <w:sz w:val="19"/>
        </w:rPr>
        <w:t>•</w:t>
      </w:r>
    </w:p>
    <w:p>
      <w:pPr>
        <w:spacing w:before="40" w:after="80" w:line="276" w:lineRule="auto"/>
      </w:pPr>
      <w:r>
        <w:rPr>
          <w:color w:val="334155"/>
          <w:sz w:val="19"/>
        </w:rPr>
        <w:t>Confirmation of servicing capacity</w:t>
      </w:r>
    </w:p>
    <w:p>
      <w:pPr>
        <w:spacing w:before="40" w:after="80" w:line="276" w:lineRule="auto"/>
      </w:pPr>
      <w:r>
        <w:rPr>
          <w:color w:val="334155"/>
          <w:sz w:val="19"/>
        </w:rPr>
        <w:t>•</w:t>
      </w:r>
    </w:p>
    <w:p>
      <w:pPr>
        <w:spacing w:before="40" w:after="80" w:line="276" w:lineRule="auto"/>
      </w:pPr>
      <w:r>
        <w:rPr>
          <w:color w:val="334155"/>
          <w:sz w:val="19"/>
        </w:rPr>
        <w:t>Local access upgrades</w:t>
      </w:r>
    </w:p>
    <w:p>
      <w:pPr>
        <w:spacing w:before="40" w:after="80" w:line="276" w:lineRule="auto"/>
      </w:pPr>
      <w:r>
        <w:rPr>
          <w:color w:val="334155"/>
          <w:sz w:val="19"/>
        </w:rPr>
        <w:t>•</w:t>
      </w:r>
    </w:p>
    <w:p>
      <w:pPr>
        <w:spacing w:before="40" w:after="80" w:line="276" w:lineRule="auto"/>
      </w:pPr>
      <w:r>
        <w:rPr>
          <w:color w:val="334155"/>
          <w:sz w:val="19"/>
        </w:rPr>
        <w:t>Verification of biodiversity and transmission easement constraints</w:t>
      </w:r>
    </w:p>
    <w:p>
      <w:pPr>
        <w:spacing w:before="40" w:after="80" w:line="276" w:lineRule="auto"/>
      </w:pPr>
      <w:r>
        <w:rPr>
          <w:color w:val="334155"/>
          <w:sz w:val="19"/>
        </w:rPr>
        <w:t>•</w:t>
      </w:r>
    </w:p>
    <w:p>
      <w:pPr>
        <w:spacing w:before="40" w:after="80" w:line="276" w:lineRule="auto"/>
      </w:pPr>
      <w:r>
        <w:rPr>
          <w:color w:val="334155"/>
          <w:sz w:val="19"/>
        </w:rPr>
        <w:t>Assessment and response to local constraints and management of</w:t>
      </w:r>
    </w:p>
    <w:p>
      <w:pPr>
        <w:spacing w:before="40" w:after="80" w:line="276" w:lineRule="auto"/>
      </w:pPr>
      <w:r>
        <w:rPr>
          <w:color w:val="334155"/>
          <w:sz w:val="19"/>
        </w:rPr>
        <w:t>interface conditions with adjacent sensitive land uses</w:t>
      </w:r>
    </w:p>
    <w:p>
      <w:pPr>
        <w:spacing w:before="40" w:after="80" w:line="276" w:lineRule="auto"/>
      </w:pPr>
      <w:r>
        <w:rPr>
          <w:color w:val="334155"/>
          <w:sz w:val="19"/>
        </w:rPr>
        <w:t>Teralba</w:t>
      </w:r>
    </w:p>
    <w:p>
      <w:pPr>
        <w:spacing w:before="40" w:after="80" w:line="276" w:lineRule="auto"/>
      </w:pPr>
      <w:r>
        <w:rPr>
          <w:color w:val="334155"/>
          <w:sz w:val="19"/>
        </w:rPr>
        <w:t>Short</w:t>
      </w:r>
    </w:p>
    <w:p>
      <w:pPr>
        <w:spacing w:before="40" w:after="80" w:line="276" w:lineRule="auto"/>
      </w:pPr>
      <w:r>
        <w:rPr>
          <w:color w:val="334155"/>
          <w:sz w:val="19"/>
        </w:rPr>
        <w:t>Early activation of</w:t>
      </w:r>
    </w:p>
    <w:p>
      <w:pPr>
        <w:spacing w:before="40" w:after="80" w:line="276" w:lineRule="auto"/>
      </w:pPr>
      <w:r>
        <w:rPr>
          <w:color w:val="334155"/>
          <w:sz w:val="19"/>
        </w:rPr>
        <w:t>residential development</w:t>
      </w:r>
    </w:p>
    <w:p>
      <w:pPr>
        <w:spacing w:before="40" w:after="80" w:line="276" w:lineRule="auto"/>
      </w:pPr>
      <w:r>
        <w:rPr>
          <w:color w:val="334155"/>
          <w:sz w:val="19"/>
        </w:rPr>
        <w:t>leveraging existing</w:t>
      </w:r>
    </w:p>
    <w:p>
      <w:pPr>
        <w:spacing w:before="40" w:after="80" w:line="276" w:lineRule="auto"/>
      </w:pPr>
      <w:r>
        <w:rPr>
          <w:color w:val="334155"/>
          <w:sz w:val="19"/>
        </w:rPr>
        <w:t>infrastructure, transport</w:t>
      </w:r>
    </w:p>
    <w:p>
      <w:pPr>
        <w:spacing w:before="40" w:after="80" w:line="276" w:lineRule="auto"/>
      </w:pPr>
      <w:r>
        <w:rPr>
          <w:color w:val="334155"/>
          <w:sz w:val="19"/>
        </w:rPr>
        <w:t>and adjoining centre</w:t>
      </w:r>
    </w:p>
    <w:p>
      <w:pPr>
        <w:spacing w:before="40" w:after="80" w:line="276" w:lineRule="auto"/>
      </w:pPr>
      <w:r>
        <w:rPr>
          <w:color w:val="334155"/>
          <w:sz w:val="19"/>
        </w:rPr>
        <w:t>•</w:t>
      </w:r>
    </w:p>
    <w:p>
      <w:pPr>
        <w:spacing w:before="40" w:after="80" w:line="276" w:lineRule="auto"/>
      </w:pPr>
      <w:r>
        <w:rPr>
          <w:color w:val="334155"/>
          <w:sz w:val="19"/>
        </w:rPr>
        <w:t>Completion of rehabilitation and Geotechnical verification</w:t>
      </w:r>
    </w:p>
    <w:p>
      <w:pPr>
        <w:spacing w:before="40" w:after="80" w:line="276" w:lineRule="auto"/>
      </w:pPr>
      <w:r>
        <w:rPr>
          <w:color w:val="334155"/>
          <w:sz w:val="19"/>
        </w:rPr>
        <w:t>•</w:t>
      </w:r>
    </w:p>
    <w:p>
      <w:pPr>
        <w:spacing w:before="40" w:after="80" w:line="276" w:lineRule="auto"/>
      </w:pPr>
      <w:r>
        <w:rPr>
          <w:color w:val="334155"/>
          <w:sz w:val="19"/>
        </w:rPr>
        <w:t>Completion of Detailed Site Investigation (DSI) and, where required,</w:t>
      </w:r>
    </w:p>
    <w:p>
      <w:pPr>
        <w:spacing w:before="40" w:after="80" w:line="276" w:lineRule="auto"/>
      </w:pPr>
      <w:r>
        <w:rPr>
          <w:color w:val="334155"/>
          <w:sz w:val="19"/>
        </w:rPr>
        <w:t>Remedial Action Plan (RAP)</w:t>
      </w:r>
    </w:p>
    <w:p>
      <w:pPr>
        <w:spacing w:before="40" w:after="80" w:line="276" w:lineRule="auto"/>
      </w:pPr>
      <w:r>
        <w:rPr>
          <w:color w:val="334155"/>
          <w:sz w:val="19"/>
        </w:rPr>
        <w:t>•</w:t>
      </w:r>
    </w:p>
    <w:p>
      <w:pPr>
        <w:spacing w:before="40" w:after="80" w:line="276" w:lineRule="auto"/>
      </w:pPr>
      <w:r>
        <w:rPr>
          <w:color w:val="334155"/>
          <w:sz w:val="19"/>
        </w:rPr>
        <w:t>Confirmation of water and wastewater servicing capacity</w:t>
      </w:r>
    </w:p>
    <w:p>
      <w:pPr>
        <w:spacing w:before="40" w:after="80" w:line="276" w:lineRule="auto"/>
      </w:pPr>
      <w:r>
        <w:rPr>
          <w:color w:val="334155"/>
          <w:sz w:val="19"/>
        </w:rPr>
        <w:t>32</w:t>
      </w:r>
    </w:p>
    <w:p>
      <w:pPr>
        <w:spacing w:before="40" w:after="80" w:line="276" w:lineRule="auto"/>
      </w:pPr>
      <w:r>
        <w:rPr>
          <w:color w:val="334155"/>
          <w:sz w:val="19"/>
        </w:rPr>
        <w:t>4  Structure plan and sub-precinct framework</w:t>
      </w:r>
    </w:p>
    <w:p>
      <w:pPr>
        <w:pStyle w:val="Heading2"/>
        <w:keepNext/>
        <w:spacing w:before="240" w:after="80"/>
      </w:pPr>
      <w:r>
        <w:rPr>
          <w:b/>
          <w:color w:val="0284C7"/>
        </w:rPr>
        <w:t>Page 33</w:t>
      </w:r>
    </w:p>
    <w:p>
      <w:pPr>
        <w:spacing w:before="40" w:after="80" w:line="276" w:lineRule="auto"/>
      </w:pPr>
      <w:r>
        <w:rPr>
          <w:color w:val="334155"/>
          <w:sz w:val="19"/>
        </w:rPr>
        <w:t>Desired future</w:t>
      </w:r>
    </w:p>
    <w:p>
      <w:pPr>
        <w:spacing w:before="40" w:after="80" w:line="276" w:lineRule="auto"/>
      </w:pPr>
      <w:r>
        <w:rPr>
          <w:color w:val="334155"/>
          <w:sz w:val="19"/>
        </w:rPr>
        <w:t>character</w:t>
      </w:r>
    </w:p>
    <w:p>
      <w:pPr>
        <w:spacing w:before="40" w:after="80" w:line="276" w:lineRule="auto"/>
      </w:pPr>
      <w:r>
        <w:rPr>
          <w:color w:val="334155"/>
          <w:sz w:val="19"/>
        </w:rPr>
        <w:t>The Precinct offers the</w:t>
      </w:r>
    </w:p>
    <w:p>
      <w:pPr>
        <w:spacing w:before="40" w:after="80" w:line="276" w:lineRule="auto"/>
      </w:pPr>
      <w:r>
        <w:rPr>
          <w:color w:val="334155"/>
          <w:sz w:val="19"/>
        </w:rPr>
        <w:t>opportunity to deliver a</w:t>
      </w:r>
    </w:p>
    <w:p>
      <w:pPr>
        <w:spacing w:before="40" w:after="80" w:line="276" w:lineRule="auto"/>
      </w:pPr>
      <w:r>
        <w:rPr>
          <w:color w:val="334155"/>
          <w:sz w:val="19"/>
        </w:rPr>
        <w:t>distinctive future character,</w:t>
      </w:r>
    </w:p>
    <w:p>
      <w:pPr>
        <w:spacing w:before="40" w:after="80" w:line="276" w:lineRule="auto"/>
      </w:pPr>
      <w:r>
        <w:rPr>
          <w:color w:val="334155"/>
          <w:sz w:val="19"/>
        </w:rPr>
        <w:t>shaped by its post mining</w:t>
      </w:r>
    </w:p>
    <w:p>
      <w:pPr>
        <w:spacing w:before="40" w:after="80" w:line="276" w:lineRule="auto"/>
      </w:pPr>
      <w:r>
        <w:rPr>
          <w:color w:val="334155"/>
          <w:sz w:val="19"/>
        </w:rPr>
        <w:t>landscape and a diverse mix</w:t>
      </w:r>
    </w:p>
    <w:p>
      <w:pPr>
        <w:spacing w:before="40" w:after="80" w:line="276" w:lineRule="auto"/>
      </w:pPr>
      <w:r>
        <w:rPr>
          <w:color w:val="334155"/>
          <w:sz w:val="19"/>
        </w:rPr>
        <w:t>of land uses. Employment-</w:t>
      </w:r>
    </w:p>
    <w:p>
      <w:pPr>
        <w:spacing w:before="40" w:after="80" w:line="276" w:lineRule="auto"/>
      </w:pPr>
      <w:r>
        <w:rPr>
          <w:color w:val="334155"/>
          <w:sz w:val="19"/>
        </w:rPr>
        <w:t>generating activity will anchor</w:t>
      </w:r>
    </w:p>
    <w:p>
      <w:pPr>
        <w:spacing w:before="40" w:after="80" w:line="276" w:lineRule="auto"/>
      </w:pPr>
      <w:r>
        <w:rPr>
          <w:color w:val="334155"/>
          <w:sz w:val="19"/>
        </w:rPr>
        <w:t>the Precinct, complemented</w:t>
      </w:r>
    </w:p>
    <w:p>
      <w:pPr>
        <w:spacing w:before="40" w:after="80" w:line="276" w:lineRule="auto"/>
      </w:pPr>
      <w:r>
        <w:rPr>
          <w:color w:val="334155"/>
          <w:sz w:val="19"/>
        </w:rPr>
        <w:t>by commercial, recreation,</w:t>
      </w:r>
    </w:p>
    <w:p>
      <w:pPr>
        <w:spacing w:before="40" w:after="80" w:line="276" w:lineRule="auto"/>
      </w:pPr>
      <w:r>
        <w:rPr>
          <w:color w:val="334155"/>
          <w:sz w:val="19"/>
        </w:rPr>
        <w:t>community and visitor uses.</w:t>
      </w:r>
    </w:p>
    <w:p>
      <w:pPr>
        <w:spacing w:before="40" w:after="80" w:line="276" w:lineRule="auto"/>
      </w:pPr>
      <w:r>
        <w:rPr>
          <w:color w:val="334155"/>
          <w:sz w:val="19"/>
        </w:rPr>
        <w:t>The Precinct will transform a legacy mining</w:t>
      </w:r>
    </w:p>
    <w:p>
      <w:pPr>
        <w:spacing w:before="40" w:after="80" w:line="276" w:lineRule="auto"/>
      </w:pPr>
      <w:r>
        <w:rPr>
          <w:color w:val="334155"/>
          <w:sz w:val="19"/>
        </w:rPr>
        <w:t>landscape into the Lower Hunter’s leading post</w:t>
      </w:r>
    </w:p>
    <w:p>
      <w:pPr>
        <w:spacing w:before="40" w:after="80" w:line="276" w:lineRule="auto"/>
      </w:pPr>
      <w:r>
        <w:rPr>
          <w:color w:val="334155"/>
          <w:sz w:val="19"/>
        </w:rPr>
        <w:t>mining employment precinct, becoming a well-</w:t>
      </w:r>
    </w:p>
    <w:p>
      <w:pPr>
        <w:spacing w:before="40" w:after="80" w:line="276" w:lineRule="auto"/>
      </w:pPr>
      <w:r>
        <w:rPr>
          <w:color w:val="334155"/>
          <w:sz w:val="19"/>
        </w:rPr>
        <w:t>connected, productive and resilient destination</w:t>
      </w:r>
    </w:p>
    <w:p>
      <w:pPr>
        <w:spacing w:before="40" w:after="80" w:line="276" w:lineRule="auto"/>
      </w:pPr>
      <w:r>
        <w:rPr>
          <w:color w:val="334155"/>
          <w:sz w:val="19"/>
        </w:rPr>
        <w:t>that is an attractive place to work, invest,</w:t>
      </w:r>
    </w:p>
    <w:p>
      <w:pPr>
        <w:spacing w:before="40" w:after="80" w:line="276" w:lineRule="auto"/>
      </w:pPr>
      <w:r>
        <w:rPr>
          <w:color w:val="334155"/>
          <w:sz w:val="19"/>
        </w:rPr>
        <w:t>recreate and visit, with high-quality urban form</w:t>
      </w:r>
    </w:p>
    <w:p>
      <w:pPr>
        <w:spacing w:before="40" w:after="80" w:line="276" w:lineRule="auto"/>
      </w:pPr>
      <w:r>
        <w:rPr>
          <w:color w:val="334155"/>
          <w:sz w:val="19"/>
        </w:rPr>
        <w:t>and integrated landscape.</w:t>
      </w:r>
    </w:p>
    <w:p>
      <w:pPr>
        <w:spacing w:before="40" w:after="80" w:line="276" w:lineRule="auto"/>
      </w:pPr>
      <w:r>
        <w:rPr>
          <w:color w:val="334155"/>
          <w:sz w:val="19"/>
        </w:rPr>
        <w:t>5</w:t>
        <w:tab/>
        <w:t xml:space="preserve"> Built form and landscape</w:t>
      </w:r>
    </w:p>
    <w:p>
      <w:pPr>
        <w:spacing w:before="40" w:after="80" w:line="276" w:lineRule="auto"/>
      </w:pPr>
      <w:r>
        <w:rPr>
          <w:color w:val="334155"/>
          <w:sz w:val="19"/>
        </w:rPr>
        <w:t>33</w:t>
      </w:r>
    </w:p>
    <w:p>
      <w:pPr>
        <w:pStyle w:val="Heading2"/>
        <w:keepNext/>
        <w:spacing w:before="240" w:after="80"/>
      </w:pPr>
      <w:r>
        <w:rPr>
          <w:b/>
          <w:color w:val="0284C7"/>
        </w:rPr>
        <w:t>Page 34</w:t>
      </w:r>
    </w:p>
    <w:p>
      <w:pPr>
        <w:spacing w:before="40" w:after="80" w:line="276" w:lineRule="auto"/>
      </w:pPr>
      <w:r>
        <w:rPr>
          <w:color w:val="334155"/>
          <w:sz w:val="19"/>
        </w:rPr>
        <w:t>The following character principles guide Precinct development.</w:t>
      </w:r>
    </w:p>
    <w:p>
      <w:pPr>
        <w:spacing w:before="40" w:after="80" w:line="276" w:lineRule="auto"/>
      </w:pPr>
      <w:r>
        <w:rPr>
          <w:color w:val="334155"/>
          <w:sz w:val="19"/>
        </w:rPr>
        <w:t>Built form</w:t>
      </w:r>
    </w:p>
    <w:p>
      <w:pPr>
        <w:spacing w:before="40" w:after="80" w:line="276" w:lineRule="auto"/>
      </w:pPr>
      <w:r>
        <w:rPr>
          <w:color w:val="334155"/>
          <w:sz w:val="19"/>
        </w:rPr>
        <w:t>The Precinct supports employment generating development responsive to its</w:t>
      </w:r>
    </w:p>
    <w:p>
      <w:pPr>
        <w:spacing w:before="40" w:after="80" w:line="276" w:lineRule="auto"/>
      </w:pPr>
      <w:r>
        <w:rPr>
          <w:color w:val="334155"/>
          <w:sz w:val="19"/>
        </w:rPr>
        <w:t>landscape context setting. Building orientation, scale and siting is carefully</w:t>
      </w:r>
    </w:p>
    <w:p>
      <w:pPr>
        <w:spacing w:before="40" w:after="80" w:line="276" w:lineRule="auto"/>
      </w:pPr>
      <w:r>
        <w:rPr>
          <w:color w:val="334155"/>
          <w:sz w:val="19"/>
        </w:rPr>
        <w:t>considered to integrate with the site’s natural features.</w:t>
      </w:r>
    </w:p>
    <w:p>
      <w:pPr>
        <w:spacing w:before="40" w:after="80" w:line="276" w:lineRule="auto"/>
      </w:pPr>
      <w:r>
        <w:rPr>
          <w:color w:val="334155"/>
          <w:sz w:val="19"/>
        </w:rPr>
        <w:t>Landscape</w:t>
      </w:r>
    </w:p>
    <w:p>
      <w:pPr>
        <w:spacing w:before="40" w:after="80" w:line="276" w:lineRule="auto"/>
      </w:pPr>
      <w:r>
        <w:rPr>
          <w:color w:val="334155"/>
          <w:sz w:val="19"/>
        </w:rPr>
        <w:t>Building on existing high environmental value, the Precinct protects and</w:t>
      </w:r>
    </w:p>
    <w:p>
      <w:pPr>
        <w:spacing w:before="40" w:after="80" w:line="276" w:lineRule="auto"/>
      </w:pPr>
      <w:r>
        <w:rPr>
          <w:color w:val="334155"/>
          <w:sz w:val="19"/>
        </w:rPr>
        <w:t>enhances its natural landscape, with remnant vegetation and waterways</w:t>
      </w:r>
    </w:p>
    <w:p>
      <w:pPr>
        <w:spacing w:before="40" w:after="80" w:line="276" w:lineRule="auto"/>
      </w:pPr>
      <w:r>
        <w:rPr>
          <w:color w:val="334155"/>
          <w:sz w:val="19"/>
        </w:rPr>
        <w:t>treated as defining landscape elements that shape the Precinct’s character.</w:t>
      </w:r>
    </w:p>
    <w:p>
      <w:pPr>
        <w:spacing w:before="40" w:after="80" w:line="276" w:lineRule="auto"/>
      </w:pPr>
      <w:r>
        <w:rPr>
          <w:color w:val="334155"/>
          <w:sz w:val="19"/>
        </w:rPr>
        <w:t>Biodiversity can be protected near development areas through the</w:t>
      </w:r>
    </w:p>
    <w:p>
      <w:pPr>
        <w:spacing w:before="40" w:after="80" w:line="276" w:lineRule="auto"/>
      </w:pPr>
      <w:r>
        <w:rPr>
          <w:color w:val="334155"/>
          <w:sz w:val="19"/>
        </w:rPr>
        <w:t>establishment of green corridors, landscape buffers and setbacks that</w:t>
      </w:r>
    </w:p>
    <w:p>
      <w:pPr>
        <w:spacing w:before="40" w:after="80" w:line="276" w:lineRule="auto"/>
      </w:pPr>
      <w:r>
        <w:rPr>
          <w:color w:val="334155"/>
          <w:sz w:val="19"/>
        </w:rPr>
        <w:t>respond to topography and ecological systems.</w:t>
      </w:r>
    </w:p>
    <w:p>
      <w:pPr>
        <w:spacing w:before="40" w:after="80" w:line="276" w:lineRule="auto"/>
      </w:pPr>
      <w:r>
        <w:rPr>
          <w:color w:val="334155"/>
          <w:sz w:val="19"/>
        </w:rPr>
        <w:t>Place and identity</w:t>
      </w:r>
    </w:p>
    <w:p>
      <w:pPr>
        <w:spacing w:before="40" w:after="80" w:line="276" w:lineRule="auto"/>
      </w:pPr>
      <w:r>
        <w:rPr>
          <w:color w:val="334155"/>
          <w:sz w:val="19"/>
        </w:rPr>
        <w:t>The Precinct offers the opportunity to create a distinctive identity that</w:t>
      </w:r>
    </w:p>
    <w:p>
      <w:pPr>
        <w:spacing w:before="40" w:after="80" w:line="276" w:lineRule="auto"/>
      </w:pPr>
      <w:r>
        <w:rPr>
          <w:color w:val="334155"/>
          <w:sz w:val="19"/>
        </w:rPr>
        <w:t>reflects its natural qualities, cultural values and industrial history.</w:t>
      </w:r>
    </w:p>
    <w:p>
      <w:pPr>
        <w:spacing w:before="40" w:after="80" w:line="276" w:lineRule="auto"/>
      </w:pPr>
      <w:r>
        <w:rPr>
          <w:color w:val="334155"/>
          <w:sz w:val="19"/>
        </w:rPr>
        <w:t>Public realm and mobility</w:t>
      </w:r>
    </w:p>
    <w:p>
      <w:pPr>
        <w:spacing w:before="40" w:after="80" w:line="276" w:lineRule="auto"/>
      </w:pPr>
      <w:r>
        <w:rPr>
          <w:color w:val="334155"/>
          <w:sz w:val="19"/>
        </w:rPr>
        <w:t>Well-connected to surrounding networks, the site supports safe, clear</w:t>
      </w:r>
    </w:p>
    <w:p>
      <w:pPr>
        <w:spacing w:before="40" w:after="80" w:line="276" w:lineRule="auto"/>
      </w:pPr>
      <w:r>
        <w:rPr>
          <w:color w:val="334155"/>
          <w:sz w:val="19"/>
        </w:rPr>
        <w:t>and legible movement systems that connect sub-precincts, support active</w:t>
      </w:r>
    </w:p>
    <w:p>
      <w:pPr>
        <w:spacing w:before="40" w:after="80" w:line="276" w:lineRule="auto"/>
      </w:pPr>
      <w:r>
        <w:rPr>
          <w:color w:val="334155"/>
          <w:sz w:val="19"/>
        </w:rPr>
        <w:t>transport and prioritise pedestrian amenity and landscape integration at key</w:t>
      </w:r>
    </w:p>
    <w:p>
      <w:pPr>
        <w:spacing w:before="40" w:after="80" w:line="276" w:lineRule="auto"/>
      </w:pPr>
      <w:r>
        <w:rPr>
          <w:color w:val="334155"/>
          <w:sz w:val="19"/>
        </w:rPr>
        <w:t>interfaces. Access and circulation are designed to respond to the scale of</w:t>
      </w:r>
    </w:p>
    <w:p>
      <w:pPr>
        <w:spacing w:before="40" w:after="80" w:line="276" w:lineRule="auto"/>
      </w:pPr>
      <w:r>
        <w:rPr>
          <w:color w:val="334155"/>
          <w:sz w:val="19"/>
        </w:rPr>
        <w:t>employment uses.</w:t>
      </w:r>
    </w:p>
    <w:p>
      <w:pPr>
        <w:spacing w:before="40" w:after="80" w:line="276" w:lineRule="auto"/>
      </w:pPr>
      <w:r>
        <w:rPr>
          <w:color w:val="334155"/>
          <w:sz w:val="19"/>
        </w:rPr>
        <w:t>Sustainability and resilience</w:t>
      </w:r>
    </w:p>
    <w:p>
      <w:pPr>
        <w:spacing w:before="40" w:after="80" w:line="276" w:lineRule="auto"/>
      </w:pPr>
      <w:r>
        <w:rPr>
          <w:color w:val="334155"/>
          <w:sz w:val="19"/>
        </w:rPr>
        <w:t>Built form and landscape design embed water sensitive urban design</w:t>
      </w:r>
    </w:p>
    <w:p>
      <w:pPr>
        <w:spacing w:before="40" w:after="80" w:line="276" w:lineRule="auto"/>
      </w:pPr>
      <w:r>
        <w:rPr>
          <w:color w:val="334155"/>
          <w:sz w:val="19"/>
        </w:rPr>
        <w:t>(WSUD), ecological restoration, efficient resource use and climate resilience,</w:t>
      </w:r>
    </w:p>
    <w:p>
      <w:pPr>
        <w:spacing w:before="40" w:after="80" w:line="276" w:lineRule="auto"/>
      </w:pPr>
      <w:r>
        <w:rPr>
          <w:color w:val="334155"/>
          <w:sz w:val="19"/>
        </w:rPr>
        <w:t>delivering a precinct that performs as a productive landscape.</w:t>
      </w:r>
    </w:p>
    <w:p>
      <w:pPr>
        <w:spacing w:before="40" w:after="80" w:line="276" w:lineRule="auto"/>
      </w:pPr>
      <w:r>
        <w:rPr>
          <w:color w:val="334155"/>
          <w:sz w:val="19"/>
        </w:rPr>
        <w:t>Interface and transition</w:t>
      </w:r>
    </w:p>
    <w:p>
      <w:pPr>
        <w:spacing w:before="40" w:after="80" w:line="276" w:lineRule="auto"/>
      </w:pPr>
      <w:r>
        <w:rPr>
          <w:color w:val="334155"/>
          <w:sz w:val="19"/>
        </w:rPr>
        <w:t>Development at precinct edges manages the transition to environmentally</w:t>
      </w:r>
    </w:p>
    <w:p>
      <w:pPr>
        <w:spacing w:before="40" w:after="80" w:line="276" w:lineRule="auto"/>
      </w:pPr>
      <w:r>
        <w:rPr>
          <w:color w:val="334155"/>
          <w:sz w:val="19"/>
        </w:rPr>
        <w:t>constrained areas and surrounding communities through graduated built</w:t>
      </w:r>
    </w:p>
    <w:p>
      <w:pPr>
        <w:spacing w:before="40" w:after="80" w:line="276" w:lineRule="auto"/>
      </w:pPr>
      <w:r>
        <w:rPr>
          <w:color w:val="334155"/>
          <w:sz w:val="19"/>
        </w:rPr>
        <w:t>form, generous setbacks and landscape buffers that protect amenity and</w:t>
      </w:r>
    </w:p>
    <w:p>
      <w:pPr>
        <w:spacing w:before="40" w:after="80" w:line="276" w:lineRule="auto"/>
      </w:pPr>
      <w:r>
        <w:rPr>
          <w:color w:val="334155"/>
          <w:sz w:val="19"/>
        </w:rPr>
        <w:t>maintain natural character.</w:t>
      </w:r>
    </w:p>
    <w:p>
      <w:pPr>
        <w:spacing w:before="40" w:after="80" w:line="276" w:lineRule="auto"/>
      </w:pPr>
      <w:r>
        <w:rPr>
          <w:color w:val="334155"/>
          <w:sz w:val="19"/>
        </w:rPr>
        <w:t>Flexibility and staged activation</w:t>
      </w:r>
    </w:p>
    <w:p>
      <w:pPr>
        <w:spacing w:before="40" w:after="80" w:line="276" w:lineRule="auto"/>
      </w:pPr>
      <w:r>
        <w:rPr>
          <w:color w:val="334155"/>
          <w:sz w:val="19"/>
        </w:rPr>
        <w:t>Built form and subdivision patterns accommodate staged delivery and</w:t>
      </w:r>
    </w:p>
    <w:p>
      <w:pPr>
        <w:spacing w:before="40" w:after="80" w:line="276" w:lineRule="auto"/>
      </w:pPr>
      <w:r>
        <w:rPr>
          <w:color w:val="334155"/>
          <w:sz w:val="19"/>
        </w:rPr>
        <w:t>evolving uses over time, ensuring that interim conditions and early activation</w:t>
      </w:r>
    </w:p>
    <w:p>
      <w:pPr>
        <w:spacing w:before="40" w:after="80" w:line="276" w:lineRule="auto"/>
      </w:pPr>
      <w:r>
        <w:rPr>
          <w:color w:val="334155"/>
          <w:sz w:val="19"/>
        </w:rPr>
        <w:t>areas contribute positively to precinct character without compromising long-</w:t>
      </w:r>
    </w:p>
    <w:p>
      <w:pPr>
        <w:spacing w:before="40" w:after="80" w:line="276" w:lineRule="auto"/>
      </w:pPr>
      <w:r>
        <w:rPr>
          <w:color w:val="334155"/>
          <w:sz w:val="19"/>
        </w:rPr>
        <w:t>term outcomes.</w:t>
      </w:r>
    </w:p>
    <w:p>
      <w:pPr>
        <w:spacing w:before="40" w:after="80" w:line="276" w:lineRule="auto"/>
      </w:pPr>
      <w:r>
        <w:rPr>
          <w:color w:val="334155"/>
          <w:sz w:val="19"/>
        </w:rPr>
        <w:t>34</w:t>
      </w:r>
    </w:p>
    <w:p>
      <w:pPr>
        <w:spacing w:before="40" w:after="80" w:line="276" w:lineRule="auto"/>
      </w:pPr>
      <w:r>
        <w:rPr>
          <w:color w:val="334155"/>
          <w:sz w:val="19"/>
        </w:rPr>
        <w:t>5  Built form and landscape</w:t>
      </w:r>
    </w:p>
    <w:p>
      <w:pPr>
        <w:pStyle w:val="Heading2"/>
        <w:keepNext/>
        <w:spacing w:before="240" w:after="80"/>
      </w:pPr>
      <w:r>
        <w:rPr>
          <w:b/>
          <w:color w:val="0284C7"/>
        </w:rPr>
        <w:t>Page 35</w:t>
      </w:r>
    </w:p>
    <w:p>
      <w:pPr>
        <w:spacing w:before="40" w:after="80" w:line="276" w:lineRule="auto"/>
      </w:pPr>
      <w:r>
        <w:rPr>
          <w:color w:val="334155"/>
          <w:sz w:val="19"/>
        </w:rPr>
        <w:t>Urban design and public realm</w:t>
      </w:r>
    </w:p>
    <w:p>
      <w:pPr>
        <w:spacing w:before="40" w:after="80" w:line="276" w:lineRule="auto"/>
      </w:pPr>
      <w:r>
        <w:rPr>
          <w:color w:val="334155"/>
          <w:sz w:val="19"/>
        </w:rPr>
        <w:t>Urban design is guided by shift from mining to</w:t>
      </w:r>
    </w:p>
    <w:p>
      <w:pPr>
        <w:spacing w:before="40" w:after="80" w:line="276" w:lineRule="auto"/>
      </w:pPr>
      <w:r>
        <w:rPr>
          <w:color w:val="334155"/>
          <w:sz w:val="19"/>
        </w:rPr>
        <w:t>employment-generating uses, as well as</w:t>
      </w:r>
    </w:p>
    <w:p>
      <w:pPr>
        <w:spacing w:before="40" w:after="80" w:line="276" w:lineRule="auto"/>
      </w:pPr>
      <w:r>
        <w:rPr>
          <w:color w:val="334155"/>
          <w:sz w:val="19"/>
        </w:rPr>
        <w:t>opportunities for tourism and recreation. The</w:t>
      </w:r>
    </w:p>
    <w:p>
      <w:pPr>
        <w:spacing w:before="40" w:after="80" w:line="276" w:lineRule="auto"/>
      </w:pPr>
      <w:r>
        <w:rPr>
          <w:color w:val="334155"/>
          <w:sz w:val="19"/>
        </w:rPr>
        <w:t>design approach prioritises functional, robust</w:t>
      </w:r>
    </w:p>
    <w:p>
      <w:pPr>
        <w:spacing w:before="40" w:after="80" w:line="276" w:lineRule="auto"/>
      </w:pPr>
      <w:r>
        <w:rPr>
          <w:color w:val="334155"/>
          <w:sz w:val="19"/>
        </w:rPr>
        <w:t>and adaptable built form outcomes that support</w:t>
      </w:r>
    </w:p>
    <w:p>
      <w:pPr>
        <w:spacing w:before="40" w:after="80" w:line="276" w:lineRule="auto"/>
      </w:pPr>
      <w:r>
        <w:rPr>
          <w:color w:val="334155"/>
          <w:sz w:val="19"/>
        </w:rPr>
        <w:t>a range of industrial, logistics and contemporary</w:t>
      </w:r>
    </w:p>
    <w:p>
      <w:pPr>
        <w:spacing w:before="40" w:after="80" w:line="276" w:lineRule="auto"/>
      </w:pPr>
      <w:r>
        <w:rPr>
          <w:color w:val="334155"/>
          <w:sz w:val="19"/>
        </w:rPr>
        <w:t>employment uses.</w:t>
      </w:r>
    </w:p>
    <w:p>
      <w:pPr>
        <w:spacing w:before="40" w:after="80" w:line="276" w:lineRule="auto"/>
      </w:pPr>
      <w:r>
        <w:rPr>
          <w:color w:val="334155"/>
          <w:sz w:val="19"/>
        </w:rPr>
        <w:t>Aims</w:t>
      </w:r>
    </w:p>
    <w:p>
      <w:pPr>
        <w:spacing w:before="40" w:after="80" w:line="276" w:lineRule="auto"/>
      </w:pPr>
      <w:r>
        <w:rPr>
          <w:color w:val="334155"/>
          <w:sz w:val="19"/>
        </w:rPr>
        <w:t>•</w:t>
      </w:r>
    </w:p>
    <w:p>
      <w:pPr>
        <w:spacing w:before="40" w:after="80" w:line="276" w:lineRule="auto"/>
      </w:pPr>
      <w:r>
        <w:rPr>
          <w:color w:val="334155"/>
          <w:sz w:val="19"/>
        </w:rPr>
        <w:t>Achieve high-quality urban design outcomes</w:t>
      </w:r>
    </w:p>
    <w:p>
      <w:pPr>
        <w:spacing w:before="40" w:after="80" w:line="276" w:lineRule="auto"/>
      </w:pPr>
      <w:r>
        <w:rPr>
          <w:color w:val="334155"/>
          <w:sz w:val="19"/>
        </w:rPr>
        <w:t>consistent with the Better Placed (GANSW, 2017)</w:t>
      </w:r>
    </w:p>
    <w:p>
      <w:pPr>
        <w:spacing w:before="40" w:after="80" w:line="276" w:lineRule="auto"/>
      </w:pPr>
      <w:r>
        <w:rPr>
          <w:color w:val="334155"/>
          <w:sz w:val="19"/>
        </w:rPr>
        <w:t>objectives.</w:t>
      </w:r>
    </w:p>
    <w:p>
      <w:pPr>
        <w:spacing w:before="40" w:after="80" w:line="276" w:lineRule="auto"/>
      </w:pPr>
      <w:r>
        <w:rPr>
          <w:color w:val="334155"/>
          <w:sz w:val="19"/>
        </w:rPr>
        <w:t>•</w:t>
      </w:r>
    </w:p>
    <w:p>
      <w:pPr>
        <w:spacing w:before="40" w:after="80" w:line="276" w:lineRule="auto"/>
      </w:pPr>
      <w:r>
        <w:rPr>
          <w:color w:val="334155"/>
          <w:sz w:val="19"/>
        </w:rPr>
        <w:t>Provide a mix of contemporary, high-quality</w:t>
      </w:r>
    </w:p>
    <w:p>
      <w:pPr>
        <w:spacing w:before="40" w:after="80" w:line="276" w:lineRule="auto"/>
      </w:pPr>
      <w:r>
        <w:rPr>
          <w:color w:val="334155"/>
          <w:sz w:val="19"/>
        </w:rPr>
        <w:t>building types and sizes to support employment</w:t>
      </w:r>
    </w:p>
    <w:p>
      <w:pPr>
        <w:spacing w:before="40" w:after="80" w:line="276" w:lineRule="auto"/>
      </w:pPr>
      <w:r>
        <w:rPr>
          <w:color w:val="334155"/>
          <w:sz w:val="19"/>
        </w:rPr>
        <w:t>opportunities that evolve in line with changing</w:t>
      </w:r>
    </w:p>
    <w:p>
      <w:pPr>
        <w:spacing w:before="40" w:after="80" w:line="276" w:lineRule="auto"/>
      </w:pPr>
      <w:r>
        <w:rPr>
          <w:color w:val="334155"/>
          <w:sz w:val="19"/>
        </w:rPr>
        <w:t>economic drivers</w:t>
      </w:r>
    </w:p>
    <w:p>
      <w:pPr>
        <w:spacing w:before="40" w:after="80" w:line="276" w:lineRule="auto"/>
      </w:pPr>
      <w:r>
        <w:rPr>
          <w:color w:val="334155"/>
          <w:sz w:val="19"/>
        </w:rPr>
        <w:t>•</w:t>
      </w:r>
    </w:p>
    <w:p>
      <w:pPr>
        <w:spacing w:before="40" w:after="80" w:line="276" w:lineRule="auto"/>
      </w:pPr>
      <w:r>
        <w:rPr>
          <w:color w:val="334155"/>
          <w:sz w:val="19"/>
        </w:rPr>
        <w:t>Built form to be of high quality, with facades</w:t>
      </w:r>
    </w:p>
    <w:p>
      <w:pPr>
        <w:spacing w:before="40" w:after="80" w:line="276" w:lineRule="auto"/>
      </w:pPr>
      <w:r>
        <w:rPr>
          <w:color w:val="334155"/>
          <w:sz w:val="19"/>
        </w:rPr>
        <w:t>that address the street and that have</w:t>
      </w:r>
    </w:p>
    <w:p>
      <w:pPr>
        <w:spacing w:before="40" w:after="80" w:line="276" w:lineRule="auto"/>
      </w:pPr>
      <w:r>
        <w:rPr>
          <w:color w:val="334155"/>
          <w:sz w:val="19"/>
        </w:rPr>
        <w:t>articulation, modulation, passive surveillance</w:t>
      </w:r>
    </w:p>
    <w:p>
      <w:pPr>
        <w:spacing w:before="40" w:after="80" w:line="276" w:lineRule="auto"/>
      </w:pPr>
      <w:r>
        <w:rPr>
          <w:color w:val="334155"/>
          <w:sz w:val="19"/>
        </w:rPr>
        <w:t>and street activation</w:t>
      </w:r>
    </w:p>
    <w:p>
      <w:pPr>
        <w:spacing w:before="40" w:after="80" w:line="276" w:lineRule="auto"/>
      </w:pPr>
      <w:r>
        <w:rPr>
          <w:color w:val="334155"/>
          <w:sz w:val="19"/>
        </w:rPr>
        <w:t>•</w:t>
      </w:r>
    </w:p>
    <w:p>
      <w:pPr>
        <w:spacing w:before="40" w:after="80" w:line="276" w:lineRule="auto"/>
      </w:pPr>
      <w:r>
        <w:rPr>
          <w:color w:val="334155"/>
          <w:sz w:val="19"/>
        </w:rPr>
        <w:t>Make sure building siting and scale respond to</w:t>
      </w:r>
    </w:p>
    <w:p>
      <w:pPr>
        <w:spacing w:before="40" w:after="80" w:line="276" w:lineRule="auto"/>
      </w:pPr>
      <w:r>
        <w:rPr>
          <w:color w:val="334155"/>
          <w:sz w:val="19"/>
        </w:rPr>
        <w:t>landscape, context, environmental values and</w:t>
      </w:r>
    </w:p>
    <w:p>
      <w:pPr>
        <w:spacing w:before="40" w:after="80" w:line="276" w:lineRule="auto"/>
      </w:pPr>
      <w:r>
        <w:rPr>
          <w:color w:val="334155"/>
          <w:sz w:val="19"/>
        </w:rPr>
        <w:t>interface conditions.</w:t>
      </w:r>
    </w:p>
    <w:p>
      <w:pPr>
        <w:spacing w:before="40" w:after="80" w:line="276" w:lineRule="auto"/>
      </w:pPr>
      <w:r>
        <w:rPr>
          <w:color w:val="334155"/>
          <w:sz w:val="19"/>
        </w:rPr>
        <w:t>•</w:t>
      </w:r>
    </w:p>
    <w:p>
      <w:pPr>
        <w:spacing w:before="40" w:after="80" w:line="276" w:lineRule="auto"/>
      </w:pPr>
      <w:r>
        <w:rPr>
          <w:color w:val="334155"/>
          <w:sz w:val="19"/>
        </w:rPr>
        <w:t>Strengthen precinct identity through landscape,</w:t>
      </w:r>
    </w:p>
    <w:p>
      <w:pPr>
        <w:spacing w:before="40" w:after="80" w:line="276" w:lineRule="auto"/>
      </w:pPr>
      <w:r>
        <w:rPr>
          <w:color w:val="334155"/>
          <w:sz w:val="19"/>
        </w:rPr>
        <w:t>signage, landmarks and heritage-informed</w:t>
      </w:r>
    </w:p>
    <w:p>
      <w:pPr>
        <w:spacing w:before="40" w:after="80" w:line="276" w:lineRule="auto"/>
      </w:pPr>
      <w:r>
        <w:rPr>
          <w:color w:val="334155"/>
          <w:sz w:val="19"/>
        </w:rPr>
        <w:t>placemaking.</w:t>
      </w:r>
    </w:p>
    <w:p>
      <w:pPr>
        <w:spacing w:before="40" w:after="80" w:line="276" w:lineRule="auto"/>
      </w:pPr>
      <w:r>
        <w:rPr>
          <w:color w:val="334155"/>
          <w:sz w:val="19"/>
        </w:rPr>
        <w:t>•</w:t>
      </w:r>
    </w:p>
    <w:p>
      <w:pPr>
        <w:spacing w:before="40" w:after="80" w:line="276" w:lineRule="auto"/>
      </w:pPr>
      <w:r>
        <w:rPr>
          <w:color w:val="334155"/>
          <w:sz w:val="19"/>
        </w:rPr>
        <w:t>Provide landscape setbacks and public realm</w:t>
      </w:r>
    </w:p>
    <w:p>
      <w:pPr>
        <w:spacing w:before="40" w:after="80" w:line="276" w:lineRule="auto"/>
      </w:pPr>
      <w:r>
        <w:rPr>
          <w:color w:val="334155"/>
          <w:sz w:val="19"/>
        </w:rPr>
        <w:t>outcomes that support amenity, biodiversity and</w:t>
      </w:r>
    </w:p>
    <w:p>
      <w:pPr>
        <w:spacing w:before="40" w:after="80" w:line="276" w:lineRule="auto"/>
      </w:pPr>
      <w:r>
        <w:rPr>
          <w:color w:val="334155"/>
          <w:sz w:val="19"/>
        </w:rPr>
        <w:t>movement.</w:t>
      </w:r>
    </w:p>
    <w:p>
      <w:pPr>
        <w:spacing w:before="40" w:after="80" w:line="276" w:lineRule="auto"/>
      </w:pPr>
      <w:r>
        <w:rPr>
          <w:color w:val="334155"/>
          <w:sz w:val="19"/>
        </w:rPr>
        <w:t>•</w:t>
      </w:r>
    </w:p>
    <w:p>
      <w:pPr>
        <w:spacing w:before="40" w:after="80" w:line="276" w:lineRule="auto"/>
      </w:pPr>
      <w:r>
        <w:rPr>
          <w:color w:val="334155"/>
          <w:sz w:val="19"/>
        </w:rPr>
        <w:t>Create an employment precinct, with well-</w:t>
      </w:r>
    </w:p>
    <w:p>
      <w:pPr>
        <w:spacing w:before="40" w:after="80" w:line="276" w:lineRule="auto"/>
      </w:pPr>
      <w:r>
        <w:rPr>
          <w:color w:val="334155"/>
          <w:sz w:val="19"/>
        </w:rPr>
        <w:t>connected buildings, commercial nodes and</w:t>
      </w:r>
    </w:p>
    <w:p>
      <w:pPr>
        <w:spacing w:before="40" w:after="80" w:line="276" w:lineRule="auto"/>
      </w:pPr>
      <w:r>
        <w:rPr>
          <w:color w:val="334155"/>
          <w:sz w:val="19"/>
        </w:rPr>
        <w:t>integrated public and active transport.</w:t>
      </w:r>
    </w:p>
    <w:p>
      <w:pPr>
        <w:spacing w:before="40" w:after="80" w:line="276" w:lineRule="auto"/>
      </w:pPr>
      <w:r>
        <w:rPr>
          <w:color w:val="334155"/>
          <w:sz w:val="19"/>
        </w:rPr>
        <w:t>Performance criteria</w:t>
      </w:r>
    </w:p>
    <w:p>
      <w:pPr>
        <w:spacing w:before="40" w:after="80" w:line="276" w:lineRule="auto"/>
      </w:pPr>
      <w:r>
        <w:rPr>
          <w:color w:val="334155"/>
          <w:sz w:val="19"/>
        </w:rPr>
        <w:t>A. Built form, subdivision patterns, open space</w:t>
      </w:r>
    </w:p>
    <w:p>
      <w:pPr>
        <w:spacing w:before="40" w:after="80" w:line="276" w:lineRule="auto"/>
      </w:pPr>
      <w:r>
        <w:rPr>
          <w:color w:val="334155"/>
          <w:sz w:val="19"/>
        </w:rPr>
        <w:t>and interface treatments must respond to</w:t>
      </w:r>
    </w:p>
    <w:p>
      <w:pPr>
        <w:spacing w:before="40" w:after="80" w:line="276" w:lineRule="auto"/>
      </w:pPr>
      <w:r>
        <w:rPr>
          <w:color w:val="334155"/>
          <w:sz w:val="19"/>
        </w:rPr>
        <w:t>rehabilitated landforms, engineered surfaces</w:t>
      </w:r>
    </w:p>
    <w:p>
      <w:pPr>
        <w:spacing w:before="40" w:after="80" w:line="276" w:lineRule="auto"/>
      </w:pPr>
      <w:r>
        <w:rPr>
          <w:color w:val="334155"/>
          <w:sz w:val="19"/>
        </w:rPr>
        <w:t>and the post mining landscape character of the</w:t>
      </w:r>
    </w:p>
    <w:p>
      <w:pPr>
        <w:spacing w:before="40" w:after="80" w:line="276" w:lineRule="auto"/>
      </w:pPr>
      <w:r>
        <w:rPr>
          <w:color w:val="334155"/>
          <w:sz w:val="19"/>
        </w:rPr>
        <w:t>Precinct.</w:t>
      </w:r>
    </w:p>
    <w:p>
      <w:pPr>
        <w:spacing w:before="40" w:after="80" w:line="276" w:lineRule="auto"/>
      </w:pPr>
      <w:r>
        <w:rPr>
          <w:color w:val="334155"/>
          <w:sz w:val="19"/>
        </w:rPr>
        <w:t>B. Development must contribute to a coherent</w:t>
      </w:r>
    </w:p>
    <w:p>
      <w:pPr>
        <w:spacing w:before="40" w:after="80" w:line="276" w:lineRule="auto"/>
      </w:pPr>
      <w:r>
        <w:rPr>
          <w:color w:val="334155"/>
          <w:sz w:val="19"/>
        </w:rPr>
        <w:t>precinct identity by integrating mining heritage,</w:t>
      </w:r>
    </w:p>
    <w:p>
      <w:pPr>
        <w:spacing w:before="40" w:after="80" w:line="276" w:lineRule="auto"/>
      </w:pPr>
      <w:r>
        <w:rPr>
          <w:color w:val="334155"/>
          <w:sz w:val="19"/>
        </w:rPr>
        <w:t>landscape character and, where relevant,</w:t>
      </w:r>
    </w:p>
    <w:p>
      <w:pPr>
        <w:spacing w:before="40" w:after="80" w:line="276" w:lineRule="auto"/>
      </w:pPr>
      <w:r>
        <w:rPr>
          <w:color w:val="334155"/>
          <w:sz w:val="19"/>
        </w:rPr>
        <w:t>Connecting with Country outcomes into built</w:t>
      </w:r>
    </w:p>
    <w:p>
      <w:pPr>
        <w:spacing w:before="40" w:after="80" w:line="276" w:lineRule="auto"/>
      </w:pPr>
      <w:r>
        <w:rPr>
          <w:color w:val="334155"/>
          <w:sz w:val="19"/>
        </w:rPr>
        <w:t>form, landscape and material selection.</w:t>
      </w:r>
    </w:p>
    <w:p>
      <w:pPr>
        <w:spacing w:before="40" w:after="80" w:line="276" w:lineRule="auto"/>
      </w:pPr>
      <w:r>
        <w:rPr>
          <w:color w:val="334155"/>
          <w:sz w:val="19"/>
        </w:rPr>
        <w:t>C. Buildings must respond to landscape character,</w:t>
      </w:r>
    </w:p>
    <w:p>
      <w:pPr>
        <w:spacing w:before="40" w:after="80" w:line="276" w:lineRule="auto"/>
      </w:pPr>
      <w:r>
        <w:rPr>
          <w:color w:val="334155"/>
          <w:sz w:val="19"/>
        </w:rPr>
        <w:t>topography and interface conditions.</w:t>
      </w:r>
    </w:p>
    <w:p>
      <w:pPr>
        <w:spacing w:before="40" w:after="80" w:line="276" w:lineRule="auto"/>
      </w:pPr>
      <w:r>
        <w:rPr>
          <w:color w:val="334155"/>
          <w:sz w:val="19"/>
        </w:rPr>
        <w:t>D. Building scale and height must respond to the</w:t>
      </w:r>
    </w:p>
    <w:p>
      <w:pPr>
        <w:spacing w:before="40" w:after="80" w:line="276" w:lineRule="auto"/>
      </w:pPr>
      <w:r>
        <w:rPr>
          <w:color w:val="334155"/>
          <w:sz w:val="19"/>
        </w:rPr>
        <w:t>surrounding context, consider visual impact and</w:t>
      </w:r>
    </w:p>
    <w:p>
      <w:pPr>
        <w:spacing w:before="40" w:after="80" w:line="276" w:lineRule="auto"/>
      </w:pPr>
      <w:r>
        <w:rPr>
          <w:color w:val="334155"/>
          <w:sz w:val="19"/>
        </w:rPr>
        <w:t>contribute to an appropriate variation in built</w:t>
      </w:r>
    </w:p>
    <w:p>
      <w:pPr>
        <w:spacing w:before="40" w:after="80" w:line="276" w:lineRule="auto"/>
      </w:pPr>
      <w:r>
        <w:rPr>
          <w:color w:val="334155"/>
          <w:sz w:val="19"/>
        </w:rPr>
        <w:t>form character across the Precinct.</w:t>
      </w:r>
    </w:p>
    <w:p>
      <w:pPr>
        <w:spacing w:before="40" w:after="80" w:line="276" w:lineRule="auto"/>
      </w:pPr>
      <w:r>
        <w:rPr>
          <w:color w:val="334155"/>
          <w:sz w:val="19"/>
        </w:rPr>
        <w:t>E. Road setbacks must incorporate landscape</w:t>
      </w:r>
    </w:p>
    <w:p>
      <w:pPr>
        <w:spacing w:before="40" w:after="80" w:line="276" w:lineRule="auto"/>
      </w:pPr>
      <w:r>
        <w:rPr>
          <w:color w:val="334155"/>
          <w:sz w:val="19"/>
        </w:rPr>
        <w:t>treatments that strengthen precinct character</w:t>
      </w:r>
    </w:p>
    <w:p>
      <w:pPr>
        <w:spacing w:before="40" w:after="80" w:line="276" w:lineRule="auto"/>
      </w:pPr>
      <w:r>
        <w:rPr>
          <w:color w:val="334155"/>
          <w:sz w:val="19"/>
        </w:rPr>
        <w:t>and support biodiversity and amenity outcomes.</w:t>
      </w:r>
    </w:p>
    <w:p>
      <w:pPr>
        <w:spacing w:before="40" w:after="80" w:line="276" w:lineRule="auto"/>
      </w:pPr>
      <w:r>
        <w:rPr>
          <w:color w:val="334155"/>
          <w:sz w:val="19"/>
        </w:rPr>
        <w:t>F.</w:t>
        <w:tab/>
        <w:t xml:space="preserve"> Where existing structures are retained, adaptive</w:t>
      </w:r>
    </w:p>
    <w:p>
      <w:pPr>
        <w:spacing w:before="40" w:after="80" w:line="276" w:lineRule="auto"/>
      </w:pPr>
      <w:r>
        <w:rPr>
          <w:color w:val="334155"/>
          <w:sz w:val="19"/>
        </w:rPr>
        <w:t>reuse must demonstrate compliance with</w:t>
      </w:r>
    </w:p>
    <w:p>
      <w:pPr>
        <w:spacing w:before="40" w:after="80" w:line="276" w:lineRule="auto"/>
      </w:pPr>
      <w:r>
        <w:rPr>
          <w:color w:val="334155"/>
          <w:sz w:val="19"/>
        </w:rPr>
        <w:t>current safety and accessibility requirements.</w:t>
      </w:r>
    </w:p>
    <w:p>
      <w:pPr>
        <w:spacing w:before="40" w:after="80" w:line="276" w:lineRule="auto"/>
      </w:pPr>
      <w:r>
        <w:rPr>
          <w:color w:val="334155"/>
          <w:sz w:val="19"/>
        </w:rPr>
        <w:t>G. Public domain, landscape and street design</w:t>
      </w:r>
    </w:p>
    <w:p>
      <w:pPr>
        <w:spacing w:before="40" w:after="80" w:line="276" w:lineRule="auto"/>
      </w:pPr>
      <w:r>
        <w:rPr>
          <w:color w:val="334155"/>
          <w:sz w:val="19"/>
        </w:rPr>
        <w:t>must integrate WSUD assets to support urban</w:t>
      </w:r>
    </w:p>
    <w:p>
      <w:pPr>
        <w:spacing w:before="40" w:after="80" w:line="276" w:lineRule="auto"/>
      </w:pPr>
      <w:r>
        <w:rPr>
          <w:color w:val="334155"/>
          <w:sz w:val="19"/>
        </w:rPr>
        <w:t>cooling, biodiversity, amenity and place identity.</w:t>
      </w:r>
    </w:p>
    <w:p>
      <w:pPr>
        <w:spacing w:before="40" w:after="80" w:line="276" w:lineRule="auto"/>
      </w:pPr>
      <w:r>
        <w:rPr>
          <w:color w:val="334155"/>
          <w:sz w:val="19"/>
        </w:rPr>
        <w:t>Figure 23: Indicative industrial built form</w:t>
      </w:r>
    </w:p>
    <w:p>
      <w:pPr>
        <w:spacing w:before="40" w:after="80" w:line="276" w:lineRule="auto"/>
      </w:pPr>
      <w:r>
        <w:rPr>
          <w:color w:val="334155"/>
          <w:sz w:val="19"/>
        </w:rPr>
        <w:t>development concept</w:t>
      </w:r>
    </w:p>
    <w:p>
      <w:pPr>
        <w:spacing w:before="40" w:after="80" w:line="276" w:lineRule="auto"/>
      </w:pPr>
      <w:r>
        <w:rPr>
          <w:color w:val="334155"/>
          <w:sz w:val="19"/>
        </w:rPr>
        <w:t>Figure 24:  Indicative public realm development</w:t>
      </w:r>
    </w:p>
    <w:p>
      <w:pPr>
        <w:spacing w:before="40" w:after="80" w:line="276" w:lineRule="auto"/>
      </w:pPr>
      <w:r>
        <w:rPr>
          <w:color w:val="334155"/>
          <w:sz w:val="19"/>
        </w:rPr>
        <w:t>concept</w:t>
      </w:r>
    </w:p>
    <w:p>
      <w:pPr>
        <w:spacing w:before="40" w:after="80" w:line="276" w:lineRule="auto"/>
      </w:pPr>
      <w:r>
        <w:rPr>
          <w:color w:val="334155"/>
          <w:sz w:val="19"/>
        </w:rPr>
        <w:t>35</w:t>
      </w:r>
    </w:p>
    <w:p>
      <w:pPr>
        <w:spacing w:before="40" w:after="80" w:line="276" w:lineRule="auto"/>
      </w:pPr>
      <w:r>
        <w:rPr>
          <w:color w:val="334155"/>
          <w:sz w:val="19"/>
        </w:rPr>
        <w:t>5  Built form and landscape</w:t>
      </w:r>
    </w:p>
    <w:p>
      <w:pPr>
        <w:pStyle w:val="Heading2"/>
        <w:keepNext/>
        <w:spacing w:before="240" w:after="80"/>
      </w:pPr>
      <w:r>
        <w:rPr>
          <w:b/>
          <w:color w:val="0284C7"/>
        </w:rPr>
        <w:t>Page 36</w:t>
      </w:r>
    </w:p>
    <w:p>
      <w:pPr>
        <w:spacing w:before="40" w:after="80" w:line="276" w:lineRule="auto"/>
      </w:pPr>
      <w:r>
        <w:rPr>
          <w:color w:val="334155"/>
          <w:sz w:val="19"/>
        </w:rPr>
        <w:t>Sub-precinct interface consideration</w:t>
      </w:r>
    </w:p>
    <w:p>
      <w:pPr>
        <w:spacing w:before="40" w:after="80" w:line="276" w:lineRule="auto"/>
      </w:pPr>
      <w:r>
        <w:rPr>
          <w:color w:val="334155"/>
          <w:sz w:val="19"/>
        </w:rPr>
        <w:t>The Precinct incorporates a range of contextual</w:t>
      </w:r>
    </w:p>
    <w:p>
      <w:pPr>
        <w:spacing w:before="40" w:after="80" w:line="276" w:lineRule="auto"/>
      </w:pPr>
      <w:r>
        <w:rPr>
          <w:color w:val="334155"/>
          <w:sz w:val="19"/>
        </w:rPr>
        <w:t>interfaces, including environmentally constrained</w:t>
      </w:r>
    </w:p>
    <w:p>
      <w:pPr>
        <w:spacing w:before="40" w:after="80" w:line="276" w:lineRule="auto"/>
      </w:pPr>
      <w:r>
        <w:rPr>
          <w:color w:val="334155"/>
          <w:sz w:val="19"/>
        </w:rPr>
        <w:t>areas, open space and recreation areas, and</w:t>
      </w:r>
    </w:p>
    <w:p>
      <w:pPr>
        <w:spacing w:before="40" w:after="80" w:line="276" w:lineRule="auto"/>
      </w:pPr>
      <w:r>
        <w:rPr>
          <w:color w:val="334155"/>
          <w:sz w:val="19"/>
        </w:rPr>
        <w:t>external sensitive receivers such as established</w:t>
      </w:r>
    </w:p>
    <w:p>
      <w:pPr>
        <w:spacing w:before="40" w:after="80" w:line="276" w:lineRule="auto"/>
      </w:pPr>
      <w:r>
        <w:rPr>
          <w:color w:val="334155"/>
          <w:sz w:val="19"/>
        </w:rPr>
        <w:t>residential communities. Three interface typologies</w:t>
      </w:r>
    </w:p>
    <w:p>
      <w:pPr>
        <w:spacing w:before="40" w:after="80" w:line="276" w:lineRule="auto"/>
      </w:pPr>
      <w:r>
        <w:rPr>
          <w:color w:val="334155"/>
          <w:sz w:val="19"/>
        </w:rPr>
        <w:t>guide the design of the Precinct’s edges, each</w:t>
      </w:r>
    </w:p>
    <w:p>
      <w:pPr>
        <w:spacing w:before="40" w:after="80" w:line="276" w:lineRule="auto"/>
      </w:pPr>
      <w:r>
        <w:rPr>
          <w:color w:val="334155"/>
          <w:sz w:val="19"/>
        </w:rPr>
        <w:t>shaped by the values of the adjoining land and</w:t>
      </w:r>
    </w:p>
    <w:p>
      <w:pPr>
        <w:spacing w:before="40" w:after="80" w:line="276" w:lineRule="auto"/>
      </w:pPr>
      <w:r>
        <w:rPr>
          <w:color w:val="334155"/>
          <w:sz w:val="19"/>
        </w:rPr>
        <w:t>the role of the interface in protecting amenity,</w:t>
      </w:r>
    </w:p>
    <w:p>
      <w:pPr>
        <w:spacing w:before="40" w:after="80" w:line="276" w:lineRule="auto"/>
      </w:pPr>
      <w:r>
        <w:rPr>
          <w:color w:val="334155"/>
          <w:sz w:val="19"/>
        </w:rPr>
        <w:t>biodiversity and bushfire safety outcomes:</w:t>
      </w:r>
    </w:p>
    <w:p>
      <w:pPr>
        <w:spacing w:before="40" w:after="80" w:line="276" w:lineRule="auto"/>
      </w:pPr>
      <w:r>
        <w:rPr>
          <w:color w:val="334155"/>
          <w:sz w:val="19"/>
        </w:rPr>
        <w:t>•</w:t>
      </w:r>
    </w:p>
    <w:p>
      <w:pPr>
        <w:spacing w:before="40" w:after="80" w:line="276" w:lineRule="auto"/>
      </w:pPr>
      <w:r>
        <w:rPr>
          <w:color w:val="334155"/>
          <w:sz w:val="19"/>
        </w:rPr>
        <w:t>Typology 1 – Development adjoining</w:t>
      </w:r>
    </w:p>
    <w:p>
      <w:pPr>
        <w:spacing w:before="40" w:after="80" w:line="276" w:lineRule="auto"/>
      </w:pPr>
      <w:r>
        <w:rPr>
          <w:color w:val="334155"/>
          <w:sz w:val="19"/>
        </w:rPr>
        <w:t>environmentally constrained areas (including</w:t>
      </w:r>
    </w:p>
    <w:p>
      <w:pPr>
        <w:spacing w:before="40" w:after="80" w:line="276" w:lineRule="auto"/>
      </w:pPr>
      <w:r>
        <w:rPr>
          <w:color w:val="334155"/>
          <w:sz w:val="19"/>
        </w:rPr>
        <w:t>heavily vegetated and bushfire-prone areas)</w:t>
      </w:r>
    </w:p>
    <w:p>
      <w:pPr>
        <w:spacing w:before="40" w:after="80" w:line="276" w:lineRule="auto"/>
      </w:pPr>
      <w:r>
        <w:rPr>
          <w:color w:val="334155"/>
          <w:sz w:val="19"/>
        </w:rPr>
        <w:t>•</w:t>
      </w:r>
    </w:p>
    <w:p>
      <w:pPr>
        <w:spacing w:before="40" w:after="80" w:line="276" w:lineRule="auto"/>
      </w:pPr>
      <w:r>
        <w:rPr>
          <w:color w:val="334155"/>
          <w:sz w:val="19"/>
        </w:rPr>
        <w:t>Typology 2 – Developable area to open space</w:t>
      </w:r>
    </w:p>
    <w:p>
      <w:pPr>
        <w:spacing w:before="40" w:after="80" w:line="276" w:lineRule="auto"/>
      </w:pPr>
      <w:r>
        <w:rPr>
          <w:color w:val="334155"/>
          <w:sz w:val="19"/>
        </w:rPr>
        <w:t>and recreation areas</w:t>
      </w:r>
    </w:p>
    <w:p>
      <w:pPr>
        <w:spacing w:before="40" w:after="80" w:line="276" w:lineRule="auto"/>
      </w:pPr>
      <w:r>
        <w:rPr>
          <w:color w:val="334155"/>
          <w:sz w:val="19"/>
        </w:rPr>
        <w:t>•</w:t>
      </w:r>
    </w:p>
    <w:p>
      <w:pPr>
        <w:spacing w:before="40" w:after="80" w:line="276" w:lineRule="auto"/>
      </w:pPr>
      <w:r>
        <w:rPr>
          <w:color w:val="334155"/>
          <w:sz w:val="19"/>
        </w:rPr>
        <w:t>Typology 3 – Precinct boundary to external</w:t>
      </w:r>
    </w:p>
    <w:p>
      <w:pPr>
        <w:spacing w:before="40" w:after="80" w:line="276" w:lineRule="auto"/>
      </w:pPr>
      <w:r>
        <w:rPr>
          <w:color w:val="334155"/>
          <w:sz w:val="19"/>
        </w:rPr>
        <w:t>context (including adjoining residential and</w:t>
      </w:r>
    </w:p>
    <w:p>
      <w:pPr>
        <w:spacing w:before="40" w:after="80" w:line="276" w:lineRule="auto"/>
      </w:pPr>
      <w:r>
        <w:rPr>
          <w:color w:val="334155"/>
          <w:sz w:val="19"/>
        </w:rPr>
        <w:t>other sensitive receivers).</w:t>
      </w:r>
    </w:p>
    <w:p>
      <w:pPr>
        <w:spacing w:before="40" w:after="80" w:line="276" w:lineRule="auto"/>
      </w:pPr>
      <w:r>
        <w:rPr>
          <w:color w:val="334155"/>
          <w:sz w:val="19"/>
        </w:rPr>
        <w:t>Each typology is illustrated separately in Figure 25</w:t>
      </w:r>
    </w:p>
    <w:p>
      <w:pPr>
        <w:spacing w:before="40" w:after="80" w:line="276" w:lineRule="auto"/>
      </w:pPr>
      <w:r>
        <w:rPr>
          <w:color w:val="334155"/>
          <w:sz w:val="19"/>
        </w:rPr>
        <w:t>to Figure 27. Together, these treatments establish</w:t>
      </w:r>
    </w:p>
    <w:p>
      <w:pPr>
        <w:spacing w:before="40" w:after="80" w:line="276" w:lineRule="auto"/>
      </w:pPr>
      <w:r>
        <w:rPr>
          <w:color w:val="334155"/>
          <w:sz w:val="19"/>
        </w:rPr>
        <w:t>high-quality, well-managed edges that retain</w:t>
      </w:r>
    </w:p>
    <w:p>
      <w:pPr>
        <w:spacing w:before="40" w:after="80" w:line="276" w:lineRule="auto"/>
      </w:pPr>
      <w:r>
        <w:rPr>
          <w:color w:val="334155"/>
          <w:sz w:val="19"/>
        </w:rPr>
        <w:t>the values of adjoining land while supporting the</w:t>
      </w:r>
    </w:p>
    <w:p>
      <w:pPr>
        <w:spacing w:before="40" w:after="80" w:line="276" w:lineRule="auto"/>
      </w:pPr>
      <w:r>
        <w:rPr>
          <w:color w:val="334155"/>
          <w:sz w:val="19"/>
        </w:rPr>
        <w:t>Precinct’s long-term productive use.</w:t>
      </w:r>
    </w:p>
    <w:p>
      <w:pPr>
        <w:spacing w:before="40" w:after="80" w:line="276" w:lineRule="auto"/>
      </w:pPr>
      <w:r>
        <w:rPr>
          <w:color w:val="334155"/>
          <w:sz w:val="19"/>
        </w:rPr>
        <w:t>Aims</w:t>
      </w:r>
    </w:p>
    <w:p>
      <w:pPr>
        <w:spacing w:before="40" w:after="80" w:line="276" w:lineRule="auto"/>
      </w:pPr>
      <w:r>
        <w:rPr>
          <w:color w:val="334155"/>
          <w:sz w:val="19"/>
        </w:rPr>
        <w:t>•</w:t>
      </w:r>
    </w:p>
    <w:p>
      <w:pPr>
        <w:spacing w:before="40" w:after="80" w:line="276" w:lineRule="auto"/>
      </w:pPr>
      <w:r>
        <w:rPr>
          <w:color w:val="334155"/>
          <w:sz w:val="19"/>
        </w:rPr>
        <w:t>Establish clear, durable transitions between</w:t>
      </w:r>
    </w:p>
    <w:p>
      <w:pPr>
        <w:spacing w:before="40" w:after="80" w:line="276" w:lineRule="auto"/>
      </w:pPr>
      <w:r>
        <w:rPr>
          <w:color w:val="334155"/>
          <w:sz w:val="19"/>
        </w:rPr>
        <w:t>developable areas, environmentally constrained</w:t>
      </w:r>
    </w:p>
    <w:p>
      <w:pPr>
        <w:spacing w:before="40" w:after="80" w:line="276" w:lineRule="auto"/>
      </w:pPr>
      <w:r>
        <w:rPr>
          <w:color w:val="334155"/>
          <w:sz w:val="19"/>
        </w:rPr>
        <w:t>areas, open space and surrounding</w:t>
      </w:r>
    </w:p>
    <w:p>
      <w:pPr>
        <w:spacing w:before="40" w:after="80" w:line="276" w:lineRule="auto"/>
      </w:pPr>
      <w:r>
        <w:rPr>
          <w:color w:val="334155"/>
          <w:sz w:val="19"/>
        </w:rPr>
        <w:t>communities.</w:t>
      </w:r>
    </w:p>
    <w:p>
      <w:pPr>
        <w:spacing w:before="40" w:after="80" w:line="276" w:lineRule="auto"/>
      </w:pPr>
      <w:r>
        <w:rPr>
          <w:color w:val="334155"/>
          <w:sz w:val="19"/>
        </w:rPr>
        <w:t>•</w:t>
      </w:r>
    </w:p>
    <w:p>
      <w:pPr>
        <w:spacing w:before="40" w:after="80" w:line="276" w:lineRule="auto"/>
      </w:pPr>
      <w:r>
        <w:rPr>
          <w:color w:val="334155"/>
          <w:sz w:val="19"/>
        </w:rPr>
        <w:t>Protect biodiversity values, ecological corridors,</w:t>
      </w:r>
    </w:p>
    <w:p>
      <w:pPr>
        <w:spacing w:before="40" w:after="80" w:line="276" w:lineRule="auto"/>
      </w:pPr>
      <w:r>
        <w:rPr>
          <w:color w:val="334155"/>
          <w:sz w:val="19"/>
        </w:rPr>
        <w:t>waterways and cultural heritage from the</w:t>
      </w:r>
    </w:p>
    <w:p>
      <w:pPr>
        <w:spacing w:before="40" w:after="80" w:line="276" w:lineRule="auto"/>
      </w:pPr>
      <w:r>
        <w:rPr>
          <w:color w:val="334155"/>
          <w:sz w:val="19"/>
        </w:rPr>
        <w:t>indirect effects of adjacent development,</w:t>
      </w:r>
    </w:p>
    <w:p>
      <w:pPr>
        <w:spacing w:before="40" w:after="80" w:line="276" w:lineRule="auto"/>
      </w:pPr>
      <w:r>
        <w:rPr>
          <w:color w:val="334155"/>
          <w:sz w:val="19"/>
        </w:rPr>
        <w:t>including noise, light, dust, stormwater runoff,</w:t>
      </w:r>
    </w:p>
    <w:p>
      <w:pPr>
        <w:spacing w:before="40" w:after="80" w:line="276" w:lineRule="auto"/>
      </w:pPr>
      <w:r>
        <w:rPr>
          <w:color w:val="334155"/>
          <w:sz w:val="19"/>
        </w:rPr>
        <w:t>weed invasion and uncontrolled access.</w:t>
      </w:r>
    </w:p>
    <w:p>
      <w:pPr>
        <w:spacing w:before="40" w:after="80" w:line="276" w:lineRule="auto"/>
      </w:pPr>
      <w:r>
        <w:rPr>
          <w:color w:val="334155"/>
          <w:sz w:val="19"/>
        </w:rPr>
        <w:t>•</w:t>
      </w:r>
    </w:p>
    <w:p>
      <w:pPr>
        <w:spacing w:before="40" w:after="80" w:line="276" w:lineRule="auto"/>
      </w:pPr>
      <w:r>
        <w:rPr>
          <w:color w:val="334155"/>
          <w:sz w:val="19"/>
        </w:rPr>
        <w:t>Provide that interface built form responds to the</w:t>
      </w:r>
    </w:p>
    <w:p>
      <w:pPr>
        <w:spacing w:before="40" w:after="80" w:line="276" w:lineRule="auto"/>
      </w:pPr>
      <w:r>
        <w:rPr>
          <w:color w:val="334155"/>
          <w:sz w:val="19"/>
        </w:rPr>
        <w:t>scale, character and amenity of adjoining land.</w:t>
      </w:r>
    </w:p>
    <w:p>
      <w:pPr>
        <w:spacing w:before="40" w:after="80" w:line="276" w:lineRule="auto"/>
      </w:pPr>
      <w:r>
        <w:rPr>
          <w:color w:val="334155"/>
          <w:sz w:val="19"/>
        </w:rPr>
        <w:t>•</w:t>
      </w:r>
    </w:p>
    <w:p>
      <w:pPr>
        <w:spacing w:before="40" w:after="80" w:line="276" w:lineRule="auto"/>
      </w:pPr>
      <w:r>
        <w:rPr>
          <w:color w:val="334155"/>
          <w:sz w:val="19"/>
        </w:rPr>
        <w:t>Maintain permeability and connectivity</w:t>
      </w:r>
    </w:p>
    <w:p>
      <w:pPr>
        <w:spacing w:before="40" w:after="80" w:line="276" w:lineRule="auto"/>
      </w:pPr>
      <w:r>
        <w:rPr>
          <w:color w:val="334155"/>
          <w:sz w:val="19"/>
        </w:rPr>
        <w:t>for people while managing access to</w:t>
      </w:r>
    </w:p>
    <w:p>
      <w:pPr>
        <w:spacing w:before="40" w:after="80" w:line="276" w:lineRule="auto"/>
      </w:pPr>
      <w:r>
        <w:rPr>
          <w:color w:val="334155"/>
          <w:sz w:val="19"/>
        </w:rPr>
        <w:t>environmentally constrained areas.</w:t>
      </w:r>
    </w:p>
    <w:p>
      <w:pPr>
        <w:spacing w:before="40" w:after="80" w:line="276" w:lineRule="auto"/>
      </w:pPr>
      <w:r>
        <w:rPr>
          <w:color w:val="334155"/>
          <w:sz w:val="19"/>
        </w:rPr>
        <w:t>Performance criteria</w:t>
      </w:r>
    </w:p>
    <w:p>
      <w:pPr>
        <w:spacing w:before="40" w:after="80" w:line="276" w:lineRule="auto"/>
      </w:pPr>
      <w:r>
        <w:rPr>
          <w:color w:val="334155"/>
          <w:sz w:val="19"/>
        </w:rPr>
        <w:t>Typology 1 - Development adjoining</w:t>
      </w:r>
    </w:p>
    <w:p>
      <w:pPr>
        <w:spacing w:before="40" w:after="80" w:line="276" w:lineRule="auto"/>
      </w:pPr>
      <w:r>
        <w:rPr>
          <w:color w:val="334155"/>
          <w:sz w:val="19"/>
        </w:rPr>
        <w:t>environmentally constrained areas</w:t>
      </w:r>
    </w:p>
    <w:p>
      <w:pPr>
        <w:spacing w:before="40" w:after="80" w:line="276" w:lineRule="auto"/>
      </w:pPr>
      <w:r>
        <w:rPr>
          <w:color w:val="334155"/>
          <w:sz w:val="19"/>
        </w:rPr>
        <w:t>A. Development adjoining environmentally</w:t>
      </w:r>
    </w:p>
    <w:p>
      <w:pPr>
        <w:spacing w:before="40" w:after="80" w:line="276" w:lineRule="auto"/>
      </w:pPr>
      <w:r>
        <w:rPr>
          <w:color w:val="334155"/>
          <w:sz w:val="19"/>
        </w:rPr>
        <w:t>constrained areas protects ecological values,</w:t>
      </w:r>
    </w:p>
    <w:p>
      <w:pPr>
        <w:spacing w:before="40" w:after="80" w:line="276" w:lineRule="auto"/>
      </w:pPr>
      <w:r>
        <w:rPr>
          <w:color w:val="334155"/>
          <w:sz w:val="19"/>
        </w:rPr>
        <w:t>manages edge effects, accommodates bushfire</w:t>
      </w:r>
    </w:p>
    <w:p>
      <w:pPr>
        <w:spacing w:before="40" w:after="80" w:line="276" w:lineRule="auto"/>
      </w:pPr>
      <w:r>
        <w:rPr>
          <w:color w:val="334155"/>
          <w:sz w:val="19"/>
        </w:rPr>
        <w:t>asset protection requirements and supports a</w:t>
      </w:r>
    </w:p>
    <w:p>
      <w:pPr>
        <w:spacing w:before="40" w:after="80" w:line="276" w:lineRule="auto"/>
      </w:pPr>
      <w:r>
        <w:rPr>
          <w:color w:val="334155"/>
          <w:sz w:val="19"/>
        </w:rPr>
        <w:t>clear, maintainable boundary between urban and</w:t>
      </w:r>
    </w:p>
    <w:p>
      <w:pPr>
        <w:spacing w:before="40" w:after="80" w:line="276" w:lineRule="auto"/>
      </w:pPr>
      <w:r>
        <w:rPr>
          <w:color w:val="334155"/>
          <w:sz w:val="19"/>
        </w:rPr>
        <w:t>conservation land.</w:t>
      </w:r>
    </w:p>
    <w:p>
      <w:pPr>
        <w:spacing w:before="40" w:after="80" w:line="276" w:lineRule="auto"/>
      </w:pPr>
      <w:r>
        <w:rPr>
          <w:color w:val="334155"/>
          <w:sz w:val="19"/>
        </w:rPr>
        <w:t>B. A vegetated buffer planted with locally endemic</w:t>
      </w:r>
    </w:p>
    <w:p>
      <w:pPr>
        <w:spacing w:before="40" w:after="80" w:line="276" w:lineRule="auto"/>
      </w:pPr>
      <w:r>
        <w:rPr>
          <w:color w:val="334155"/>
          <w:sz w:val="19"/>
        </w:rPr>
        <w:t>species must be provided to the environmentally</w:t>
      </w:r>
    </w:p>
    <w:p>
      <w:pPr>
        <w:spacing w:before="40" w:after="80" w:line="276" w:lineRule="auto"/>
      </w:pPr>
      <w:r>
        <w:rPr>
          <w:color w:val="334155"/>
          <w:sz w:val="19"/>
        </w:rPr>
        <w:t>constrained areas, with a baseline width of 30</w:t>
      </w:r>
    </w:p>
    <w:p>
      <w:pPr>
        <w:spacing w:before="40" w:after="80" w:line="276" w:lineRule="auto"/>
      </w:pPr>
      <w:r>
        <w:rPr>
          <w:color w:val="334155"/>
          <w:sz w:val="19"/>
        </w:rPr>
        <w:t>metres. This width may be reduced where a site-</w:t>
      </w:r>
    </w:p>
    <w:p>
      <w:pPr>
        <w:spacing w:before="40" w:after="80" w:line="276" w:lineRule="auto"/>
      </w:pPr>
      <w:r>
        <w:rPr>
          <w:color w:val="334155"/>
          <w:sz w:val="19"/>
        </w:rPr>
        <w:t>specific ecological assessment demonstrates</w:t>
      </w:r>
    </w:p>
    <w:p>
      <w:pPr>
        <w:spacing w:before="40" w:after="80" w:line="276" w:lineRule="auto"/>
      </w:pPr>
      <w:r>
        <w:rPr>
          <w:color w:val="334155"/>
          <w:sz w:val="19"/>
        </w:rPr>
        <w:t>that a narrower buffer will achieve equivalent or</w:t>
      </w:r>
    </w:p>
    <w:p>
      <w:pPr>
        <w:spacing w:before="40" w:after="80" w:line="276" w:lineRule="auto"/>
      </w:pPr>
      <w:r>
        <w:rPr>
          <w:color w:val="334155"/>
          <w:sz w:val="19"/>
        </w:rPr>
        <w:t>improved ecological outcomes, having regard to</w:t>
      </w:r>
    </w:p>
    <w:p>
      <w:pPr>
        <w:spacing w:before="40" w:after="80" w:line="276" w:lineRule="auto"/>
      </w:pPr>
      <w:r>
        <w:rPr>
          <w:color w:val="334155"/>
          <w:sz w:val="19"/>
        </w:rPr>
        <w:t>the sensitivity of the adjoining environmentally</w:t>
      </w:r>
    </w:p>
    <w:p>
      <w:pPr>
        <w:spacing w:before="40" w:after="80" w:line="276" w:lineRule="auto"/>
      </w:pPr>
      <w:r>
        <w:rPr>
          <w:color w:val="334155"/>
          <w:sz w:val="19"/>
        </w:rPr>
        <w:t>constrained area.</w:t>
      </w:r>
    </w:p>
    <w:p>
      <w:pPr>
        <w:spacing w:before="40" w:after="80" w:line="276" w:lineRule="auto"/>
      </w:pPr>
      <w:r>
        <w:rPr>
          <w:color w:val="334155"/>
          <w:sz w:val="19"/>
        </w:rPr>
        <w:t>C. Where a perimeter road provides the interface</w:t>
      </w:r>
    </w:p>
    <w:p>
      <w:pPr>
        <w:spacing w:before="40" w:after="80" w:line="276" w:lineRule="auto"/>
      </w:pPr>
      <w:r>
        <w:rPr>
          <w:color w:val="334155"/>
          <w:sz w:val="19"/>
        </w:rPr>
        <w:t>between developable land and environmentally</w:t>
      </w:r>
    </w:p>
    <w:p>
      <w:pPr>
        <w:spacing w:before="40" w:after="80" w:line="276" w:lineRule="auto"/>
      </w:pPr>
      <w:r>
        <w:rPr>
          <w:color w:val="334155"/>
          <w:sz w:val="19"/>
        </w:rPr>
        <w:t>constrained area, the road reserve may form part</w:t>
      </w:r>
    </w:p>
    <w:p>
      <w:pPr>
        <w:spacing w:before="40" w:after="80" w:line="276" w:lineRule="auto"/>
      </w:pPr>
      <w:r>
        <w:rPr>
          <w:color w:val="334155"/>
          <w:sz w:val="19"/>
        </w:rPr>
        <w:t>of the buffer function.</w:t>
      </w:r>
    </w:p>
    <w:p>
      <w:pPr>
        <w:spacing w:before="40" w:after="80" w:line="276" w:lineRule="auto"/>
      </w:pPr>
      <w:r>
        <w:rPr>
          <w:color w:val="334155"/>
          <w:sz w:val="19"/>
        </w:rPr>
        <w:t>D. The bushland side of any perimeter road must</w:t>
      </w:r>
    </w:p>
    <w:p>
      <w:pPr>
        <w:spacing w:before="40" w:after="80" w:line="276" w:lineRule="auto"/>
      </w:pPr>
      <w:r>
        <w:rPr>
          <w:color w:val="334155"/>
          <w:sz w:val="19"/>
        </w:rPr>
        <w:t>be managed through bush regeneration to retain</w:t>
      </w:r>
    </w:p>
    <w:p>
      <w:pPr>
        <w:spacing w:before="40" w:after="80" w:line="276" w:lineRule="auto"/>
      </w:pPr>
      <w:r>
        <w:rPr>
          <w:color w:val="334155"/>
          <w:sz w:val="19"/>
        </w:rPr>
        <w:t>endemic vegetation and ecological values. The</w:t>
      </w:r>
    </w:p>
    <w:p>
      <w:pPr>
        <w:spacing w:before="40" w:after="80" w:line="276" w:lineRule="auto"/>
      </w:pPr>
      <w:r>
        <w:rPr>
          <w:color w:val="334155"/>
          <w:sz w:val="19"/>
        </w:rPr>
        <w:t>development side of the road must incorporate</w:t>
      </w:r>
    </w:p>
    <w:p>
      <w:pPr>
        <w:spacing w:before="40" w:after="80" w:line="276" w:lineRule="auto"/>
      </w:pPr>
      <w:r>
        <w:rPr>
          <w:color w:val="334155"/>
          <w:sz w:val="19"/>
        </w:rPr>
        <w:t>low-maintenance bushfire asset protection</w:t>
      </w:r>
    </w:p>
    <w:p>
      <w:pPr>
        <w:spacing w:before="40" w:after="80" w:line="276" w:lineRule="auto"/>
      </w:pPr>
      <w:r>
        <w:rPr>
          <w:color w:val="334155"/>
          <w:sz w:val="19"/>
        </w:rPr>
        <w:t>zones (e.g. wide road verges, managed grassed</w:t>
      </w:r>
    </w:p>
    <w:p>
      <w:pPr>
        <w:spacing w:before="40" w:after="80" w:line="276" w:lineRule="auto"/>
      </w:pPr>
      <w:r>
        <w:rPr>
          <w:color w:val="334155"/>
          <w:sz w:val="19"/>
        </w:rPr>
        <w:t>verges) that integrate with the urban edge.</w:t>
      </w:r>
    </w:p>
    <w:p>
      <w:pPr>
        <w:spacing w:before="40" w:after="80" w:line="276" w:lineRule="auto"/>
      </w:pPr>
      <w:r>
        <w:rPr>
          <w:color w:val="334155"/>
          <w:sz w:val="19"/>
        </w:rPr>
        <w:t>E. Buildings, hardstand, storage and operational</w:t>
      </w:r>
    </w:p>
    <w:p>
      <w:pPr>
        <w:spacing w:before="40" w:after="80" w:line="276" w:lineRule="auto"/>
      </w:pPr>
      <w:r>
        <w:rPr>
          <w:color w:val="334155"/>
          <w:sz w:val="19"/>
        </w:rPr>
        <w:t>activities must not be located within the</w:t>
      </w:r>
    </w:p>
    <w:p>
      <w:pPr>
        <w:spacing w:before="40" w:after="80" w:line="276" w:lineRule="auto"/>
      </w:pPr>
      <w:r>
        <w:rPr>
          <w:color w:val="334155"/>
          <w:sz w:val="19"/>
        </w:rPr>
        <w:t>ecological buffer or asset protection zone.</w:t>
      </w:r>
    </w:p>
    <w:p>
      <w:pPr>
        <w:spacing w:before="40" w:after="80" w:line="276" w:lineRule="auto"/>
      </w:pPr>
      <w:r>
        <w:rPr>
          <w:color w:val="334155"/>
          <w:sz w:val="19"/>
        </w:rPr>
        <w:t>F.</w:t>
        <w:tab/>
        <w:t xml:space="preserve"> Development intensity at sensitive environmentally</w:t>
      </w:r>
    </w:p>
    <w:p>
      <w:pPr>
        <w:spacing w:before="40" w:after="80" w:line="276" w:lineRule="auto"/>
      </w:pPr>
      <w:r>
        <w:rPr>
          <w:color w:val="334155"/>
          <w:sz w:val="19"/>
        </w:rPr>
        <w:t>constrained area interfaces is to be reduced</w:t>
      </w:r>
    </w:p>
    <w:p>
      <w:pPr>
        <w:spacing w:before="40" w:after="80" w:line="276" w:lineRule="auto"/>
      </w:pPr>
      <w:r>
        <w:rPr>
          <w:color w:val="334155"/>
          <w:sz w:val="19"/>
        </w:rPr>
        <w:t>through setbacks, lower built form scale where</w:t>
      </w:r>
    </w:p>
    <w:p>
      <w:pPr>
        <w:spacing w:before="40" w:after="80" w:line="276" w:lineRule="auto"/>
      </w:pPr>
      <w:r>
        <w:rPr>
          <w:color w:val="334155"/>
          <w:sz w:val="19"/>
        </w:rPr>
        <w:t>appropriate, and landscape screening to minimise</w:t>
      </w:r>
    </w:p>
    <w:p>
      <w:pPr>
        <w:spacing w:before="40" w:after="80" w:line="276" w:lineRule="auto"/>
      </w:pPr>
      <w:r>
        <w:rPr>
          <w:color w:val="334155"/>
          <w:sz w:val="19"/>
        </w:rPr>
        <w:t>visual and ecological edge effects.</w:t>
      </w:r>
    </w:p>
    <w:p>
      <w:pPr>
        <w:spacing w:before="40" w:after="80" w:line="276" w:lineRule="auto"/>
      </w:pPr>
      <w:r>
        <w:rPr>
          <w:color w:val="334155"/>
          <w:sz w:val="19"/>
        </w:rPr>
        <w:t>G. Lighting adjacent to environmentally constrained</w:t>
      </w:r>
    </w:p>
    <w:p>
      <w:pPr>
        <w:spacing w:before="40" w:after="80" w:line="276" w:lineRule="auto"/>
      </w:pPr>
      <w:r>
        <w:rPr>
          <w:color w:val="334155"/>
          <w:sz w:val="19"/>
        </w:rPr>
        <w:t>areas is to be designed to minimise light spill,</w:t>
      </w:r>
    </w:p>
    <w:p>
      <w:pPr>
        <w:spacing w:before="40" w:after="80" w:line="276" w:lineRule="auto"/>
      </w:pPr>
      <w:r>
        <w:rPr>
          <w:color w:val="334155"/>
          <w:sz w:val="19"/>
        </w:rPr>
        <w:t>glare and ecological disturbance to habitat areas.</w:t>
      </w:r>
    </w:p>
    <w:p>
      <w:pPr>
        <w:spacing w:before="40" w:after="80" w:line="276" w:lineRule="auto"/>
      </w:pPr>
      <w:r>
        <w:rPr>
          <w:color w:val="334155"/>
          <w:sz w:val="19"/>
        </w:rPr>
        <w:t>H. Fencing at environmentally constrained</w:t>
      </w:r>
    </w:p>
    <w:p>
      <w:pPr>
        <w:spacing w:before="40" w:after="80" w:line="276" w:lineRule="auto"/>
      </w:pPr>
      <w:r>
        <w:rPr>
          <w:color w:val="334155"/>
          <w:sz w:val="19"/>
        </w:rPr>
        <w:t>area interfaces must be in the form of a</w:t>
      </w:r>
    </w:p>
    <w:p>
      <w:pPr>
        <w:spacing w:before="40" w:after="80" w:line="276" w:lineRule="auto"/>
      </w:pPr>
      <w:r>
        <w:rPr>
          <w:color w:val="334155"/>
          <w:sz w:val="19"/>
        </w:rPr>
        <w:t>maintainable barrier that controls access to the</w:t>
      </w:r>
    </w:p>
    <w:p>
      <w:pPr>
        <w:spacing w:before="40" w:after="80" w:line="276" w:lineRule="auto"/>
      </w:pPr>
      <w:r>
        <w:rPr>
          <w:color w:val="334155"/>
          <w:sz w:val="19"/>
        </w:rPr>
        <w:t>environmentally constrained area while retaining</w:t>
      </w:r>
    </w:p>
    <w:p>
      <w:pPr>
        <w:spacing w:before="40" w:after="80" w:line="276" w:lineRule="auto"/>
      </w:pPr>
      <w:r>
        <w:rPr>
          <w:color w:val="334155"/>
          <w:sz w:val="19"/>
        </w:rPr>
        <w:t>visual permeability where appropriate.</w:t>
      </w:r>
    </w:p>
    <w:p>
      <w:pPr>
        <w:spacing w:before="40" w:after="80" w:line="276" w:lineRule="auto"/>
      </w:pPr>
      <w:r>
        <w:rPr>
          <w:color w:val="334155"/>
          <w:sz w:val="19"/>
        </w:rPr>
        <w:t>I.</w:t>
      </w:r>
    </w:p>
    <w:p>
      <w:pPr>
        <w:spacing w:before="40" w:after="80" w:line="276" w:lineRule="auto"/>
      </w:pPr>
      <w:r>
        <w:rPr>
          <w:color w:val="334155"/>
          <w:sz w:val="19"/>
        </w:rPr>
        <w:t>Stormwater treatment measures must be located</w:t>
      </w:r>
    </w:p>
    <w:p>
      <w:pPr>
        <w:spacing w:before="40" w:after="80" w:line="276" w:lineRule="auto"/>
      </w:pPr>
      <w:r>
        <w:rPr>
          <w:color w:val="334155"/>
          <w:sz w:val="19"/>
        </w:rPr>
        <w:t>within the developable area and outside riparian</w:t>
      </w:r>
    </w:p>
    <w:p>
      <w:pPr>
        <w:spacing w:before="40" w:after="80" w:line="276" w:lineRule="auto"/>
      </w:pPr>
      <w:r>
        <w:rPr>
          <w:color w:val="334155"/>
          <w:sz w:val="19"/>
        </w:rPr>
        <w:t>buffers and environmentally constrained areas.</w:t>
      </w:r>
    </w:p>
    <w:p>
      <w:pPr>
        <w:spacing w:before="40" w:after="80" w:line="276" w:lineRule="auto"/>
      </w:pPr>
      <w:r>
        <w:rPr>
          <w:color w:val="334155"/>
          <w:sz w:val="19"/>
        </w:rPr>
        <w:t>J.</w:t>
      </w:r>
    </w:p>
    <w:p>
      <w:pPr>
        <w:spacing w:before="40" w:after="80" w:line="276" w:lineRule="auto"/>
      </w:pPr>
      <w:r>
        <w:rPr>
          <w:color w:val="334155"/>
          <w:sz w:val="19"/>
        </w:rPr>
        <w:t>Edge treatments must be designed to prevent</w:t>
      </w:r>
    </w:p>
    <w:p>
      <w:pPr>
        <w:spacing w:before="40" w:after="80" w:line="276" w:lineRule="auto"/>
      </w:pPr>
      <w:r>
        <w:rPr>
          <w:color w:val="334155"/>
          <w:sz w:val="19"/>
        </w:rPr>
        <w:t>ongoing weed invasion into adjacent native</w:t>
      </w:r>
    </w:p>
    <w:p>
      <w:pPr>
        <w:spacing w:before="40" w:after="80" w:line="276" w:lineRule="auto"/>
      </w:pPr>
      <w:r>
        <w:rPr>
          <w:color w:val="334155"/>
          <w:sz w:val="19"/>
        </w:rPr>
        <w:t>vegetation, including through selection of</w:t>
      </w:r>
    </w:p>
    <w:p>
      <w:pPr>
        <w:spacing w:before="40" w:after="80" w:line="276" w:lineRule="auto"/>
      </w:pPr>
      <w:r>
        <w:rPr>
          <w:color w:val="334155"/>
          <w:sz w:val="19"/>
        </w:rPr>
        <w:t>non-invasive landscape species, ongoing</w:t>
      </w:r>
    </w:p>
    <w:p>
      <w:pPr>
        <w:spacing w:before="40" w:after="80" w:line="276" w:lineRule="auto"/>
      </w:pPr>
      <w:r>
        <w:rPr>
          <w:color w:val="334155"/>
          <w:sz w:val="19"/>
        </w:rPr>
        <w:t>36</w:t>
      </w:r>
    </w:p>
    <w:p>
      <w:pPr>
        <w:spacing w:before="40" w:after="80" w:line="276" w:lineRule="auto"/>
      </w:pPr>
      <w:r>
        <w:rPr>
          <w:color w:val="334155"/>
          <w:sz w:val="19"/>
        </w:rPr>
        <w:t>5  Built form and landscape</w:t>
      </w:r>
    </w:p>
    <w:p>
      <w:pPr>
        <w:pStyle w:val="Heading2"/>
        <w:keepNext/>
        <w:spacing w:before="240" w:after="80"/>
      </w:pPr>
      <w:r>
        <w:rPr>
          <w:b/>
          <w:color w:val="0284C7"/>
        </w:rPr>
        <w:t>Page 37</w:t>
      </w:r>
    </w:p>
    <w:p>
      <w:pPr>
        <w:spacing w:before="40" w:after="80" w:line="276" w:lineRule="auto"/>
      </w:pPr>
      <w:r>
        <w:rPr>
          <w:color w:val="334155"/>
          <w:sz w:val="19"/>
        </w:rPr>
        <w:t>maintenance arrangements and clear physical</w:t>
      </w:r>
    </w:p>
    <w:p>
      <w:pPr>
        <w:spacing w:before="40" w:after="80" w:line="276" w:lineRule="auto"/>
      </w:pPr>
      <w:r>
        <w:rPr>
          <w:color w:val="334155"/>
          <w:sz w:val="19"/>
        </w:rPr>
        <w:t>demarcation.</w:t>
      </w:r>
    </w:p>
    <w:p>
      <w:pPr>
        <w:spacing w:before="40" w:after="80" w:line="276" w:lineRule="auto"/>
      </w:pPr>
      <w:r>
        <w:rPr>
          <w:color w:val="334155"/>
          <w:sz w:val="19"/>
        </w:rPr>
        <w:t>Typology 2 – Developable area to open space and</w:t>
      </w:r>
    </w:p>
    <w:p>
      <w:pPr>
        <w:spacing w:before="40" w:after="80" w:line="276" w:lineRule="auto"/>
      </w:pPr>
      <w:r>
        <w:rPr>
          <w:color w:val="334155"/>
          <w:sz w:val="19"/>
        </w:rPr>
        <w:t>recreation areas</w:t>
      </w:r>
    </w:p>
    <w:p>
      <w:pPr>
        <w:spacing w:before="40" w:after="80" w:line="276" w:lineRule="auto"/>
      </w:pPr>
      <w:r>
        <w:rPr>
          <w:color w:val="334155"/>
          <w:sz w:val="19"/>
        </w:rPr>
        <w:t>A.</w:t>
        <w:tab/>
        <w:t xml:space="preserve"> Development adjoining open space or recreation</w:t>
      </w:r>
    </w:p>
    <w:p>
      <w:pPr>
        <w:spacing w:before="40" w:after="80" w:line="276" w:lineRule="auto"/>
      </w:pPr>
      <w:r>
        <w:rPr>
          <w:color w:val="334155"/>
          <w:sz w:val="19"/>
        </w:rPr>
        <w:t>areas must provide a positive, legible and active</w:t>
      </w:r>
    </w:p>
    <w:p>
      <w:pPr>
        <w:spacing w:before="40" w:after="80" w:line="276" w:lineRule="auto"/>
      </w:pPr>
      <w:r>
        <w:rPr>
          <w:color w:val="334155"/>
          <w:sz w:val="19"/>
        </w:rPr>
        <w:t>interface to the public realm.</w:t>
      </w:r>
    </w:p>
    <w:p>
      <w:pPr>
        <w:spacing w:before="40" w:after="80" w:line="276" w:lineRule="auto"/>
      </w:pPr>
      <w:r>
        <w:rPr>
          <w:color w:val="334155"/>
          <w:sz w:val="19"/>
        </w:rPr>
        <w:t>B.</w:t>
        <w:tab/>
        <w:t xml:space="preserve"> Pedestrian access points and landscape</w:t>
      </w:r>
    </w:p>
    <w:p>
      <w:pPr>
        <w:spacing w:before="40" w:after="80" w:line="276" w:lineRule="auto"/>
      </w:pPr>
      <w:r>
        <w:rPr>
          <w:color w:val="334155"/>
          <w:sz w:val="19"/>
        </w:rPr>
        <w:t>treatments are to integrate seamlessly with</w:t>
      </w:r>
    </w:p>
    <w:p>
      <w:pPr>
        <w:spacing w:before="40" w:after="80" w:line="276" w:lineRule="auto"/>
      </w:pPr>
      <w:r>
        <w:rPr>
          <w:color w:val="334155"/>
          <w:sz w:val="19"/>
        </w:rPr>
        <w:t>adjoining open space.</w:t>
      </w:r>
    </w:p>
    <w:p>
      <w:pPr>
        <w:spacing w:before="40" w:after="80" w:line="276" w:lineRule="auto"/>
      </w:pPr>
      <w:r>
        <w:rPr>
          <w:color w:val="334155"/>
          <w:sz w:val="19"/>
        </w:rPr>
        <w:t>C.</w:t>
        <w:tab/>
        <w:t xml:space="preserve"> Buildings must be oriented to support Crime</w:t>
      </w:r>
    </w:p>
    <w:p>
      <w:pPr>
        <w:spacing w:before="40" w:after="80" w:line="276" w:lineRule="auto"/>
      </w:pPr>
      <w:r>
        <w:rPr>
          <w:color w:val="334155"/>
          <w:sz w:val="19"/>
        </w:rPr>
        <w:t>Prevention Through Environmental Design</w:t>
      </w:r>
    </w:p>
    <w:p>
      <w:pPr>
        <w:spacing w:before="40" w:after="80" w:line="276" w:lineRule="auto"/>
      </w:pPr>
      <w:r>
        <w:rPr>
          <w:color w:val="334155"/>
          <w:sz w:val="19"/>
        </w:rPr>
        <w:t>(CPTED) principles and provide passive</w:t>
      </w:r>
    </w:p>
    <w:p>
      <w:pPr>
        <w:spacing w:before="40" w:after="80" w:line="276" w:lineRule="auto"/>
      </w:pPr>
      <w:r>
        <w:rPr>
          <w:color w:val="334155"/>
          <w:sz w:val="19"/>
        </w:rPr>
        <w:t>surveillance of public open space, where</w:t>
      </w:r>
    </w:p>
    <w:p>
      <w:pPr>
        <w:spacing w:before="40" w:after="80" w:line="276" w:lineRule="auto"/>
      </w:pPr>
      <w:r>
        <w:rPr>
          <w:color w:val="334155"/>
          <w:sz w:val="19"/>
        </w:rPr>
        <w:t>appropriate to the proposed use.</w:t>
      </w:r>
    </w:p>
    <w:p>
      <w:pPr>
        <w:spacing w:before="40" w:after="80" w:line="276" w:lineRule="auto"/>
      </w:pPr>
      <w:r>
        <w:rPr>
          <w:color w:val="334155"/>
          <w:sz w:val="19"/>
        </w:rPr>
        <w:t>D.</w:t>
        <w:tab/>
        <w:t xml:space="preserve"> Open space at sub-precinct interfaces are</w:t>
      </w:r>
    </w:p>
    <w:p>
      <w:pPr>
        <w:spacing w:before="40" w:after="80" w:line="276" w:lineRule="auto"/>
      </w:pPr>
      <w:r>
        <w:rPr>
          <w:color w:val="334155"/>
          <w:sz w:val="19"/>
        </w:rPr>
        <w:t>to function as a connected system that links</w:t>
      </w:r>
    </w:p>
    <w:p>
      <w:pPr>
        <w:spacing w:before="40" w:after="80" w:line="276" w:lineRule="auto"/>
      </w:pPr>
      <w:r>
        <w:rPr>
          <w:color w:val="334155"/>
          <w:sz w:val="19"/>
        </w:rPr>
        <w:t>environmentally constrained areas, walking and</w:t>
      </w:r>
    </w:p>
    <w:p>
      <w:pPr>
        <w:spacing w:before="40" w:after="80" w:line="276" w:lineRule="auto"/>
      </w:pPr>
      <w:r>
        <w:rPr>
          <w:color w:val="334155"/>
          <w:sz w:val="19"/>
        </w:rPr>
        <w:t>cycling routes, significant vegetation and natural</w:t>
      </w:r>
    </w:p>
    <w:p>
      <w:pPr>
        <w:spacing w:before="40" w:after="80" w:line="276" w:lineRule="auto"/>
      </w:pPr>
      <w:r>
        <w:rPr>
          <w:color w:val="334155"/>
          <w:sz w:val="19"/>
        </w:rPr>
        <w:t>landforms.</w:t>
      </w:r>
    </w:p>
    <w:p>
      <w:pPr>
        <w:spacing w:before="40" w:after="80" w:line="276" w:lineRule="auto"/>
      </w:pPr>
      <w:r>
        <w:rPr>
          <w:color w:val="334155"/>
          <w:sz w:val="19"/>
        </w:rPr>
        <w:t>E.</w:t>
        <w:tab/>
        <w:t xml:space="preserve"> Lighting at open space interfaces must support</w:t>
      </w:r>
    </w:p>
    <w:p>
      <w:pPr>
        <w:spacing w:before="40" w:after="80" w:line="276" w:lineRule="auto"/>
      </w:pPr>
      <w:r>
        <w:rPr>
          <w:color w:val="334155"/>
          <w:sz w:val="19"/>
        </w:rPr>
        <w:t>safe pedestrian movement while applying</w:t>
      </w:r>
    </w:p>
    <w:p>
      <w:pPr>
        <w:spacing w:before="40" w:after="80" w:line="276" w:lineRule="auto"/>
      </w:pPr>
      <w:r>
        <w:rPr>
          <w:color w:val="334155"/>
          <w:sz w:val="19"/>
        </w:rPr>
        <w:t>CPTED and wildlife-friendly lighting principles</w:t>
      </w:r>
    </w:p>
    <w:p>
      <w:pPr>
        <w:spacing w:before="40" w:after="80" w:line="276" w:lineRule="auto"/>
      </w:pPr>
      <w:r>
        <w:rPr>
          <w:color w:val="334155"/>
          <w:sz w:val="19"/>
        </w:rPr>
        <w:t>where the open space adjoins or connects to</w:t>
      </w:r>
    </w:p>
    <w:p>
      <w:pPr>
        <w:spacing w:before="40" w:after="80" w:line="276" w:lineRule="auto"/>
      </w:pPr>
      <w:r>
        <w:rPr>
          <w:color w:val="334155"/>
          <w:sz w:val="19"/>
        </w:rPr>
        <w:t>environmentally constrained areas.</w:t>
      </w:r>
    </w:p>
    <w:p>
      <w:pPr>
        <w:spacing w:before="40" w:after="80" w:line="276" w:lineRule="auto"/>
      </w:pPr>
      <w:r>
        <w:rPr>
          <w:color w:val="334155"/>
          <w:sz w:val="19"/>
        </w:rPr>
        <w:t>Typology 3 – Precinct boundary to external context</w:t>
      </w:r>
    </w:p>
    <w:p>
      <w:pPr>
        <w:spacing w:before="40" w:after="80" w:line="276" w:lineRule="auto"/>
      </w:pPr>
      <w:r>
        <w:rPr>
          <w:color w:val="334155"/>
          <w:sz w:val="19"/>
        </w:rPr>
        <w:t>A.</w:t>
        <w:tab/>
        <w:t xml:space="preserve"> Development adjoining residential areas or other</w:t>
      </w:r>
    </w:p>
    <w:p>
      <w:pPr>
        <w:spacing w:before="40" w:after="80" w:line="276" w:lineRule="auto"/>
      </w:pPr>
      <w:r>
        <w:rPr>
          <w:color w:val="334155"/>
          <w:sz w:val="19"/>
        </w:rPr>
        <w:t>sensitive receivers must provide setbacks and</w:t>
      </w:r>
    </w:p>
    <w:p>
      <w:pPr>
        <w:spacing w:before="40" w:after="80" w:line="276" w:lineRule="auto"/>
      </w:pPr>
      <w:r>
        <w:rPr>
          <w:color w:val="334155"/>
          <w:sz w:val="19"/>
        </w:rPr>
        <w:t>landscape buffers informed by detailed land use</w:t>
      </w:r>
    </w:p>
    <w:p>
      <w:pPr>
        <w:spacing w:before="40" w:after="80" w:line="276" w:lineRule="auto"/>
      </w:pPr>
      <w:r>
        <w:rPr>
          <w:color w:val="334155"/>
          <w:sz w:val="19"/>
        </w:rPr>
        <w:t>compatibility and acoustic assessment.</w:t>
      </w:r>
    </w:p>
    <w:p>
      <w:pPr>
        <w:spacing w:before="40" w:after="80" w:line="276" w:lineRule="auto"/>
      </w:pPr>
      <w:r>
        <w:rPr>
          <w:color w:val="334155"/>
          <w:sz w:val="19"/>
        </w:rPr>
        <w:t>B.</w:t>
        <w:tab/>
        <w:t xml:space="preserve"> Buildings at sensitive interfaces must be</w:t>
      </w:r>
    </w:p>
    <w:p>
      <w:pPr>
        <w:spacing w:before="40" w:after="80" w:line="276" w:lineRule="auto"/>
      </w:pPr>
      <w:r>
        <w:rPr>
          <w:color w:val="334155"/>
          <w:sz w:val="19"/>
        </w:rPr>
        <w:t>sited and designed to minimise overlooking,</w:t>
      </w:r>
    </w:p>
    <w:p>
      <w:pPr>
        <w:spacing w:before="40" w:after="80" w:line="276" w:lineRule="auto"/>
      </w:pPr>
      <w:r>
        <w:rPr>
          <w:color w:val="334155"/>
          <w:sz w:val="19"/>
        </w:rPr>
        <w:t>overshadowing and visual dominance.</w:t>
      </w:r>
    </w:p>
    <w:p>
      <w:pPr>
        <w:spacing w:before="40" w:after="80" w:line="276" w:lineRule="auto"/>
      </w:pPr>
      <w:r>
        <w:rPr>
          <w:color w:val="334155"/>
          <w:sz w:val="19"/>
        </w:rPr>
        <w:t>C.</w:t>
        <w:tab/>
        <w:t xml:space="preserve"> Acoustic, air quality and operational mitigation</w:t>
      </w:r>
    </w:p>
    <w:p>
      <w:pPr>
        <w:spacing w:before="40" w:after="80" w:line="276" w:lineRule="auto"/>
      </w:pPr>
      <w:r>
        <w:rPr>
          <w:color w:val="334155"/>
          <w:sz w:val="19"/>
        </w:rPr>
        <w:t>measures must be incorporated where required</w:t>
      </w:r>
    </w:p>
    <w:p>
      <w:pPr>
        <w:spacing w:before="40" w:after="80" w:line="276" w:lineRule="auto"/>
      </w:pPr>
      <w:r>
        <w:rPr>
          <w:color w:val="334155"/>
          <w:sz w:val="19"/>
        </w:rPr>
        <w:t>to manage amenity impacts.</w:t>
      </w:r>
    </w:p>
    <w:p>
      <w:pPr>
        <w:spacing w:before="40" w:after="80" w:line="276" w:lineRule="auto"/>
      </w:pPr>
      <w:r>
        <w:rPr>
          <w:color w:val="334155"/>
          <w:sz w:val="19"/>
        </w:rPr>
        <w:t>D.</w:t>
        <w:tab/>
        <w:t xml:space="preserve"> Heavy vehicle access, loading and servicing</w:t>
      </w:r>
    </w:p>
    <w:p>
      <w:pPr>
        <w:spacing w:before="40" w:after="80" w:line="276" w:lineRule="auto"/>
      </w:pPr>
      <w:r>
        <w:rPr>
          <w:color w:val="334155"/>
          <w:sz w:val="19"/>
        </w:rPr>
        <w:t>areas are not to be located at residential</w:t>
      </w:r>
    </w:p>
    <w:p>
      <w:pPr>
        <w:spacing w:before="40" w:after="80" w:line="276" w:lineRule="auto"/>
      </w:pPr>
      <w:r>
        <w:rPr>
          <w:color w:val="334155"/>
          <w:sz w:val="19"/>
        </w:rPr>
        <w:t>interfaces unless no feasible alternative</w:t>
      </w:r>
    </w:p>
    <w:p>
      <w:pPr>
        <w:spacing w:before="40" w:after="80" w:line="276" w:lineRule="auto"/>
      </w:pPr>
      <w:r>
        <w:rPr>
          <w:color w:val="334155"/>
          <w:sz w:val="19"/>
        </w:rPr>
        <w:t>is available and mitigation measures are</w:t>
      </w:r>
    </w:p>
    <w:p>
      <w:pPr>
        <w:spacing w:before="40" w:after="80" w:line="276" w:lineRule="auto"/>
      </w:pPr>
      <w:r>
        <w:rPr>
          <w:color w:val="334155"/>
          <w:sz w:val="19"/>
        </w:rPr>
        <w:t>implemented to minimise noise, air quality and</w:t>
      </w:r>
    </w:p>
    <w:p>
      <w:pPr>
        <w:spacing w:before="40" w:after="80" w:line="276" w:lineRule="auto"/>
      </w:pPr>
      <w:r>
        <w:rPr>
          <w:color w:val="334155"/>
          <w:sz w:val="19"/>
        </w:rPr>
        <w:t>amenity impacts.</w:t>
      </w:r>
    </w:p>
    <w:p>
      <w:pPr>
        <w:spacing w:before="40" w:after="80" w:line="276" w:lineRule="auto"/>
      </w:pPr>
      <w:r>
        <w:rPr>
          <w:color w:val="334155"/>
          <w:sz w:val="19"/>
        </w:rPr>
        <w:t>E.</w:t>
        <w:tab/>
        <w:t xml:space="preserve"> Landscape screening must use locally</w:t>
      </w:r>
    </w:p>
    <w:p>
      <w:pPr>
        <w:spacing w:before="40" w:after="80" w:line="276" w:lineRule="auto"/>
      </w:pPr>
      <w:r>
        <w:rPr>
          <w:color w:val="334155"/>
          <w:sz w:val="19"/>
        </w:rPr>
        <w:t>endemic species and contribute to amenity and</w:t>
      </w:r>
    </w:p>
    <w:p>
      <w:pPr>
        <w:spacing w:before="40" w:after="80" w:line="276" w:lineRule="auto"/>
      </w:pPr>
      <w:r>
        <w:rPr>
          <w:color w:val="334155"/>
          <w:sz w:val="19"/>
        </w:rPr>
        <w:t>biodiversity outcomes.</w:t>
      </w:r>
    </w:p>
    <w:p>
      <w:pPr>
        <w:spacing w:before="40" w:after="80" w:line="276" w:lineRule="auto"/>
      </w:pPr>
      <w:r>
        <w:rPr>
          <w:color w:val="334155"/>
          <w:sz w:val="19"/>
        </w:rPr>
        <w:t>F.</w:t>
        <w:tab/>
        <w:t xml:space="preserve"> Boundary interface treatments must respond</w:t>
      </w:r>
    </w:p>
    <w:p>
      <w:pPr>
        <w:spacing w:before="40" w:after="80" w:line="276" w:lineRule="auto"/>
      </w:pPr>
      <w:r>
        <w:rPr>
          <w:color w:val="334155"/>
          <w:sz w:val="19"/>
        </w:rPr>
        <w:t>to the characteristics of the adjoining land,</w:t>
      </w:r>
    </w:p>
    <w:p>
      <w:pPr>
        <w:spacing w:before="40" w:after="80" w:line="276" w:lineRule="auto"/>
      </w:pPr>
      <w:r>
        <w:rPr>
          <w:color w:val="334155"/>
          <w:sz w:val="19"/>
        </w:rPr>
        <w:t>including bushfire, ecological, riparian and</w:t>
      </w:r>
    </w:p>
    <w:p>
      <w:pPr>
        <w:spacing w:before="40" w:after="80" w:line="276" w:lineRule="auto"/>
      </w:pPr>
      <w:r>
        <w:rPr>
          <w:color w:val="334155"/>
          <w:sz w:val="19"/>
        </w:rPr>
        <w:t>residential contexts.</w:t>
      </w:r>
    </w:p>
    <w:p>
      <w:pPr>
        <w:spacing w:before="40" w:after="80" w:line="276" w:lineRule="auto"/>
      </w:pPr>
      <w:r>
        <w:rPr>
          <w:color w:val="334155"/>
          <w:sz w:val="19"/>
        </w:rPr>
        <w:t>Figure 25: Indicative interface concept – Typology 1 (Environmentally constrained areas)</w:t>
      </w:r>
    </w:p>
    <w:p>
      <w:pPr>
        <w:spacing w:before="40" w:after="80" w:line="276" w:lineRule="auto"/>
      </w:pPr>
      <w:r>
        <w:rPr>
          <w:color w:val="334155"/>
          <w:sz w:val="19"/>
        </w:rPr>
        <w:t>37</w:t>
      </w:r>
    </w:p>
    <w:p>
      <w:pPr>
        <w:spacing w:before="40" w:after="80" w:line="276" w:lineRule="auto"/>
      </w:pPr>
      <w:r>
        <w:rPr>
          <w:color w:val="334155"/>
          <w:sz w:val="19"/>
        </w:rPr>
        <w:t>5  Built form and landscape</w:t>
      </w:r>
    </w:p>
    <w:p>
      <w:pPr>
        <w:pStyle w:val="Heading2"/>
        <w:keepNext/>
        <w:spacing w:before="240" w:after="80"/>
      </w:pPr>
      <w:r>
        <w:rPr>
          <w:b/>
          <w:color w:val="0284C7"/>
        </w:rPr>
        <w:t>Page 38</w:t>
      </w:r>
    </w:p>
    <w:p>
      <w:pPr>
        <w:spacing w:before="40" w:after="80" w:line="276" w:lineRule="auto"/>
      </w:pPr>
      <w:r>
        <w:rPr>
          <w:color w:val="334155"/>
          <w:sz w:val="19"/>
        </w:rPr>
        <w:t>Figure 26: Indicative interface concept – Typology 2 (Open space and recreation)</w:t>
      </w:r>
    </w:p>
    <w:p>
      <w:pPr>
        <w:spacing w:before="40" w:after="80" w:line="276" w:lineRule="auto"/>
      </w:pPr>
      <w:r>
        <w:rPr>
          <w:color w:val="334155"/>
          <w:sz w:val="19"/>
        </w:rPr>
        <w:t>Figure 27: Indicative interface concept – Typology 3 (External context)</w:t>
      </w:r>
    </w:p>
    <w:p>
      <w:pPr>
        <w:spacing w:before="40" w:after="80" w:line="276" w:lineRule="auto"/>
      </w:pPr>
      <w:r>
        <w:rPr>
          <w:color w:val="334155"/>
          <w:sz w:val="19"/>
        </w:rPr>
        <w:t>38</w:t>
      </w:r>
    </w:p>
    <w:p>
      <w:pPr>
        <w:spacing w:before="40" w:after="80" w:line="276" w:lineRule="auto"/>
      </w:pPr>
      <w:r>
        <w:rPr>
          <w:color w:val="334155"/>
          <w:sz w:val="19"/>
        </w:rPr>
        <w:t>5  Built form and landscape</w:t>
      </w:r>
    </w:p>
    <w:p>
      <w:pPr>
        <w:pStyle w:val="Heading2"/>
        <w:keepNext/>
        <w:spacing w:before="240" w:after="80"/>
      </w:pPr>
      <w:r>
        <w:rPr>
          <w:b/>
          <w:color w:val="0284C7"/>
        </w:rPr>
        <w:t>Page 39</w:t>
      </w:r>
    </w:p>
    <w:p>
      <w:pPr>
        <w:spacing w:before="40" w:after="80" w:line="276" w:lineRule="auto"/>
      </w:pPr>
      <w:r>
        <w:rPr>
          <w:color w:val="334155"/>
          <w:sz w:val="19"/>
        </w:rPr>
        <w:t>Biodiversity and habitat corridors</w:t>
      </w:r>
    </w:p>
    <w:p>
      <w:pPr>
        <w:spacing w:before="40" w:after="80" w:line="276" w:lineRule="auto"/>
      </w:pPr>
      <w:r>
        <w:rPr>
          <w:color w:val="334155"/>
          <w:sz w:val="19"/>
        </w:rPr>
        <w:t>The Precinct consists of a combination of</w:t>
      </w:r>
    </w:p>
    <w:p>
      <w:pPr>
        <w:spacing w:before="40" w:after="80" w:line="276" w:lineRule="auto"/>
      </w:pPr>
      <w:r>
        <w:rPr>
          <w:color w:val="334155"/>
          <w:sz w:val="19"/>
        </w:rPr>
        <w:t>previously disturbed land, rehabilitation areas and</w:t>
      </w:r>
    </w:p>
    <w:p>
      <w:pPr>
        <w:spacing w:before="40" w:after="80" w:line="276" w:lineRule="auto"/>
      </w:pPr>
      <w:r>
        <w:rPr>
          <w:color w:val="334155"/>
          <w:sz w:val="19"/>
        </w:rPr>
        <w:t>undisturbed, remnant native bushland. Vegetation</w:t>
      </w:r>
    </w:p>
    <w:p>
      <w:pPr>
        <w:spacing w:before="40" w:after="80" w:line="276" w:lineRule="auto"/>
      </w:pPr>
      <w:r>
        <w:rPr>
          <w:color w:val="334155"/>
          <w:sz w:val="19"/>
        </w:rPr>
        <w:t>includes existing cleared areas associated with the</w:t>
      </w:r>
    </w:p>
    <w:p>
      <w:pPr>
        <w:spacing w:before="40" w:after="80" w:line="276" w:lineRule="auto"/>
      </w:pPr>
      <w:r>
        <w:rPr>
          <w:color w:val="334155"/>
          <w:sz w:val="19"/>
        </w:rPr>
        <w:t>historical operation of several former mine sites,</w:t>
      </w:r>
    </w:p>
    <w:p>
      <w:pPr>
        <w:spacing w:before="40" w:after="80" w:line="276" w:lineRule="auto"/>
      </w:pPr>
      <w:r>
        <w:rPr>
          <w:color w:val="334155"/>
          <w:sz w:val="19"/>
        </w:rPr>
        <w:t>some of which have been rehabilitated back to</w:t>
      </w:r>
    </w:p>
    <w:p>
      <w:pPr>
        <w:spacing w:before="40" w:after="80" w:line="276" w:lineRule="auto"/>
      </w:pPr>
      <w:r>
        <w:rPr>
          <w:color w:val="334155"/>
          <w:sz w:val="19"/>
        </w:rPr>
        <w:t>native bushland.</w:t>
      </w:r>
    </w:p>
    <w:p>
      <w:pPr>
        <w:spacing w:before="40" w:after="80" w:line="276" w:lineRule="auto"/>
      </w:pPr>
      <w:r>
        <w:rPr>
          <w:color w:val="334155"/>
          <w:sz w:val="19"/>
        </w:rPr>
        <w:t>Aims</w:t>
      </w:r>
    </w:p>
    <w:p>
      <w:pPr>
        <w:spacing w:before="40" w:after="80" w:line="276" w:lineRule="auto"/>
      </w:pPr>
      <w:r>
        <w:rPr>
          <w:color w:val="334155"/>
          <w:sz w:val="19"/>
        </w:rPr>
        <w:t>•</w:t>
      </w:r>
    </w:p>
    <w:p>
      <w:pPr>
        <w:spacing w:before="40" w:after="80" w:line="276" w:lineRule="auto"/>
      </w:pPr>
      <w:r>
        <w:rPr>
          <w:color w:val="334155"/>
          <w:sz w:val="19"/>
        </w:rPr>
        <w:t>Protect areas of high biodiversity values from</w:t>
      </w:r>
    </w:p>
    <w:p>
      <w:pPr>
        <w:spacing w:before="40" w:after="80" w:line="276" w:lineRule="auto"/>
      </w:pPr>
      <w:r>
        <w:rPr>
          <w:color w:val="334155"/>
          <w:sz w:val="19"/>
        </w:rPr>
        <w:t>development to avoid serious and irreversible</w:t>
      </w:r>
    </w:p>
    <w:p>
      <w:pPr>
        <w:spacing w:before="40" w:after="80" w:line="276" w:lineRule="auto"/>
      </w:pPr>
      <w:r>
        <w:rPr>
          <w:color w:val="334155"/>
          <w:sz w:val="19"/>
        </w:rPr>
        <w:t>impacts on threatened ecological communities</w:t>
      </w:r>
    </w:p>
    <w:p>
      <w:pPr>
        <w:spacing w:before="40" w:after="80" w:line="276" w:lineRule="auto"/>
      </w:pPr>
      <w:r>
        <w:rPr>
          <w:color w:val="334155"/>
          <w:sz w:val="19"/>
        </w:rPr>
        <w:t>and threatened species.</w:t>
      </w:r>
    </w:p>
    <w:p>
      <w:pPr>
        <w:spacing w:before="40" w:after="80" w:line="276" w:lineRule="auto"/>
      </w:pPr>
      <w:r>
        <w:rPr>
          <w:color w:val="334155"/>
          <w:sz w:val="19"/>
        </w:rPr>
        <w:t>•</w:t>
      </w:r>
    </w:p>
    <w:p>
      <w:pPr>
        <w:spacing w:before="40" w:after="80" w:line="276" w:lineRule="auto"/>
      </w:pPr>
      <w:r>
        <w:rPr>
          <w:color w:val="334155"/>
          <w:sz w:val="19"/>
        </w:rPr>
        <w:t>Promote a development outcome that is</w:t>
      </w:r>
    </w:p>
    <w:p>
      <w:pPr>
        <w:spacing w:before="40" w:after="80" w:line="276" w:lineRule="auto"/>
      </w:pPr>
      <w:r>
        <w:rPr>
          <w:color w:val="334155"/>
          <w:sz w:val="19"/>
        </w:rPr>
        <w:t>consistent with the requirements of the avoid,</w:t>
      </w:r>
    </w:p>
    <w:p>
      <w:pPr>
        <w:spacing w:before="40" w:after="80" w:line="276" w:lineRule="auto"/>
      </w:pPr>
      <w:r>
        <w:rPr>
          <w:color w:val="334155"/>
          <w:sz w:val="19"/>
        </w:rPr>
        <w:t>minimise and offset hierarchy of applicable</w:t>
      </w:r>
    </w:p>
    <w:p>
      <w:pPr>
        <w:spacing w:before="40" w:after="80" w:line="276" w:lineRule="auto"/>
      </w:pPr>
      <w:r>
        <w:rPr>
          <w:color w:val="334155"/>
          <w:sz w:val="19"/>
        </w:rPr>
        <w:t>NSW and Commonwealth biodiversity</w:t>
      </w:r>
    </w:p>
    <w:p>
      <w:pPr>
        <w:spacing w:before="40" w:after="80" w:line="276" w:lineRule="auto"/>
      </w:pPr>
      <w:r>
        <w:rPr>
          <w:color w:val="334155"/>
          <w:sz w:val="19"/>
        </w:rPr>
        <w:t>legislation.</w:t>
      </w:r>
    </w:p>
    <w:p>
      <w:pPr>
        <w:spacing w:before="40" w:after="80" w:line="276" w:lineRule="auto"/>
      </w:pPr>
      <w:r>
        <w:rPr>
          <w:color w:val="334155"/>
          <w:sz w:val="19"/>
        </w:rPr>
        <w:t>•</w:t>
      </w:r>
    </w:p>
    <w:p>
      <w:pPr>
        <w:spacing w:before="40" w:after="80" w:line="276" w:lineRule="auto"/>
      </w:pPr>
      <w:r>
        <w:rPr>
          <w:color w:val="334155"/>
          <w:sz w:val="19"/>
        </w:rPr>
        <w:t>Maintain the function of key linkages that</w:t>
      </w:r>
    </w:p>
    <w:p>
      <w:pPr>
        <w:spacing w:before="40" w:after="80" w:line="276" w:lineRule="auto"/>
      </w:pPr>
      <w:r>
        <w:rPr>
          <w:color w:val="334155"/>
          <w:sz w:val="19"/>
        </w:rPr>
        <w:t>facilitate wildlife movement within the site and</w:t>
      </w:r>
    </w:p>
    <w:p>
      <w:pPr>
        <w:spacing w:before="40" w:after="80" w:line="276" w:lineRule="auto"/>
      </w:pPr>
      <w:r>
        <w:rPr>
          <w:color w:val="334155"/>
          <w:sz w:val="19"/>
        </w:rPr>
        <w:t>the wider landscape.</w:t>
      </w:r>
    </w:p>
    <w:p>
      <w:pPr>
        <w:spacing w:before="40" w:after="80" w:line="276" w:lineRule="auto"/>
      </w:pPr>
      <w:r>
        <w:rPr>
          <w:color w:val="334155"/>
          <w:sz w:val="19"/>
        </w:rPr>
        <w:t>•</w:t>
      </w:r>
    </w:p>
    <w:p>
      <w:pPr>
        <w:spacing w:before="40" w:after="80" w:line="276" w:lineRule="auto"/>
      </w:pPr>
      <w:r>
        <w:rPr>
          <w:color w:val="334155"/>
          <w:sz w:val="19"/>
        </w:rPr>
        <w:t>Identify and secure environmentally constrained</w:t>
      </w:r>
    </w:p>
    <w:p>
      <w:pPr>
        <w:spacing w:before="40" w:after="80" w:line="276" w:lineRule="auto"/>
      </w:pPr>
      <w:r>
        <w:rPr>
          <w:color w:val="334155"/>
          <w:sz w:val="19"/>
        </w:rPr>
        <w:t>land with an appropriate size and configuration</w:t>
      </w:r>
    </w:p>
    <w:p>
      <w:pPr>
        <w:spacing w:before="40" w:after="80" w:line="276" w:lineRule="auto"/>
      </w:pPr>
      <w:r>
        <w:rPr>
          <w:color w:val="334155"/>
          <w:sz w:val="19"/>
        </w:rPr>
        <w:t>to be protected under suitable conservation</w:t>
      </w:r>
    </w:p>
    <w:p>
      <w:pPr>
        <w:spacing w:before="40" w:after="80" w:line="276" w:lineRule="auto"/>
      </w:pPr>
      <w:r>
        <w:rPr>
          <w:color w:val="334155"/>
          <w:sz w:val="19"/>
        </w:rPr>
        <w:t>mechanisms.</w:t>
      </w:r>
    </w:p>
    <w:p>
      <w:pPr>
        <w:spacing w:before="40" w:after="80" w:line="276" w:lineRule="auto"/>
      </w:pPr>
      <w:r>
        <w:rPr>
          <w:color w:val="334155"/>
          <w:sz w:val="19"/>
        </w:rPr>
        <w:t>•</w:t>
      </w:r>
    </w:p>
    <w:p>
      <w:pPr>
        <w:spacing w:before="40" w:after="80" w:line="276" w:lineRule="auto"/>
      </w:pPr>
      <w:r>
        <w:rPr>
          <w:color w:val="334155"/>
          <w:sz w:val="19"/>
        </w:rPr>
        <w:t>Protect wetlands, watercourses, and associated</w:t>
      </w:r>
    </w:p>
    <w:p>
      <w:pPr>
        <w:spacing w:before="40" w:after="80" w:line="276" w:lineRule="auto"/>
      </w:pPr>
      <w:r>
        <w:rPr>
          <w:color w:val="334155"/>
          <w:sz w:val="19"/>
        </w:rPr>
        <w:t>riparian corridors and aquatic habitats from</w:t>
      </w:r>
    </w:p>
    <w:p>
      <w:pPr>
        <w:spacing w:before="40" w:after="80" w:line="276" w:lineRule="auto"/>
      </w:pPr>
      <w:r>
        <w:rPr>
          <w:color w:val="334155"/>
          <w:sz w:val="19"/>
        </w:rPr>
        <w:t>development.</w:t>
      </w:r>
    </w:p>
    <w:p>
      <w:pPr>
        <w:spacing w:before="40" w:after="80" w:line="276" w:lineRule="auto"/>
      </w:pPr>
      <w:r>
        <w:rPr>
          <w:color w:val="334155"/>
          <w:sz w:val="19"/>
        </w:rPr>
        <w:t>•</w:t>
      </w:r>
    </w:p>
    <w:p>
      <w:pPr>
        <w:spacing w:before="40" w:after="80" w:line="276" w:lineRule="auto"/>
      </w:pPr>
      <w:r>
        <w:rPr>
          <w:color w:val="334155"/>
          <w:sz w:val="19"/>
        </w:rPr>
        <w:t>Implement ecological restoration or</w:t>
      </w:r>
    </w:p>
    <w:p>
      <w:pPr>
        <w:spacing w:before="40" w:after="80" w:line="276" w:lineRule="auto"/>
      </w:pPr>
      <w:r>
        <w:rPr>
          <w:color w:val="334155"/>
          <w:sz w:val="19"/>
        </w:rPr>
        <w:t>rehabilitation measures on residual land</w:t>
      </w:r>
    </w:p>
    <w:p>
      <w:pPr>
        <w:spacing w:before="40" w:after="80" w:line="276" w:lineRule="auto"/>
      </w:pPr>
      <w:r>
        <w:rPr>
          <w:color w:val="334155"/>
          <w:sz w:val="19"/>
        </w:rPr>
        <w:t>or buffer zones to achieve a net positive</w:t>
      </w:r>
    </w:p>
    <w:p>
      <w:pPr>
        <w:spacing w:before="40" w:after="80" w:line="276" w:lineRule="auto"/>
      </w:pPr>
      <w:r>
        <w:rPr>
          <w:color w:val="334155"/>
          <w:sz w:val="19"/>
        </w:rPr>
        <w:t>biodiversity outcome.</w:t>
      </w:r>
    </w:p>
    <w:p>
      <w:pPr>
        <w:spacing w:before="40" w:after="80" w:line="276" w:lineRule="auto"/>
      </w:pPr>
      <w:r>
        <w:rPr>
          <w:color w:val="334155"/>
          <w:sz w:val="19"/>
        </w:rPr>
        <w:t>•</w:t>
      </w:r>
    </w:p>
    <w:p>
      <w:pPr>
        <w:spacing w:before="40" w:after="80" w:line="276" w:lineRule="auto"/>
      </w:pPr>
      <w:r>
        <w:rPr>
          <w:color w:val="334155"/>
          <w:sz w:val="19"/>
        </w:rPr>
        <w:t>Apply ecologically sustainable development</w:t>
      </w:r>
    </w:p>
    <w:p>
      <w:pPr>
        <w:spacing w:before="40" w:after="80" w:line="276" w:lineRule="auto"/>
      </w:pPr>
      <w:r>
        <w:rPr>
          <w:color w:val="334155"/>
          <w:sz w:val="19"/>
        </w:rPr>
        <w:t>principles for future land use and development.</w:t>
      </w:r>
    </w:p>
    <w:p>
      <w:pPr>
        <w:spacing w:before="40" w:after="80" w:line="276" w:lineRule="auto"/>
      </w:pPr>
      <w:r>
        <w:rPr>
          <w:color w:val="334155"/>
          <w:sz w:val="19"/>
        </w:rPr>
        <w:t>•</w:t>
      </w:r>
    </w:p>
    <w:p>
      <w:pPr>
        <w:spacing w:before="40" w:after="80" w:line="276" w:lineRule="auto"/>
      </w:pPr>
      <w:r>
        <w:rPr>
          <w:color w:val="334155"/>
          <w:sz w:val="19"/>
        </w:rPr>
        <w:t>Respond and adapt to future environmental</w:t>
      </w:r>
    </w:p>
    <w:p>
      <w:pPr>
        <w:spacing w:before="40" w:after="80" w:line="276" w:lineRule="auto"/>
      </w:pPr>
      <w:r>
        <w:rPr>
          <w:color w:val="334155"/>
          <w:sz w:val="19"/>
        </w:rPr>
        <w:t>changes to avoid adverse impacts on high</w:t>
      </w:r>
    </w:p>
    <w:p>
      <w:pPr>
        <w:spacing w:before="40" w:after="80" w:line="276" w:lineRule="auto"/>
      </w:pPr>
      <w:r>
        <w:rPr>
          <w:color w:val="334155"/>
          <w:sz w:val="19"/>
        </w:rPr>
        <w:t>biodiversity values.</w:t>
      </w:r>
    </w:p>
    <w:p>
      <w:pPr>
        <w:spacing w:before="40" w:after="80" w:line="276" w:lineRule="auto"/>
      </w:pPr>
      <w:r>
        <w:rPr>
          <w:color w:val="334155"/>
          <w:sz w:val="19"/>
        </w:rPr>
        <w:t>Performance criteria</w:t>
      </w:r>
    </w:p>
    <w:p>
      <w:pPr>
        <w:spacing w:before="40" w:after="80" w:line="276" w:lineRule="auto"/>
      </w:pPr>
      <w:r>
        <w:rPr>
          <w:color w:val="334155"/>
          <w:sz w:val="19"/>
        </w:rPr>
        <w:t>A. Development footprints must be located to avoid</w:t>
      </w:r>
    </w:p>
    <w:p>
      <w:pPr>
        <w:spacing w:before="40" w:after="80" w:line="276" w:lineRule="auto"/>
      </w:pPr>
      <w:r>
        <w:rPr>
          <w:color w:val="334155"/>
          <w:sz w:val="19"/>
        </w:rPr>
        <w:t>and minimise impacts on areas of high</w:t>
      </w:r>
    </w:p>
    <w:p>
      <w:pPr>
        <w:spacing w:before="40" w:after="80" w:line="276" w:lineRule="auto"/>
      </w:pPr>
      <w:r>
        <w:rPr>
          <w:color w:val="334155"/>
          <w:sz w:val="19"/>
        </w:rPr>
        <w:t>biodiversity values that could result in a serious</w:t>
      </w:r>
    </w:p>
    <w:p>
      <w:pPr>
        <w:spacing w:before="40" w:after="80" w:line="276" w:lineRule="auto"/>
      </w:pPr>
      <w:r>
        <w:rPr>
          <w:color w:val="334155"/>
          <w:sz w:val="19"/>
        </w:rPr>
        <w:t>and irreversible impact on threatened ecological</w:t>
      </w:r>
    </w:p>
    <w:p>
      <w:pPr>
        <w:spacing w:before="40" w:after="80" w:line="276" w:lineRule="auto"/>
      </w:pPr>
      <w:r>
        <w:rPr>
          <w:color w:val="334155"/>
          <w:sz w:val="19"/>
        </w:rPr>
        <w:t>communities or threatened species.</w:t>
      </w:r>
    </w:p>
    <w:p>
      <w:pPr>
        <w:spacing w:before="40" w:after="80" w:line="276" w:lineRule="auto"/>
      </w:pPr>
      <w:r>
        <w:rPr>
          <w:color w:val="334155"/>
          <w:sz w:val="19"/>
        </w:rPr>
        <w:t>B. Development must avoid fragmentation of</w:t>
      </w:r>
    </w:p>
    <w:p>
      <w:pPr>
        <w:spacing w:before="40" w:after="80" w:line="276" w:lineRule="auto"/>
      </w:pPr>
      <w:r>
        <w:rPr>
          <w:color w:val="334155"/>
          <w:sz w:val="19"/>
        </w:rPr>
        <w:t>existing key wildlife corridors as identified in the</w:t>
      </w:r>
    </w:p>
    <w:p>
      <w:pPr>
        <w:spacing w:before="40" w:after="80" w:line="276" w:lineRule="auto"/>
      </w:pPr>
      <w:r>
        <w:rPr>
          <w:color w:val="334155"/>
          <w:sz w:val="19"/>
        </w:rPr>
        <w:t>draft Master Plan and must consider best-</w:t>
      </w:r>
    </w:p>
    <w:p>
      <w:pPr>
        <w:spacing w:before="40" w:after="80" w:line="276" w:lineRule="auto"/>
      </w:pPr>
      <w:r>
        <w:rPr>
          <w:color w:val="334155"/>
          <w:sz w:val="19"/>
        </w:rPr>
        <w:t>practice species specific guidelines for future</w:t>
      </w:r>
    </w:p>
    <w:p>
      <w:pPr>
        <w:spacing w:before="40" w:after="80" w:line="276" w:lineRule="auto"/>
      </w:pPr>
      <w:r>
        <w:rPr>
          <w:color w:val="334155"/>
          <w:sz w:val="19"/>
        </w:rPr>
        <w:t>corridor widths.</w:t>
      </w:r>
    </w:p>
    <w:p>
      <w:pPr>
        <w:spacing w:before="40" w:after="80" w:line="276" w:lineRule="auto"/>
      </w:pPr>
      <w:r>
        <w:rPr>
          <w:color w:val="334155"/>
          <w:sz w:val="19"/>
        </w:rPr>
        <w:t>C. Development must apply Stage 1 and Stage 2</w:t>
      </w:r>
    </w:p>
    <w:p>
      <w:pPr>
        <w:spacing w:before="40" w:after="80" w:line="276" w:lineRule="auto"/>
      </w:pPr>
      <w:r>
        <w:rPr>
          <w:color w:val="334155"/>
          <w:sz w:val="19"/>
        </w:rPr>
        <w:t>and associated detailed requirements of the</w:t>
      </w:r>
    </w:p>
    <w:p>
      <w:pPr>
        <w:spacing w:before="40" w:after="80" w:line="276" w:lineRule="auto"/>
      </w:pPr>
      <w:r>
        <w:rPr>
          <w:color w:val="334155"/>
          <w:sz w:val="19"/>
        </w:rPr>
        <w:t>NSW Biodiversity Assessment Method for a</w:t>
      </w:r>
    </w:p>
    <w:p>
      <w:pPr>
        <w:spacing w:before="40" w:after="80" w:line="276" w:lineRule="auto"/>
      </w:pPr>
      <w:r>
        <w:rPr>
          <w:color w:val="334155"/>
          <w:sz w:val="19"/>
        </w:rPr>
        <w:t>future biodiversity assessment where entry into</w:t>
      </w:r>
    </w:p>
    <w:p>
      <w:pPr>
        <w:spacing w:before="40" w:after="80" w:line="276" w:lineRule="auto"/>
      </w:pPr>
      <w:r>
        <w:rPr>
          <w:color w:val="334155"/>
          <w:sz w:val="19"/>
        </w:rPr>
        <w:t>the NSW Biodiversity Offset Scheme is triggered.</w:t>
      </w:r>
    </w:p>
    <w:p>
      <w:pPr>
        <w:spacing w:before="40" w:after="80" w:line="276" w:lineRule="auto"/>
      </w:pPr>
      <w:r>
        <w:rPr>
          <w:color w:val="334155"/>
          <w:sz w:val="19"/>
        </w:rPr>
        <w:t>D. Appropriate buffers and setbacks in accordance</w:t>
      </w:r>
    </w:p>
    <w:p>
      <w:pPr>
        <w:spacing w:before="40" w:after="80" w:line="276" w:lineRule="auto"/>
      </w:pPr>
      <w:r>
        <w:rPr>
          <w:color w:val="334155"/>
          <w:sz w:val="19"/>
        </w:rPr>
        <w:t>with current applicable NSW and Commonwealth</w:t>
      </w:r>
    </w:p>
    <w:p>
      <w:pPr>
        <w:spacing w:before="40" w:after="80" w:line="276" w:lineRule="auto"/>
      </w:pPr>
      <w:r>
        <w:rPr>
          <w:color w:val="334155"/>
          <w:sz w:val="19"/>
        </w:rPr>
        <w:t>guidelines must be provided to areas of high</w:t>
      </w:r>
    </w:p>
    <w:p>
      <w:pPr>
        <w:spacing w:before="40" w:after="80" w:line="276" w:lineRule="auto"/>
      </w:pPr>
      <w:r>
        <w:rPr>
          <w:color w:val="334155"/>
          <w:sz w:val="19"/>
        </w:rPr>
        <w:t>biodiversity value to minimise indirect impacts</w:t>
      </w:r>
    </w:p>
    <w:p>
      <w:pPr>
        <w:spacing w:before="40" w:after="80" w:line="276" w:lineRule="auto"/>
      </w:pPr>
      <w:r>
        <w:rPr>
          <w:color w:val="334155"/>
          <w:sz w:val="19"/>
        </w:rPr>
        <w:t>and future degradation.</w:t>
      </w:r>
    </w:p>
    <w:p>
      <w:pPr>
        <w:spacing w:before="40" w:after="80" w:line="276" w:lineRule="auto"/>
      </w:pPr>
      <w:r>
        <w:rPr>
          <w:color w:val="334155"/>
          <w:sz w:val="19"/>
        </w:rPr>
        <w:t>E. Remnant native vegetation must be retained</w:t>
      </w:r>
    </w:p>
    <w:p>
      <w:pPr>
        <w:spacing w:before="40" w:after="80" w:line="276" w:lineRule="auto"/>
      </w:pPr>
      <w:r>
        <w:rPr>
          <w:color w:val="334155"/>
          <w:sz w:val="19"/>
        </w:rPr>
        <w:t>where practicable and vegetation removal must</w:t>
      </w:r>
    </w:p>
    <w:p>
      <w:pPr>
        <w:spacing w:before="40" w:after="80" w:line="276" w:lineRule="auto"/>
      </w:pPr>
      <w:r>
        <w:rPr>
          <w:color w:val="334155"/>
          <w:sz w:val="19"/>
        </w:rPr>
        <w:t>be avoided or minimised to maximise tree canopy</w:t>
      </w:r>
    </w:p>
    <w:p>
      <w:pPr>
        <w:spacing w:before="40" w:after="80" w:line="276" w:lineRule="auto"/>
      </w:pPr>
      <w:r>
        <w:rPr>
          <w:color w:val="334155"/>
          <w:sz w:val="19"/>
        </w:rPr>
        <w:t>cover within a development precinct.</w:t>
      </w:r>
    </w:p>
    <w:p>
      <w:pPr>
        <w:spacing w:before="40" w:after="80" w:line="276" w:lineRule="auto"/>
      </w:pPr>
      <w:r>
        <w:rPr>
          <w:color w:val="334155"/>
          <w:sz w:val="19"/>
        </w:rPr>
        <w:t>F. Development must incorporate suitable</w:t>
      </w:r>
    </w:p>
    <w:p>
      <w:pPr>
        <w:spacing w:before="40" w:after="80" w:line="276" w:lineRule="auto"/>
      </w:pPr>
      <w:r>
        <w:rPr>
          <w:color w:val="334155"/>
          <w:sz w:val="19"/>
        </w:rPr>
        <w:t>mitigation measures for restoration or</w:t>
      </w:r>
    </w:p>
    <w:p>
      <w:pPr>
        <w:spacing w:before="40" w:after="80" w:line="276" w:lineRule="auto"/>
      </w:pPr>
      <w:r>
        <w:rPr>
          <w:color w:val="334155"/>
          <w:sz w:val="19"/>
        </w:rPr>
        <w:t>rehabilitation of native vegetation communities</w:t>
      </w:r>
    </w:p>
    <w:p>
      <w:pPr>
        <w:spacing w:before="40" w:after="80" w:line="276" w:lineRule="auto"/>
      </w:pPr>
      <w:r>
        <w:rPr>
          <w:color w:val="334155"/>
          <w:sz w:val="19"/>
        </w:rPr>
        <w:t>and associated habitats within residual land</w:t>
      </w:r>
    </w:p>
    <w:p>
      <w:pPr>
        <w:spacing w:before="40" w:after="80" w:line="276" w:lineRule="auto"/>
      </w:pPr>
      <w:r>
        <w:rPr>
          <w:color w:val="334155"/>
          <w:sz w:val="19"/>
        </w:rPr>
        <w:t>or buffer zones that are enforced under a</w:t>
      </w:r>
    </w:p>
    <w:p>
      <w:pPr>
        <w:spacing w:before="40" w:after="80" w:line="276" w:lineRule="auto"/>
      </w:pPr>
      <w:r>
        <w:rPr>
          <w:color w:val="334155"/>
          <w:sz w:val="19"/>
        </w:rPr>
        <w:t>Vegetation Management Plan.</w:t>
      </w:r>
    </w:p>
    <w:p>
      <w:pPr>
        <w:spacing w:before="40" w:after="80" w:line="276" w:lineRule="auto"/>
      </w:pPr>
      <w:r>
        <w:rPr>
          <w:color w:val="334155"/>
          <w:sz w:val="19"/>
        </w:rPr>
        <w:t>G. Rehabilitation of native vegetation communities</w:t>
      </w:r>
    </w:p>
    <w:p>
      <w:pPr>
        <w:spacing w:before="40" w:after="80" w:line="276" w:lineRule="auto"/>
      </w:pPr>
      <w:r>
        <w:rPr>
          <w:color w:val="334155"/>
          <w:sz w:val="19"/>
        </w:rPr>
        <w:t>and landscape planting must prioritise locally</w:t>
      </w:r>
    </w:p>
    <w:p>
      <w:pPr>
        <w:spacing w:before="40" w:after="80" w:line="276" w:lineRule="auto"/>
      </w:pPr>
      <w:r>
        <w:rPr>
          <w:color w:val="334155"/>
          <w:sz w:val="19"/>
        </w:rPr>
        <w:t>endemic species and reflect the relevant plant</w:t>
      </w:r>
    </w:p>
    <w:p>
      <w:pPr>
        <w:spacing w:before="40" w:after="80" w:line="276" w:lineRule="auto"/>
      </w:pPr>
      <w:r>
        <w:rPr>
          <w:color w:val="334155"/>
          <w:sz w:val="19"/>
        </w:rPr>
        <w:t>community types.</w:t>
      </w:r>
    </w:p>
    <w:p>
      <w:pPr>
        <w:spacing w:before="40" w:after="80" w:line="276" w:lineRule="auto"/>
      </w:pPr>
      <w:r>
        <w:rPr>
          <w:color w:val="334155"/>
          <w:sz w:val="19"/>
        </w:rPr>
        <w:t>H. Development must avoid impacts to wetlands</w:t>
      </w:r>
    </w:p>
    <w:p>
      <w:pPr>
        <w:spacing w:before="40" w:after="80" w:line="276" w:lineRule="auto"/>
      </w:pPr>
      <w:r>
        <w:rPr>
          <w:color w:val="334155"/>
          <w:sz w:val="19"/>
        </w:rPr>
        <w:t>and associated buffer zones where the wetland</w:t>
      </w:r>
    </w:p>
    <w:p>
      <w:pPr>
        <w:spacing w:before="40" w:after="80" w:line="276" w:lineRule="auto"/>
      </w:pPr>
      <w:r>
        <w:rPr>
          <w:color w:val="334155"/>
          <w:sz w:val="19"/>
        </w:rPr>
        <w:t>provides important habitat for migratory</w:t>
      </w:r>
    </w:p>
    <w:p>
      <w:pPr>
        <w:spacing w:before="40" w:after="80" w:line="276" w:lineRule="auto"/>
      </w:pPr>
      <w:r>
        <w:rPr>
          <w:color w:val="334155"/>
          <w:sz w:val="19"/>
        </w:rPr>
        <w:t>shorebirds.</w:t>
      </w:r>
    </w:p>
    <w:p>
      <w:pPr>
        <w:spacing w:before="40" w:after="80" w:line="276" w:lineRule="auto"/>
      </w:pPr>
      <w:r>
        <w:rPr>
          <w:color w:val="334155"/>
          <w:sz w:val="19"/>
        </w:rPr>
        <w:t>I.</w:t>
      </w:r>
    </w:p>
    <w:p>
      <w:pPr>
        <w:spacing w:before="40" w:after="80" w:line="276" w:lineRule="auto"/>
      </w:pPr>
      <w:r>
        <w:rPr>
          <w:color w:val="334155"/>
          <w:sz w:val="19"/>
        </w:rPr>
        <w:t>Development must avoid riparian areas and</w:t>
      </w:r>
    </w:p>
    <w:p>
      <w:pPr>
        <w:spacing w:before="40" w:after="80" w:line="276" w:lineRule="auto"/>
      </w:pPr>
      <w:r>
        <w:rPr>
          <w:color w:val="334155"/>
          <w:sz w:val="19"/>
        </w:rPr>
        <w:t>should restore or rehabilitate the vegetated</w:t>
      </w:r>
    </w:p>
    <w:p>
      <w:pPr>
        <w:spacing w:before="40" w:after="80" w:line="276" w:lineRule="auto"/>
      </w:pPr>
      <w:r>
        <w:rPr>
          <w:color w:val="334155"/>
          <w:sz w:val="19"/>
        </w:rPr>
        <w:t>riparian zone where practicable.</w:t>
      </w:r>
    </w:p>
    <w:p>
      <w:pPr>
        <w:spacing w:before="40" w:after="80" w:line="276" w:lineRule="auto"/>
      </w:pPr>
      <w:r>
        <w:rPr>
          <w:color w:val="334155"/>
          <w:sz w:val="19"/>
        </w:rPr>
        <w:t>6</w:t>
        <w:tab/>
        <w:t xml:space="preserve"> Ecology, water and</w:t>
      </w:r>
    </w:p>
    <w:p>
      <w:pPr>
        <w:spacing w:before="40" w:after="80" w:line="276" w:lineRule="auto"/>
      </w:pPr>
      <w:r>
        <w:rPr>
          <w:color w:val="334155"/>
          <w:sz w:val="19"/>
        </w:rPr>
        <w:t>landscape systems</w:t>
      </w:r>
    </w:p>
    <w:p>
      <w:pPr>
        <w:spacing w:before="40" w:after="80" w:line="276" w:lineRule="auto"/>
      </w:pPr>
      <w:r>
        <w:rPr>
          <w:color w:val="334155"/>
          <w:sz w:val="19"/>
        </w:rPr>
        <w:t>39</w:t>
      </w:r>
    </w:p>
    <w:p>
      <w:pPr>
        <w:pStyle w:val="Heading2"/>
        <w:keepNext/>
        <w:spacing w:before="240" w:after="80"/>
      </w:pPr>
      <w:r>
        <w:rPr>
          <w:b/>
          <w:color w:val="0284C7"/>
        </w:rPr>
        <w:t>Page 40</w:t>
      </w:r>
    </w:p>
    <w:p>
      <w:pPr>
        <w:spacing w:before="40" w:after="80" w:line="276" w:lineRule="auto"/>
      </w:pPr>
      <w:r>
        <w:rPr>
          <w:color w:val="334155"/>
          <w:sz w:val="19"/>
        </w:rPr>
        <w:t>Figure 28: High biodiversity values</w:t>
      </w:r>
    </w:p>
    <w:p>
      <w:pPr>
        <w:spacing w:before="40" w:after="80" w:line="276" w:lineRule="auto"/>
      </w:pPr>
      <w:r>
        <w:rPr>
          <w:color w:val="334155"/>
          <w:sz w:val="19"/>
        </w:rPr>
        <w:t>40</w:t>
      </w:r>
    </w:p>
    <w:p>
      <w:pPr>
        <w:spacing w:before="40" w:after="80" w:line="276" w:lineRule="auto"/>
      </w:pPr>
      <w:r>
        <w:rPr>
          <w:color w:val="334155"/>
          <w:sz w:val="19"/>
        </w:rPr>
        <w:t>6  Ecology, water and landscape systems</w:t>
      </w:r>
    </w:p>
    <w:p>
      <w:pPr>
        <w:pStyle w:val="Heading2"/>
        <w:keepNext/>
        <w:spacing w:before="240" w:after="80"/>
      </w:pPr>
      <w:r>
        <w:rPr>
          <w:b/>
          <w:color w:val="0284C7"/>
        </w:rPr>
        <w:t>Page 41</w:t>
      </w:r>
    </w:p>
    <w:p>
      <w:pPr>
        <w:spacing w:before="40" w:after="80" w:line="276" w:lineRule="auto"/>
      </w:pPr>
      <w:r>
        <w:rPr>
          <w:color w:val="334155"/>
          <w:sz w:val="19"/>
        </w:rPr>
        <w:t>Water cycle management</w:t>
      </w:r>
    </w:p>
    <w:p>
      <w:pPr>
        <w:spacing w:before="40" w:after="80" w:line="276" w:lineRule="auto"/>
      </w:pPr>
      <w:r>
        <w:rPr>
          <w:color w:val="334155"/>
          <w:sz w:val="19"/>
        </w:rPr>
        <w:t>Water cycle management is a key consideration</w:t>
      </w:r>
    </w:p>
    <w:p>
      <w:pPr>
        <w:spacing w:before="40" w:after="80" w:line="276" w:lineRule="auto"/>
      </w:pPr>
      <w:r>
        <w:rPr>
          <w:color w:val="334155"/>
          <w:sz w:val="19"/>
        </w:rPr>
        <w:t>for future development within the Precinct. Diega</w:t>
      </w:r>
    </w:p>
    <w:p>
      <w:pPr>
        <w:spacing w:before="40" w:after="80" w:line="276" w:lineRule="auto"/>
      </w:pPr>
      <w:r>
        <w:rPr>
          <w:color w:val="334155"/>
          <w:sz w:val="19"/>
        </w:rPr>
        <w:t>Creek and Cockle Creek are the two key waterways</w:t>
      </w:r>
    </w:p>
    <w:p>
      <w:pPr>
        <w:spacing w:before="40" w:after="80" w:line="276" w:lineRule="auto"/>
      </w:pPr>
      <w:r>
        <w:rPr>
          <w:color w:val="334155"/>
          <w:sz w:val="19"/>
        </w:rPr>
        <w:t>located within the Precinct. Existing stormwater</w:t>
      </w:r>
    </w:p>
    <w:p>
      <w:pPr>
        <w:spacing w:before="40" w:after="80" w:line="276" w:lineRule="auto"/>
      </w:pPr>
      <w:r>
        <w:rPr>
          <w:color w:val="334155"/>
          <w:sz w:val="19"/>
        </w:rPr>
        <w:t>management within the Precinct is through</w:t>
      </w:r>
    </w:p>
    <w:p>
      <w:pPr>
        <w:spacing w:before="40" w:after="80" w:line="276" w:lineRule="auto"/>
      </w:pPr>
      <w:r>
        <w:rPr>
          <w:color w:val="334155"/>
          <w:sz w:val="19"/>
        </w:rPr>
        <w:t>natural flow paths within the undeveloped areas</w:t>
      </w:r>
    </w:p>
    <w:p>
      <w:pPr>
        <w:spacing w:before="40" w:after="80" w:line="276" w:lineRule="auto"/>
      </w:pPr>
      <w:r>
        <w:rPr>
          <w:color w:val="334155"/>
          <w:sz w:val="19"/>
        </w:rPr>
        <w:t>and via water management infrastructure across</w:t>
      </w:r>
    </w:p>
    <w:p>
      <w:pPr>
        <w:spacing w:before="40" w:after="80" w:line="276" w:lineRule="auto"/>
      </w:pPr>
      <w:r>
        <w:rPr>
          <w:color w:val="334155"/>
          <w:sz w:val="19"/>
        </w:rPr>
        <w:t>disturbed land. Water management infrastructure</w:t>
      </w:r>
    </w:p>
    <w:p>
      <w:pPr>
        <w:spacing w:before="40" w:after="80" w:line="276" w:lineRule="auto"/>
      </w:pPr>
      <w:r>
        <w:rPr>
          <w:color w:val="334155"/>
          <w:sz w:val="19"/>
        </w:rPr>
        <w:t>includes catchment dams, sediment dams, storage</w:t>
      </w:r>
    </w:p>
    <w:p>
      <w:pPr>
        <w:spacing w:before="40" w:after="80" w:line="276" w:lineRule="auto"/>
      </w:pPr>
      <w:r>
        <w:rPr>
          <w:color w:val="334155"/>
          <w:sz w:val="19"/>
        </w:rPr>
        <w:t>dams, spillways and drainage systems. Cockle</w:t>
      </w:r>
    </w:p>
    <w:p>
      <w:pPr>
        <w:spacing w:before="40" w:after="80" w:line="276" w:lineRule="auto"/>
      </w:pPr>
      <w:r>
        <w:rPr>
          <w:color w:val="334155"/>
          <w:sz w:val="19"/>
        </w:rPr>
        <w:t>Creek is the main receiver of stormwater runoff</w:t>
      </w:r>
    </w:p>
    <w:p>
      <w:pPr>
        <w:spacing w:before="40" w:after="80" w:line="276" w:lineRule="auto"/>
      </w:pPr>
      <w:r>
        <w:rPr>
          <w:color w:val="334155"/>
          <w:sz w:val="19"/>
        </w:rPr>
        <w:t>from the Precinct, receiving flows from upstream</w:t>
      </w:r>
    </w:p>
    <w:p>
      <w:pPr>
        <w:spacing w:before="40" w:after="80" w:line="276" w:lineRule="auto"/>
      </w:pPr>
      <w:r>
        <w:rPr>
          <w:color w:val="334155"/>
          <w:sz w:val="19"/>
        </w:rPr>
        <w:t>tributaries, natural flow paths and water directed</w:t>
      </w:r>
    </w:p>
    <w:p>
      <w:pPr>
        <w:spacing w:before="40" w:after="80" w:line="276" w:lineRule="auto"/>
      </w:pPr>
      <w:r>
        <w:rPr>
          <w:color w:val="334155"/>
          <w:sz w:val="19"/>
        </w:rPr>
        <w:t>from the disturbed areas via two licenced locations.</w:t>
      </w:r>
    </w:p>
    <w:p>
      <w:pPr>
        <w:spacing w:before="40" w:after="80" w:line="276" w:lineRule="auto"/>
      </w:pPr>
      <w:r>
        <w:rPr>
          <w:color w:val="334155"/>
          <w:sz w:val="19"/>
        </w:rPr>
        <w:t>Aims</w:t>
      </w:r>
    </w:p>
    <w:p>
      <w:pPr>
        <w:spacing w:before="40" w:after="80" w:line="276" w:lineRule="auto"/>
      </w:pPr>
      <w:r>
        <w:rPr>
          <w:color w:val="334155"/>
          <w:sz w:val="19"/>
        </w:rPr>
        <w:t>•</w:t>
      </w:r>
    </w:p>
    <w:p>
      <w:pPr>
        <w:spacing w:before="40" w:after="80" w:line="276" w:lineRule="auto"/>
      </w:pPr>
      <w:r>
        <w:rPr>
          <w:color w:val="334155"/>
          <w:sz w:val="19"/>
        </w:rPr>
        <w:t>Adopt an integrated water cycle management</w:t>
      </w:r>
    </w:p>
    <w:p>
      <w:pPr>
        <w:spacing w:before="40" w:after="80" w:line="276" w:lineRule="auto"/>
      </w:pPr>
      <w:r>
        <w:rPr>
          <w:color w:val="334155"/>
          <w:sz w:val="19"/>
        </w:rPr>
        <w:t>approach across the Precinct.</w:t>
      </w:r>
    </w:p>
    <w:p>
      <w:pPr>
        <w:spacing w:before="40" w:after="80" w:line="276" w:lineRule="auto"/>
      </w:pPr>
      <w:r>
        <w:rPr>
          <w:color w:val="334155"/>
          <w:sz w:val="19"/>
        </w:rPr>
        <w:t>•</w:t>
      </w:r>
    </w:p>
    <w:p>
      <w:pPr>
        <w:spacing w:before="40" w:after="80" w:line="276" w:lineRule="auto"/>
      </w:pPr>
      <w:r>
        <w:rPr>
          <w:color w:val="334155"/>
          <w:sz w:val="19"/>
        </w:rPr>
        <w:t>Minimise impacts on surface water, groundwater</w:t>
      </w:r>
    </w:p>
    <w:p>
      <w:pPr>
        <w:spacing w:before="40" w:after="80" w:line="276" w:lineRule="auto"/>
      </w:pPr>
      <w:r>
        <w:rPr>
          <w:color w:val="334155"/>
          <w:sz w:val="19"/>
        </w:rPr>
        <w:t>and downstream receiving environments.</w:t>
      </w:r>
    </w:p>
    <w:p>
      <w:pPr>
        <w:spacing w:before="40" w:after="80" w:line="276" w:lineRule="auto"/>
      </w:pPr>
      <w:r>
        <w:rPr>
          <w:color w:val="334155"/>
          <w:sz w:val="19"/>
        </w:rPr>
        <w:t>•</w:t>
      </w:r>
    </w:p>
    <w:p>
      <w:pPr>
        <w:spacing w:before="40" w:after="80" w:line="276" w:lineRule="auto"/>
      </w:pPr>
      <w:r>
        <w:rPr>
          <w:color w:val="334155"/>
          <w:sz w:val="19"/>
        </w:rPr>
        <w:t>Incorporate WSUD to improve water quality,</w:t>
      </w:r>
    </w:p>
    <w:p>
      <w:pPr>
        <w:spacing w:before="40" w:after="80" w:line="276" w:lineRule="auto"/>
      </w:pPr>
      <w:r>
        <w:rPr>
          <w:color w:val="334155"/>
          <w:sz w:val="19"/>
        </w:rPr>
        <w:t>resilience and place outcomes.</w:t>
      </w:r>
    </w:p>
    <w:p>
      <w:pPr>
        <w:spacing w:before="40" w:after="80" w:line="276" w:lineRule="auto"/>
      </w:pPr>
      <w:r>
        <w:rPr>
          <w:color w:val="334155"/>
          <w:sz w:val="19"/>
        </w:rPr>
        <w:t>•</w:t>
      </w:r>
    </w:p>
    <w:p>
      <w:pPr>
        <w:spacing w:before="40" w:after="80" w:line="276" w:lineRule="auto"/>
      </w:pPr>
      <w:r>
        <w:rPr>
          <w:color w:val="334155"/>
          <w:sz w:val="19"/>
        </w:rPr>
        <w:t>Maintain natural drainage function, groundwater</w:t>
      </w:r>
    </w:p>
    <w:p>
      <w:pPr>
        <w:spacing w:before="40" w:after="80" w:line="276" w:lineRule="auto"/>
      </w:pPr>
      <w:r>
        <w:rPr>
          <w:color w:val="334155"/>
          <w:sz w:val="19"/>
        </w:rPr>
        <w:t>processes and recharge where feasible.</w:t>
      </w:r>
    </w:p>
    <w:p>
      <w:pPr>
        <w:spacing w:before="40" w:after="80" w:line="276" w:lineRule="auto"/>
      </w:pPr>
      <w:r>
        <w:rPr>
          <w:color w:val="334155"/>
          <w:sz w:val="19"/>
        </w:rPr>
        <w:t>•</w:t>
      </w:r>
    </w:p>
    <w:p>
      <w:pPr>
        <w:spacing w:before="40" w:after="80" w:line="276" w:lineRule="auto"/>
      </w:pPr>
      <w:r>
        <w:rPr>
          <w:color w:val="334155"/>
          <w:sz w:val="19"/>
        </w:rPr>
        <w:t>Manage construction-phase erosion and</w:t>
      </w:r>
    </w:p>
    <w:p>
      <w:pPr>
        <w:spacing w:before="40" w:after="80" w:line="276" w:lineRule="auto"/>
      </w:pPr>
      <w:r>
        <w:rPr>
          <w:color w:val="334155"/>
          <w:sz w:val="19"/>
        </w:rPr>
        <w:t>sediment risks to protect sensitive receivers.</w:t>
      </w:r>
    </w:p>
    <w:p>
      <w:pPr>
        <w:spacing w:before="40" w:after="80" w:line="276" w:lineRule="auto"/>
      </w:pPr>
      <w:r>
        <w:rPr>
          <w:color w:val="334155"/>
          <w:sz w:val="19"/>
        </w:rPr>
        <w:t>Performance criteria</w:t>
      </w:r>
    </w:p>
    <w:p>
      <w:pPr>
        <w:spacing w:before="40" w:after="80" w:line="276" w:lineRule="auto"/>
      </w:pPr>
      <w:r>
        <w:rPr>
          <w:color w:val="334155"/>
          <w:sz w:val="19"/>
        </w:rPr>
        <w:t>A.</w:t>
        <w:tab/>
        <w:t xml:space="preserve"> Development must achieve applicable</w:t>
      </w:r>
    </w:p>
    <w:p>
      <w:pPr>
        <w:spacing w:before="40" w:after="80" w:line="276" w:lineRule="auto"/>
      </w:pPr>
      <w:r>
        <w:rPr>
          <w:color w:val="334155"/>
          <w:sz w:val="19"/>
        </w:rPr>
        <w:t>stormwater quality targets, including pollutant</w:t>
      </w:r>
    </w:p>
    <w:p>
      <w:pPr>
        <w:spacing w:before="40" w:after="80" w:line="276" w:lineRule="auto"/>
      </w:pPr>
      <w:r>
        <w:rPr>
          <w:color w:val="334155"/>
          <w:sz w:val="19"/>
        </w:rPr>
        <w:t>load reduction and nutrient load limits relevant</w:t>
      </w:r>
    </w:p>
    <w:p>
      <w:pPr>
        <w:spacing w:before="40" w:after="80" w:line="276" w:lineRule="auto"/>
      </w:pPr>
      <w:r>
        <w:rPr>
          <w:color w:val="334155"/>
          <w:sz w:val="19"/>
        </w:rPr>
        <w:t>to the Lake Macquarie catchment.</w:t>
      </w:r>
    </w:p>
    <w:p>
      <w:pPr>
        <w:spacing w:before="40" w:after="80" w:line="276" w:lineRule="auto"/>
      </w:pPr>
      <w:r>
        <w:rPr>
          <w:color w:val="334155"/>
          <w:sz w:val="19"/>
        </w:rPr>
        <w:t>B.</w:t>
        <w:tab/>
        <w:t xml:space="preserve"> High-priority groundwater dependent</w:t>
      </w:r>
    </w:p>
    <w:p>
      <w:pPr>
        <w:spacing w:before="40" w:after="80" w:line="276" w:lineRule="auto"/>
      </w:pPr>
      <w:r>
        <w:rPr>
          <w:color w:val="334155"/>
          <w:sz w:val="19"/>
        </w:rPr>
        <w:t>ecosystems must be protected in accordance</w:t>
      </w:r>
    </w:p>
    <w:p>
      <w:pPr>
        <w:spacing w:before="40" w:after="80" w:line="276" w:lineRule="auto"/>
      </w:pPr>
      <w:r>
        <w:rPr>
          <w:color w:val="334155"/>
          <w:sz w:val="19"/>
        </w:rPr>
        <w:t>with the applicable policy framework.</w:t>
      </w:r>
    </w:p>
    <w:p>
      <w:pPr>
        <w:spacing w:before="40" w:after="80" w:line="276" w:lineRule="auto"/>
      </w:pPr>
      <w:r>
        <w:rPr>
          <w:color w:val="334155"/>
          <w:sz w:val="19"/>
        </w:rPr>
        <w:t>C.</w:t>
        <w:tab/>
        <w:t xml:space="preserve"> Development must demonstrate an integrated</w:t>
      </w:r>
    </w:p>
    <w:p>
      <w:pPr>
        <w:spacing w:before="40" w:after="80" w:line="276" w:lineRule="auto"/>
      </w:pPr>
      <w:r>
        <w:rPr>
          <w:color w:val="334155"/>
          <w:sz w:val="19"/>
        </w:rPr>
        <w:t>water cycle and WSUD response that minimises</w:t>
      </w:r>
    </w:p>
    <w:p>
      <w:pPr>
        <w:spacing w:before="40" w:after="80" w:line="276" w:lineRule="auto"/>
      </w:pPr>
      <w:r>
        <w:rPr>
          <w:color w:val="334155"/>
          <w:sz w:val="19"/>
        </w:rPr>
        <w:t>hydrological and water quality impacts on</w:t>
      </w:r>
    </w:p>
    <w:p>
      <w:pPr>
        <w:spacing w:before="40" w:after="80" w:line="276" w:lineRule="auto"/>
      </w:pPr>
      <w:r>
        <w:rPr>
          <w:color w:val="334155"/>
          <w:sz w:val="19"/>
        </w:rPr>
        <w:t>downstream sensitive receivers.</w:t>
      </w:r>
    </w:p>
    <w:p>
      <w:pPr>
        <w:spacing w:before="40" w:after="80" w:line="276" w:lineRule="auto"/>
      </w:pPr>
      <w:r>
        <w:rPr>
          <w:color w:val="334155"/>
          <w:sz w:val="19"/>
        </w:rPr>
        <w:t>D.</w:t>
        <w:tab/>
        <w:t xml:space="preserve"> WSUD measures must be designed to treat</w:t>
      </w:r>
    </w:p>
    <w:p>
      <w:pPr>
        <w:spacing w:before="40" w:after="80" w:line="276" w:lineRule="auto"/>
      </w:pPr>
      <w:r>
        <w:rPr>
          <w:color w:val="334155"/>
          <w:sz w:val="19"/>
        </w:rPr>
        <w:t>frequent storm events, including flows up to and</w:t>
      </w:r>
    </w:p>
    <w:p>
      <w:pPr>
        <w:spacing w:before="40" w:after="80" w:line="276" w:lineRule="auto"/>
      </w:pPr>
      <w:r>
        <w:rPr>
          <w:color w:val="334155"/>
          <w:sz w:val="19"/>
        </w:rPr>
        <w:t>including the three-month average recurrence</w:t>
      </w:r>
    </w:p>
    <w:p>
      <w:pPr>
        <w:spacing w:before="40" w:after="80" w:line="276" w:lineRule="auto"/>
      </w:pPr>
      <w:r>
        <w:rPr>
          <w:color w:val="334155"/>
          <w:sz w:val="19"/>
        </w:rPr>
        <w:t>interval (ARI) event.</w:t>
      </w:r>
    </w:p>
    <w:p>
      <w:pPr>
        <w:spacing w:before="40" w:after="80" w:line="276" w:lineRule="auto"/>
      </w:pPr>
      <w:r>
        <w:rPr>
          <w:color w:val="334155"/>
          <w:sz w:val="19"/>
        </w:rPr>
        <w:t>E.</w:t>
        <w:tab/>
        <w:t xml:space="preserve"> Development must maintain, to the extent</w:t>
      </w:r>
    </w:p>
    <w:p>
      <w:pPr>
        <w:spacing w:before="40" w:after="80" w:line="276" w:lineRule="auto"/>
      </w:pPr>
      <w:r>
        <w:rPr>
          <w:color w:val="334155"/>
          <w:sz w:val="19"/>
        </w:rPr>
        <w:t>practicable, natural flow paths, sub-catchment</w:t>
      </w:r>
    </w:p>
    <w:p>
      <w:pPr>
        <w:spacing w:before="40" w:after="80" w:line="276" w:lineRule="auto"/>
      </w:pPr>
      <w:r>
        <w:rPr>
          <w:color w:val="334155"/>
          <w:sz w:val="19"/>
        </w:rPr>
        <w:t>function and flow direction and must not rely</w:t>
      </w:r>
    </w:p>
    <w:p>
      <w:pPr>
        <w:spacing w:before="40" w:after="80" w:line="276" w:lineRule="auto"/>
      </w:pPr>
      <w:r>
        <w:rPr>
          <w:color w:val="334155"/>
          <w:sz w:val="19"/>
        </w:rPr>
        <w:t>solely on piped or heavily engineered stormwater</w:t>
      </w:r>
    </w:p>
    <w:p>
      <w:pPr>
        <w:spacing w:before="40" w:after="80" w:line="276" w:lineRule="auto"/>
      </w:pPr>
      <w:r>
        <w:rPr>
          <w:color w:val="334155"/>
          <w:sz w:val="19"/>
        </w:rPr>
        <w:t>systems where this would increase erosion,</w:t>
      </w:r>
    </w:p>
    <w:p>
      <w:pPr>
        <w:spacing w:before="40" w:after="80" w:line="276" w:lineRule="auto"/>
      </w:pPr>
      <w:r>
        <w:rPr>
          <w:color w:val="334155"/>
          <w:sz w:val="19"/>
        </w:rPr>
        <w:t>scour or downstream impacts.</w:t>
      </w:r>
    </w:p>
    <w:p>
      <w:pPr>
        <w:spacing w:before="40" w:after="80" w:line="276" w:lineRule="auto"/>
      </w:pPr>
      <w:r>
        <w:rPr>
          <w:color w:val="334155"/>
          <w:sz w:val="19"/>
        </w:rPr>
        <w:t>Figure 29: Concept for integrating water sensitive urban design</w:t>
      </w:r>
    </w:p>
    <w:p>
      <w:pPr>
        <w:spacing w:before="40" w:after="80" w:line="276" w:lineRule="auto"/>
      </w:pPr>
      <w:r>
        <w:rPr>
          <w:color w:val="334155"/>
          <w:sz w:val="19"/>
        </w:rPr>
        <w:t>41</w:t>
      </w:r>
    </w:p>
    <w:p>
      <w:pPr>
        <w:spacing w:before="40" w:after="80" w:line="276" w:lineRule="auto"/>
      </w:pPr>
      <w:r>
        <w:rPr>
          <w:color w:val="334155"/>
          <w:sz w:val="19"/>
        </w:rPr>
        <w:t>6  Ecology, water and landscape systems</w:t>
      </w:r>
    </w:p>
    <w:p>
      <w:pPr>
        <w:pStyle w:val="Heading2"/>
        <w:keepNext/>
        <w:spacing w:before="240" w:after="80"/>
      </w:pPr>
      <w:r>
        <w:rPr>
          <w:b/>
          <w:color w:val="0284C7"/>
        </w:rPr>
        <w:t>Page 42</w:t>
      </w:r>
    </w:p>
    <w:p>
      <w:pPr>
        <w:spacing w:before="40" w:after="80" w:line="276" w:lineRule="auto"/>
      </w:pPr>
      <w:r>
        <w:rPr>
          <w:color w:val="334155"/>
          <w:sz w:val="19"/>
        </w:rPr>
        <w:t>Road network, freight and access</w:t>
      </w:r>
    </w:p>
    <w:p>
      <w:pPr>
        <w:spacing w:before="40" w:after="80" w:line="276" w:lineRule="auto"/>
      </w:pPr>
      <w:r>
        <w:rPr>
          <w:color w:val="334155"/>
          <w:sz w:val="19"/>
        </w:rPr>
        <w:t>Road network and access is influenced by</w:t>
      </w:r>
    </w:p>
    <w:p>
      <w:pPr>
        <w:spacing w:before="40" w:after="80" w:line="276" w:lineRule="auto"/>
      </w:pPr>
      <w:r>
        <w:rPr>
          <w:color w:val="334155"/>
          <w:sz w:val="19"/>
        </w:rPr>
        <w:t>the Precinct’s legacy as former coal mine</w:t>
      </w:r>
    </w:p>
    <w:p>
      <w:pPr>
        <w:spacing w:before="40" w:after="80" w:line="276" w:lineRule="auto"/>
      </w:pPr>
      <w:r>
        <w:rPr>
          <w:color w:val="334155"/>
          <w:sz w:val="19"/>
        </w:rPr>
        <w:t>operations. Historic mining operations have shaped</w:t>
      </w:r>
    </w:p>
    <w:p>
      <w:pPr>
        <w:spacing w:before="40" w:after="80" w:line="276" w:lineRule="auto"/>
      </w:pPr>
      <w:r>
        <w:rPr>
          <w:color w:val="334155"/>
          <w:sz w:val="19"/>
        </w:rPr>
        <w:t>both the physical terrain and created a framework</w:t>
      </w:r>
    </w:p>
    <w:p>
      <w:pPr>
        <w:spacing w:before="40" w:after="80" w:line="276" w:lineRule="auto"/>
      </w:pPr>
      <w:r>
        <w:rPr>
          <w:color w:val="334155"/>
          <w:sz w:val="19"/>
        </w:rPr>
        <w:t>that continues to inform movement and access in</w:t>
      </w:r>
    </w:p>
    <w:p>
      <w:pPr>
        <w:spacing w:before="40" w:after="80" w:line="276" w:lineRule="auto"/>
      </w:pPr>
      <w:r>
        <w:rPr>
          <w:color w:val="334155"/>
          <w:sz w:val="19"/>
        </w:rPr>
        <w:t>the post mining context. Former haul routes and</w:t>
      </w:r>
    </w:p>
    <w:p>
      <w:pPr>
        <w:spacing w:before="40" w:after="80" w:line="276" w:lineRule="auto"/>
      </w:pPr>
      <w:r>
        <w:rPr>
          <w:color w:val="334155"/>
          <w:sz w:val="19"/>
        </w:rPr>
        <w:t>access tracks, originally designed to support</w:t>
      </w:r>
    </w:p>
    <w:p>
      <w:pPr>
        <w:spacing w:before="40" w:after="80" w:line="276" w:lineRule="auto"/>
      </w:pPr>
      <w:r>
        <w:rPr>
          <w:color w:val="334155"/>
          <w:sz w:val="19"/>
        </w:rPr>
        <w:t>extraction, processing and transport activities,</w:t>
      </w:r>
    </w:p>
    <w:p>
      <w:pPr>
        <w:spacing w:before="40" w:after="80" w:line="276" w:lineRule="auto"/>
      </w:pPr>
      <w:r>
        <w:rPr>
          <w:color w:val="334155"/>
          <w:sz w:val="19"/>
        </w:rPr>
        <w:t>establish a foundational spatial logic for the post</w:t>
      </w:r>
    </w:p>
    <w:p>
      <w:pPr>
        <w:spacing w:before="40" w:after="80" w:line="276" w:lineRule="auto"/>
      </w:pPr>
      <w:r>
        <w:rPr>
          <w:color w:val="334155"/>
          <w:sz w:val="19"/>
        </w:rPr>
        <w:t>mining land use movement network.</w:t>
      </w:r>
    </w:p>
    <w:p>
      <w:pPr>
        <w:spacing w:before="40" w:after="80" w:line="276" w:lineRule="auto"/>
      </w:pPr>
      <w:r>
        <w:rPr>
          <w:color w:val="334155"/>
          <w:sz w:val="19"/>
        </w:rPr>
        <w:t>The approach to managing transport and mobility is</w:t>
      </w:r>
    </w:p>
    <w:p>
      <w:pPr>
        <w:spacing w:before="40" w:after="80" w:line="276" w:lineRule="auto"/>
      </w:pPr>
      <w:r>
        <w:rPr>
          <w:color w:val="334155"/>
          <w:sz w:val="19"/>
        </w:rPr>
        <w:t>multi-layered, combining infrastructure planning</w:t>
      </w:r>
    </w:p>
    <w:p>
      <w:pPr>
        <w:spacing w:before="40" w:after="80" w:line="276" w:lineRule="auto"/>
      </w:pPr>
      <w:r>
        <w:rPr>
          <w:color w:val="334155"/>
          <w:sz w:val="19"/>
        </w:rPr>
        <w:t>and staging through demand management and</w:t>
      </w:r>
    </w:p>
    <w:p>
      <w:pPr>
        <w:spacing w:before="40" w:after="80" w:line="276" w:lineRule="auto"/>
      </w:pPr>
      <w:r>
        <w:rPr>
          <w:color w:val="334155"/>
          <w:sz w:val="19"/>
        </w:rPr>
        <w:t>integration with land use outcomes. To facilitate</w:t>
      </w:r>
    </w:p>
    <w:p>
      <w:pPr>
        <w:spacing w:before="40" w:after="80" w:line="276" w:lineRule="auto"/>
      </w:pPr>
      <w:r>
        <w:rPr>
          <w:color w:val="334155"/>
          <w:sz w:val="19"/>
        </w:rPr>
        <w:t>efficient movement within and around the Precinct,</w:t>
      </w:r>
    </w:p>
    <w:p>
      <w:pPr>
        <w:spacing w:before="40" w:after="80" w:line="276" w:lineRule="auto"/>
      </w:pPr>
      <w:r>
        <w:rPr>
          <w:color w:val="334155"/>
          <w:sz w:val="19"/>
        </w:rPr>
        <w:t>the road network of sub-arterial, collector and local</w:t>
      </w:r>
    </w:p>
    <w:p>
      <w:pPr>
        <w:spacing w:before="40" w:after="80" w:line="276" w:lineRule="auto"/>
      </w:pPr>
      <w:r>
        <w:rPr>
          <w:color w:val="334155"/>
          <w:sz w:val="19"/>
        </w:rPr>
        <w:t>roads is structured as a clear hierarchy, linking</w:t>
      </w:r>
    </w:p>
    <w:p>
      <w:pPr>
        <w:spacing w:before="40" w:after="80" w:line="276" w:lineRule="auto"/>
      </w:pPr>
      <w:r>
        <w:rPr>
          <w:color w:val="334155"/>
          <w:sz w:val="19"/>
        </w:rPr>
        <w:t>developable land to the broader regional network</w:t>
      </w:r>
    </w:p>
    <w:p>
      <w:pPr>
        <w:spacing w:before="40" w:after="80" w:line="276" w:lineRule="auto"/>
      </w:pPr>
      <w:r>
        <w:rPr>
          <w:color w:val="334155"/>
          <w:sz w:val="19"/>
        </w:rPr>
        <w:t>to minimise reliance on the external local network.</w:t>
      </w:r>
    </w:p>
    <w:p>
      <w:pPr>
        <w:spacing w:before="40" w:after="80" w:line="276" w:lineRule="auto"/>
      </w:pPr>
      <w:r>
        <w:rPr>
          <w:color w:val="334155"/>
          <w:sz w:val="19"/>
        </w:rPr>
        <w:t>Subject to further investigation, a potential new</w:t>
      </w:r>
    </w:p>
    <w:p>
      <w:pPr>
        <w:spacing w:before="40" w:after="80" w:line="276" w:lineRule="auto"/>
      </w:pPr>
      <w:r>
        <w:rPr>
          <w:color w:val="334155"/>
          <w:sz w:val="19"/>
        </w:rPr>
        <w:t>east–west crossing of Cockle Creek is identified as</w:t>
      </w:r>
    </w:p>
    <w:p>
      <w:pPr>
        <w:spacing w:before="40" w:after="80" w:line="276" w:lineRule="auto"/>
      </w:pPr>
      <w:r>
        <w:rPr>
          <w:color w:val="334155"/>
          <w:sz w:val="19"/>
        </w:rPr>
        <w:t>an opportunity to strengthen network resilience,</w:t>
      </w:r>
    </w:p>
    <w:p>
      <w:pPr>
        <w:spacing w:before="40" w:after="80" w:line="276" w:lineRule="auto"/>
      </w:pPr>
      <w:r>
        <w:rPr>
          <w:color w:val="334155"/>
          <w:sz w:val="19"/>
        </w:rPr>
        <w:t>unlock alternative freight access that bypasses</w:t>
      </w:r>
    </w:p>
    <w:p>
      <w:pPr>
        <w:spacing w:before="40" w:after="80" w:line="276" w:lineRule="auto"/>
      </w:pPr>
      <w:r>
        <w:rPr>
          <w:color w:val="334155"/>
          <w:sz w:val="19"/>
        </w:rPr>
        <w:t>constrained local roads (Racecourse Road, Railway</w:t>
      </w:r>
    </w:p>
    <w:p>
      <w:pPr>
        <w:spacing w:before="40" w:after="80" w:line="276" w:lineRule="auto"/>
      </w:pPr>
      <w:r>
        <w:rPr>
          <w:color w:val="334155"/>
          <w:sz w:val="19"/>
        </w:rPr>
        <w:t>Street and Rhondda Road) and improve</w:t>
      </w:r>
    </w:p>
    <w:p>
      <w:pPr>
        <w:spacing w:before="40" w:after="80" w:line="276" w:lineRule="auto"/>
      </w:pPr>
      <w:r>
        <w:rPr>
          <w:color w:val="334155"/>
          <w:sz w:val="19"/>
        </w:rPr>
        <w:t>connectivity to Cockle Creek Station.</w:t>
      </w:r>
    </w:p>
    <w:p>
      <w:pPr>
        <w:spacing w:before="40" w:after="80" w:line="276" w:lineRule="auto"/>
      </w:pPr>
      <w:r>
        <w:rPr>
          <w:color w:val="334155"/>
          <w:sz w:val="19"/>
        </w:rPr>
        <w:t>Teralba is directly serviced by Teralba and</w:t>
      </w:r>
    </w:p>
    <w:p>
      <w:pPr>
        <w:spacing w:before="40" w:after="80" w:line="276" w:lineRule="auto"/>
      </w:pPr>
      <w:r>
        <w:rPr>
          <w:color w:val="334155"/>
          <w:sz w:val="19"/>
        </w:rPr>
        <w:t>Booragul Stations and forms a natural anchor for</w:t>
      </w:r>
    </w:p>
    <w:p>
      <w:pPr>
        <w:spacing w:before="40" w:after="80" w:line="276" w:lineRule="auto"/>
      </w:pPr>
      <w:r>
        <w:rPr>
          <w:color w:val="334155"/>
          <w:sz w:val="19"/>
        </w:rPr>
        <w:t>enhanced pedestrian and cycling connectivity to</w:t>
      </w:r>
    </w:p>
    <w:p>
      <w:pPr>
        <w:spacing w:before="40" w:after="80" w:line="276" w:lineRule="auto"/>
      </w:pPr>
      <w:r>
        <w:rPr>
          <w:color w:val="334155"/>
          <w:sz w:val="19"/>
        </w:rPr>
        <w:t>the wider Precinct via the Main Northern railway</w:t>
      </w:r>
    </w:p>
    <w:p>
      <w:pPr>
        <w:spacing w:before="40" w:after="80" w:line="276" w:lineRule="auto"/>
      </w:pPr>
      <w:r>
        <w:rPr>
          <w:color w:val="334155"/>
          <w:sz w:val="19"/>
        </w:rPr>
        <w:t>corridor and the future active transport network.</w:t>
      </w:r>
    </w:p>
    <w:p>
      <w:pPr>
        <w:spacing w:before="40" w:after="80" w:line="276" w:lineRule="auto"/>
      </w:pPr>
      <w:r>
        <w:rPr>
          <w:color w:val="334155"/>
          <w:sz w:val="19"/>
        </w:rPr>
        <w:t>Aims</w:t>
      </w:r>
    </w:p>
    <w:p>
      <w:pPr>
        <w:spacing w:before="40" w:after="80" w:line="276" w:lineRule="auto"/>
      </w:pPr>
      <w:r>
        <w:rPr>
          <w:color w:val="334155"/>
          <w:sz w:val="19"/>
        </w:rPr>
        <w:t>•</w:t>
      </w:r>
    </w:p>
    <w:p>
      <w:pPr>
        <w:spacing w:before="40" w:after="80" w:line="276" w:lineRule="auto"/>
      </w:pPr>
      <w:r>
        <w:rPr>
          <w:color w:val="334155"/>
          <w:sz w:val="19"/>
        </w:rPr>
        <w:t>Provide an efficient, legible and resilient road</w:t>
      </w:r>
    </w:p>
    <w:p>
      <w:pPr>
        <w:spacing w:before="40" w:after="80" w:line="276" w:lineRule="auto"/>
      </w:pPr>
      <w:r>
        <w:rPr>
          <w:color w:val="334155"/>
          <w:sz w:val="19"/>
        </w:rPr>
        <w:t>network that supports sequenced Precinct</w:t>
      </w:r>
    </w:p>
    <w:p>
      <w:pPr>
        <w:spacing w:before="40" w:after="80" w:line="276" w:lineRule="auto"/>
      </w:pPr>
      <w:r>
        <w:rPr>
          <w:color w:val="334155"/>
          <w:sz w:val="19"/>
        </w:rPr>
        <w:t>development.</w:t>
      </w:r>
    </w:p>
    <w:p>
      <w:pPr>
        <w:spacing w:before="40" w:after="80" w:line="276" w:lineRule="auto"/>
      </w:pPr>
      <w:r>
        <w:rPr>
          <w:color w:val="334155"/>
          <w:sz w:val="19"/>
        </w:rPr>
        <w:t>•</w:t>
      </w:r>
    </w:p>
    <w:p>
      <w:pPr>
        <w:spacing w:before="40" w:after="80" w:line="276" w:lineRule="auto"/>
      </w:pPr>
      <w:r>
        <w:rPr>
          <w:color w:val="334155"/>
          <w:sz w:val="19"/>
        </w:rPr>
        <w:t>Support safe and efficient freight, workforce</w:t>
      </w:r>
    </w:p>
    <w:p>
      <w:pPr>
        <w:spacing w:before="40" w:after="80" w:line="276" w:lineRule="auto"/>
      </w:pPr>
      <w:r>
        <w:rPr>
          <w:color w:val="334155"/>
          <w:sz w:val="19"/>
        </w:rPr>
        <w:t>and visitor access to and within the Precinct.</w:t>
      </w:r>
    </w:p>
    <w:p>
      <w:pPr>
        <w:spacing w:before="40" w:after="80" w:line="276" w:lineRule="auto"/>
      </w:pPr>
      <w:r>
        <w:rPr>
          <w:color w:val="334155"/>
          <w:sz w:val="19"/>
        </w:rPr>
        <w:t>•</w:t>
      </w:r>
    </w:p>
    <w:p>
      <w:pPr>
        <w:spacing w:before="40" w:after="80" w:line="276" w:lineRule="auto"/>
      </w:pPr>
      <w:r>
        <w:rPr>
          <w:color w:val="334155"/>
          <w:sz w:val="19"/>
        </w:rPr>
        <w:t>Align freight and access planning with the</w:t>
      </w:r>
    </w:p>
    <w:p>
      <w:pPr>
        <w:spacing w:before="40" w:after="80" w:line="276" w:lineRule="auto"/>
      </w:pPr>
      <w:r>
        <w:rPr>
          <w:color w:val="334155"/>
          <w:sz w:val="19"/>
        </w:rPr>
        <w:t>regional road and freight network, including</w:t>
      </w:r>
    </w:p>
    <w:p>
      <w:pPr>
        <w:spacing w:before="40" w:after="80" w:line="276" w:lineRule="auto"/>
      </w:pPr>
      <w:r>
        <w:rPr>
          <w:color w:val="334155"/>
          <w:sz w:val="19"/>
        </w:rPr>
        <w:t>future strategic corridors.</w:t>
      </w:r>
    </w:p>
    <w:p>
      <w:pPr>
        <w:spacing w:before="40" w:after="80" w:line="276" w:lineRule="auto"/>
      </w:pPr>
      <w:r>
        <w:rPr>
          <w:color w:val="334155"/>
          <w:sz w:val="19"/>
        </w:rPr>
        <w:t>•</w:t>
      </w:r>
    </w:p>
    <w:p>
      <w:pPr>
        <w:spacing w:before="40" w:after="80" w:line="276" w:lineRule="auto"/>
      </w:pPr>
      <w:r>
        <w:rPr>
          <w:color w:val="334155"/>
          <w:sz w:val="19"/>
        </w:rPr>
        <w:t>Improve access across existing infrastructure</w:t>
      </w:r>
    </w:p>
    <w:p>
      <w:pPr>
        <w:spacing w:before="40" w:after="80" w:line="276" w:lineRule="auto"/>
      </w:pPr>
      <w:r>
        <w:rPr>
          <w:color w:val="334155"/>
          <w:sz w:val="19"/>
        </w:rPr>
        <w:t>barriers, including the Main Northern Railway.</w:t>
      </w:r>
    </w:p>
    <w:p>
      <w:pPr>
        <w:spacing w:before="40" w:after="80" w:line="276" w:lineRule="auto"/>
      </w:pPr>
      <w:r>
        <w:rPr>
          <w:color w:val="334155"/>
          <w:sz w:val="19"/>
        </w:rPr>
        <w:t>•</w:t>
      </w:r>
    </w:p>
    <w:p>
      <w:pPr>
        <w:spacing w:before="40" w:after="80" w:line="276" w:lineRule="auto"/>
      </w:pPr>
      <w:r>
        <w:rPr>
          <w:color w:val="334155"/>
          <w:sz w:val="19"/>
        </w:rPr>
        <w:t>Integrate flood and bush fire resilience,</w:t>
      </w:r>
    </w:p>
    <w:p>
      <w:pPr>
        <w:spacing w:before="40" w:after="80" w:line="276" w:lineRule="auto"/>
      </w:pPr>
      <w:r>
        <w:rPr>
          <w:color w:val="334155"/>
          <w:sz w:val="19"/>
        </w:rPr>
        <w:t>emergency access and network safety into road</w:t>
      </w:r>
    </w:p>
    <w:p>
      <w:pPr>
        <w:spacing w:before="40" w:after="80" w:line="276" w:lineRule="auto"/>
      </w:pPr>
      <w:r>
        <w:rPr>
          <w:color w:val="334155"/>
          <w:sz w:val="19"/>
        </w:rPr>
        <w:t>planning.</w:t>
      </w:r>
    </w:p>
    <w:p>
      <w:pPr>
        <w:spacing w:before="40" w:after="80" w:line="276" w:lineRule="auto"/>
      </w:pPr>
      <w:r>
        <w:rPr>
          <w:color w:val="334155"/>
          <w:sz w:val="19"/>
        </w:rPr>
        <w:t>•</w:t>
      </w:r>
    </w:p>
    <w:p>
      <w:pPr>
        <w:spacing w:before="40" w:after="80" w:line="276" w:lineRule="auto"/>
      </w:pPr>
      <w:r>
        <w:rPr>
          <w:color w:val="334155"/>
          <w:sz w:val="19"/>
        </w:rPr>
        <w:t>Deliver complete streets that support walking,</w:t>
      </w:r>
    </w:p>
    <w:p>
      <w:pPr>
        <w:spacing w:before="40" w:after="80" w:line="276" w:lineRule="auto"/>
      </w:pPr>
      <w:r>
        <w:rPr>
          <w:color w:val="334155"/>
          <w:sz w:val="19"/>
        </w:rPr>
        <w:t>cycling, buses and future transport upgrades.</w:t>
      </w:r>
    </w:p>
    <w:p>
      <w:pPr>
        <w:spacing w:before="40" w:after="80" w:line="276" w:lineRule="auto"/>
      </w:pPr>
      <w:r>
        <w:rPr>
          <w:color w:val="334155"/>
          <w:sz w:val="19"/>
        </w:rPr>
        <w:t>Performance criteria</w:t>
      </w:r>
    </w:p>
    <w:p>
      <w:pPr>
        <w:spacing w:before="40" w:after="80" w:line="276" w:lineRule="auto"/>
      </w:pPr>
      <w:r>
        <w:rPr>
          <w:color w:val="334155"/>
          <w:sz w:val="19"/>
        </w:rPr>
        <w:t>A. The Precinct road network must connect</w:t>
      </w:r>
    </w:p>
    <w:p>
      <w:pPr>
        <w:spacing w:before="40" w:after="80" w:line="276" w:lineRule="auto"/>
      </w:pPr>
      <w:r>
        <w:rPr>
          <w:color w:val="334155"/>
          <w:sz w:val="19"/>
        </w:rPr>
        <w:t>to the regional road network and provide a</w:t>
      </w:r>
    </w:p>
    <w:p>
      <w:pPr>
        <w:spacing w:before="40" w:after="80" w:line="276" w:lineRule="auto"/>
      </w:pPr>
      <w:r>
        <w:rPr>
          <w:color w:val="334155"/>
          <w:sz w:val="19"/>
        </w:rPr>
        <w:t>legible hierarchy of sub-arterial, collector and</w:t>
      </w:r>
    </w:p>
    <w:p>
      <w:pPr>
        <w:spacing w:before="40" w:after="80" w:line="276" w:lineRule="auto"/>
      </w:pPr>
      <w:r>
        <w:rPr>
          <w:color w:val="334155"/>
          <w:sz w:val="19"/>
        </w:rPr>
        <w:t>local roads consistent with applicable design</w:t>
      </w:r>
    </w:p>
    <w:p>
      <w:pPr>
        <w:spacing w:before="40" w:after="80" w:line="276" w:lineRule="auto"/>
      </w:pPr>
      <w:r>
        <w:rPr>
          <w:color w:val="334155"/>
          <w:sz w:val="19"/>
        </w:rPr>
        <w:t>standards.</w:t>
      </w:r>
    </w:p>
    <w:p>
      <w:pPr>
        <w:spacing w:before="40" w:after="80" w:line="276" w:lineRule="auto"/>
      </w:pPr>
      <w:r>
        <w:rPr>
          <w:color w:val="334155"/>
          <w:sz w:val="19"/>
        </w:rPr>
        <w:t>B. Road network and intersection upgrades must</w:t>
      </w:r>
    </w:p>
    <w:p>
      <w:pPr>
        <w:spacing w:before="40" w:after="80" w:line="276" w:lineRule="auto"/>
      </w:pPr>
      <w:r>
        <w:rPr>
          <w:color w:val="334155"/>
          <w:sz w:val="19"/>
        </w:rPr>
        <w:t>be delivered ahead of, or concurrently with, the</w:t>
      </w:r>
    </w:p>
    <w:p>
      <w:pPr>
        <w:spacing w:before="40" w:after="80" w:line="276" w:lineRule="auto"/>
      </w:pPr>
      <w:r>
        <w:rPr>
          <w:color w:val="334155"/>
          <w:sz w:val="19"/>
        </w:rPr>
        <w:t>development stages they are intended to serve.</w:t>
      </w:r>
    </w:p>
    <w:p>
      <w:pPr>
        <w:spacing w:before="40" w:after="80" w:line="276" w:lineRule="auto"/>
      </w:pPr>
      <w:r>
        <w:rPr>
          <w:color w:val="334155"/>
          <w:sz w:val="19"/>
        </w:rPr>
        <w:t>C. Internal road networks must be delivered</w:t>
      </w:r>
    </w:p>
    <w:p>
      <w:pPr>
        <w:spacing w:before="40" w:after="80" w:line="276" w:lineRule="auto"/>
      </w:pPr>
      <w:r>
        <w:rPr>
          <w:color w:val="334155"/>
          <w:sz w:val="19"/>
        </w:rPr>
        <w:t>progressively to support sequenced</w:t>
      </w:r>
    </w:p>
    <w:p>
      <w:pPr>
        <w:spacing w:before="40" w:after="80" w:line="276" w:lineRule="auto"/>
      </w:pPr>
      <w:r>
        <w:rPr>
          <w:color w:val="334155"/>
          <w:sz w:val="19"/>
        </w:rPr>
        <w:t>development and reduce reliance on external</w:t>
      </w:r>
    </w:p>
    <w:p>
      <w:pPr>
        <w:spacing w:before="40" w:after="80" w:line="276" w:lineRule="auto"/>
      </w:pPr>
      <w:r>
        <w:rPr>
          <w:color w:val="334155"/>
          <w:sz w:val="19"/>
        </w:rPr>
        <w:t>local roads.</w:t>
      </w:r>
    </w:p>
    <w:p>
      <w:pPr>
        <w:spacing w:before="40" w:after="80" w:line="276" w:lineRule="auto"/>
      </w:pPr>
      <w:r>
        <w:rPr>
          <w:color w:val="334155"/>
          <w:sz w:val="19"/>
        </w:rPr>
        <w:t>D. Development applications must demonstrate,</w:t>
      </w:r>
    </w:p>
    <w:p>
      <w:pPr>
        <w:spacing w:before="40" w:after="80" w:line="276" w:lineRule="auto"/>
      </w:pPr>
      <w:r>
        <w:rPr>
          <w:color w:val="334155"/>
          <w:sz w:val="19"/>
        </w:rPr>
        <w:t>through detailed traffic assessment, that the</w:t>
      </w:r>
    </w:p>
    <w:p>
      <w:pPr>
        <w:spacing w:before="40" w:after="80" w:line="276" w:lineRule="auto"/>
      </w:pPr>
      <w:r>
        <w:rPr>
          <w:color w:val="334155"/>
          <w:sz w:val="19"/>
        </w:rPr>
        <w:t>surrounding network and relevant intersections</w:t>
      </w:r>
    </w:p>
    <w:p>
      <w:pPr>
        <w:spacing w:before="40" w:after="80" w:line="276" w:lineRule="auto"/>
      </w:pPr>
      <w:r>
        <w:rPr>
          <w:color w:val="334155"/>
          <w:sz w:val="19"/>
        </w:rPr>
        <w:t>can operate at an acceptable level of service for</w:t>
      </w:r>
    </w:p>
    <w:p>
      <w:pPr>
        <w:spacing w:before="40" w:after="80" w:line="276" w:lineRule="auto"/>
      </w:pPr>
      <w:r>
        <w:rPr>
          <w:color w:val="334155"/>
          <w:sz w:val="19"/>
        </w:rPr>
        <w:t>the proposed stage of development.</w:t>
      </w:r>
    </w:p>
    <w:p>
      <w:pPr>
        <w:spacing w:before="40" w:after="80" w:line="276" w:lineRule="auto"/>
      </w:pPr>
      <w:r>
        <w:rPr>
          <w:color w:val="334155"/>
          <w:sz w:val="19"/>
        </w:rPr>
        <w:t>E. Freight access routes and approved restricted</w:t>
      </w:r>
    </w:p>
    <w:p>
      <w:pPr>
        <w:spacing w:before="40" w:after="80" w:line="276" w:lineRule="auto"/>
      </w:pPr>
      <w:r>
        <w:rPr>
          <w:color w:val="334155"/>
          <w:sz w:val="19"/>
        </w:rPr>
        <w:t>access vehicle (RAV) connections must be</w:t>
      </w:r>
    </w:p>
    <w:p>
      <w:pPr>
        <w:spacing w:before="40" w:after="80" w:line="276" w:lineRule="auto"/>
      </w:pPr>
      <w:r>
        <w:rPr>
          <w:color w:val="334155"/>
          <w:sz w:val="19"/>
        </w:rPr>
        <w:t>established before freight-generating land uses</w:t>
      </w:r>
    </w:p>
    <w:p>
      <w:pPr>
        <w:spacing w:before="40" w:after="80" w:line="276" w:lineRule="auto"/>
      </w:pPr>
      <w:r>
        <w:rPr>
          <w:color w:val="334155"/>
          <w:sz w:val="19"/>
        </w:rPr>
        <w:t>commence.</w:t>
      </w:r>
    </w:p>
    <w:p>
      <w:pPr>
        <w:spacing w:before="40" w:after="80" w:line="276" w:lineRule="auto"/>
      </w:pPr>
      <w:r>
        <w:rPr>
          <w:color w:val="334155"/>
          <w:sz w:val="19"/>
        </w:rPr>
        <w:t>F.</w:t>
        <w:tab/>
        <w:t xml:space="preserve"> Heavy vehicle and freight movements must</w:t>
      </w:r>
    </w:p>
    <w:p>
      <w:pPr>
        <w:spacing w:before="40" w:after="80" w:line="276" w:lineRule="auto"/>
      </w:pPr>
      <w:r>
        <w:rPr>
          <w:color w:val="334155"/>
          <w:sz w:val="19"/>
        </w:rPr>
        <w:t>avoid residential streets unless no feasible</w:t>
      </w:r>
    </w:p>
    <w:p>
      <w:pPr>
        <w:spacing w:before="40" w:after="80" w:line="276" w:lineRule="auto"/>
      </w:pPr>
      <w:r>
        <w:rPr>
          <w:color w:val="334155"/>
          <w:sz w:val="19"/>
        </w:rPr>
        <w:t>alternative exists and acceptable mitigation is</w:t>
      </w:r>
    </w:p>
    <w:p>
      <w:pPr>
        <w:spacing w:before="40" w:after="80" w:line="276" w:lineRule="auto"/>
      </w:pPr>
      <w:r>
        <w:rPr>
          <w:color w:val="334155"/>
          <w:sz w:val="19"/>
        </w:rPr>
        <w:t>demonstrated.</w:t>
      </w:r>
    </w:p>
    <w:p>
      <w:pPr>
        <w:spacing w:before="40" w:after="80" w:line="276" w:lineRule="auto"/>
      </w:pPr>
      <w:r>
        <w:rPr>
          <w:color w:val="334155"/>
          <w:sz w:val="19"/>
        </w:rPr>
        <w:t>G. Former haul routes and access tracks should</w:t>
      </w:r>
    </w:p>
    <w:p>
      <w:pPr>
        <w:spacing w:before="40" w:after="80" w:line="276" w:lineRule="auto"/>
      </w:pPr>
      <w:r>
        <w:rPr>
          <w:color w:val="334155"/>
          <w:sz w:val="19"/>
        </w:rPr>
        <w:t>be prioritised for long-term heavy vehicle</w:t>
      </w:r>
    </w:p>
    <w:p>
      <w:pPr>
        <w:spacing w:before="40" w:after="80" w:line="276" w:lineRule="auto"/>
      </w:pPr>
      <w:r>
        <w:rPr>
          <w:color w:val="334155"/>
          <w:sz w:val="19"/>
        </w:rPr>
        <w:t>movements within and through the Precinct.</w:t>
      </w:r>
    </w:p>
    <w:p>
      <w:pPr>
        <w:spacing w:before="40" w:after="80" w:line="276" w:lineRule="auto"/>
      </w:pPr>
      <w:r>
        <w:rPr>
          <w:color w:val="334155"/>
          <w:sz w:val="19"/>
        </w:rPr>
        <w:t>H. A freight management plan must be prepared</w:t>
      </w:r>
    </w:p>
    <w:p>
      <w:pPr>
        <w:spacing w:before="40" w:after="80" w:line="276" w:lineRule="auto"/>
      </w:pPr>
      <w:r>
        <w:rPr>
          <w:color w:val="334155"/>
          <w:sz w:val="19"/>
        </w:rPr>
        <w:t>for freight-generating development and must</w:t>
      </w:r>
    </w:p>
    <w:p>
      <w:pPr>
        <w:spacing w:before="40" w:after="80" w:line="276" w:lineRule="auto"/>
      </w:pPr>
      <w:r>
        <w:rPr>
          <w:color w:val="334155"/>
          <w:sz w:val="19"/>
        </w:rPr>
        <w:t>address internal freight circulation, last-mile</w:t>
      </w:r>
    </w:p>
    <w:p>
      <w:pPr>
        <w:spacing w:before="40" w:after="80" w:line="276" w:lineRule="auto"/>
      </w:pPr>
      <w:r>
        <w:rPr>
          <w:color w:val="334155"/>
          <w:sz w:val="19"/>
        </w:rPr>
        <w:t>movements and community impact mitigation.</w:t>
      </w:r>
    </w:p>
    <w:p>
      <w:pPr>
        <w:spacing w:before="40" w:after="80" w:line="276" w:lineRule="auto"/>
      </w:pPr>
      <w:r>
        <w:rPr>
          <w:color w:val="334155"/>
          <w:sz w:val="19"/>
        </w:rPr>
        <w:t>I.</w:t>
      </w:r>
    </w:p>
    <w:p>
      <w:pPr>
        <w:spacing w:before="40" w:after="80" w:line="276" w:lineRule="auto"/>
      </w:pPr>
      <w:r>
        <w:rPr>
          <w:color w:val="334155"/>
          <w:sz w:val="19"/>
        </w:rPr>
        <w:t>Roads, intersections and bus facilities must be</w:t>
      </w:r>
    </w:p>
    <w:p>
      <w:pPr>
        <w:spacing w:before="40" w:after="80" w:line="276" w:lineRule="auto"/>
      </w:pPr>
      <w:r>
        <w:rPr>
          <w:color w:val="334155"/>
          <w:sz w:val="19"/>
        </w:rPr>
        <w:t>designed to provide safe pedestrian access and</w:t>
      </w:r>
    </w:p>
    <w:p>
      <w:pPr>
        <w:spacing w:before="40" w:after="80" w:line="276" w:lineRule="auto"/>
      </w:pPr>
      <w:r>
        <w:rPr>
          <w:color w:val="334155"/>
          <w:sz w:val="19"/>
        </w:rPr>
        <w:t>support public transport integration.</w:t>
      </w:r>
    </w:p>
    <w:p>
      <w:pPr>
        <w:spacing w:before="40" w:after="80" w:line="276" w:lineRule="auto"/>
      </w:pPr>
      <w:r>
        <w:rPr>
          <w:color w:val="334155"/>
          <w:sz w:val="19"/>
        </w:rPr>
        <w:t>J.</w:t>
      </w:r>
    </w:p>
    <w:p>
      <w:pPr>
        <w:spacing w:before="40" w:after="80" w:line="276" w:lineRule="auto"/>
      </w:pPr>
      <w:r>
        <w:rPr>
          <w:color w:val="334155"/>
          <w:sz w:val="19"/>
        </w:rPr>
        <w:t>Internal roads are to be located on developable</w:t>
      </w:r>
    </w:p>
    <w:p>
      <w:pPr>
        <w:spacing w:before="40" w:after="80" w:line="276" w:lineRule="auto"/>
      </w:pPr>
      <w:r>
        <w:rPr>
          <w:color w:val="334155"/>
          <w:sz w:val="19"/>
        </w:rPr>
        <w:t>land and, where practical, within existing</w:t>
      </w:r>
    </w:p>
    <w:p>
      <w:pPr>
        <w:spacing w:before="40" w:after="80" w:line="276" w:lineRule="auto"/>
      </w:pPr>
      <w:r>
        <w:rPr>
          <w:color w:val="334155"/>
          <w:sz w:val="19"/>
        </w:rPr>
        <w:t>7</w:t>
        <w:tab/>
        <w:t xml:space="preserve"> Transport and</w:t>
      </w:r>
    </w:p>
    <w:p>
      <w:pPr>
        <w:spacing w:before="40" w:after="80" w:line="276" w:lineRule="auto"/>
      </w:pPr>
      <w:r>
        <w:rPr>
          <w:color w:val="334155"/>
          <w:sz w:val="19"/>
        </w:rPr>
        <w:t>connectivity</w:t>
      </w:r>
    </w:p>
    <w:p>
      <w:pPr>
        <w:spacing w:before="40" w:after="80" w:line="276" w:lineRule="auto"/>
      </w:pPr>
      <w:r>
        <w:rPr>
          <w:color w:val="334155"/>
          <w:sz w:val="19"/>
        </w:rPr>
        <w:t>42</w:t>
      </w:r>
    </w:p>
    <w:p>
      <w:pPr>
        <w:pStyle w:val="Heading2"/>
        <w:keepNext/>
        <w:spacing w:before="240" w:after="80"/>
      </w:pPr>
      <w:r>
        <w:rPr>
          <w:b/>
          <w:color w:val="0284C7"/>
        </w:rPr>
        <w:t>Page 43</w:t>
      </w:r>
    </w:p>
    <w:p>
      <w:pPr>
        <w:spacing w:before="40" w:after="80" w:line="276" w:lineRule="auto"/>
      </w:pPr>
      <w:r>
        <w:rPr>
          <w:color w:val="334155"/>
          <w:sz w:val="19"/>
        </w:rPr>
        <w:t>disturbed corridors, unless an alternative</w:t>
      </w:r>
    </w:p>
    <w:p>
      <w:pPr>
        <w:spacing w:before="40" w:after="80" w:line="276" w:lineRule="auto"/>
      </w:pPr>
      <w:r>
        <w:rPr>
          <w:color w:val="334155"/>
          <w:sz w:val="19"/>
        </w:rPr>
        <w:t>alignment is required for safety or resilience</w:t>
      </w:r>
    </w:p>
    <w:p>
      <w:pPr>
        <w:spacing w:before="40" w:after="80" w:line="276" w:lineRule="auto"/>
      </w:pPr>
      <w:r>
        <w:rPr>
          <w:color w:val="334155"/>
          <w:sz w:val="19"/>
        </w:rPr>
        <w:t>reasons.</w:t>
      </w:r>
    </w:p>
    <w:p>
      <w:pPr>
        <w:spacing w:before="40" w:after="80" w:line="276" w:lineRule="auto"/>
      </w:pPr>
      <w:r>
        <w:rPr>
          <w:color w:val="334155"/>
          <w:sz w:val="19"/>
        </w:rPr>
        <w:t>K. Local road connections through the dam</w:t>
      </w:r>
    </w:p>
    <w:p>
      <w:pPr>
        <w:spacing w:before="40" w:after="80" w:line="276" w:lineRule="auto"/>
      </w:pPr>
      <w:r>
        <w:rPr>
          <w:color w:val="334155"/>
          <w:sz w:val="19"/>
        </w:rPr>
        <w:t>break inundation zone must remain contingent</w:t>
      </w:r>
    </w:p>
    <w:p>
      <w:pPr>
        <w:spacing w:before="40" w:after="80" w:line="276" w:lineRule="auto"/>
      </w:pPr>
      <w:r>
        <w:rPr>
          <w:color w:val="334155"/>
          <w:sz w:val="19"/>
        </w:rPr>
        <w:t>and must not be relied upon for development</w:t>
      </w:r>
    </w:p>
    <w:p>
      <w:pPr>
        <w:spacing w:before="40" w:after="80" w:line="276" w:lineRule="auto"/>
      </w:pPr>
      <w:r>
        <w:rPr>
          <w:color w:val="334155"/>
          <w:sz w:val="19"/>
        </w:rPr>
        <w:t>until the relevant dam safety and suitability</w:t>
      </w:r>
    </w:p>
    <w:p>
      <w:pPr>
        <w:spacing w:before="40" w:after="80" w:line="276" w:lineRule="auto"/>
      </w:pPr>
      <w:r>
        <w:rPr>
          <w:color w:val="334155"/>
          <w:sz w:val="19"/>
        </w:rPr>
        <w:t>requirements have been satisfied.</w:t>
      </w:r>
    </w:p>
    <w:p>
      <w:pPr>
        <w:spacing w:before="40" w:after="80" w:line="276" w:lineRule="auto"/>
      </w:pPr>
      <w:r>
        <w:rPr>
          <w:color w:val="334155"/>
          <w:sz w:val="19"/>
        </w:rPr>
        <w:t>Figure 30: Potential transport network (short-term)</w:t>
      </w:r>
    </w:p>
    <w:p>
      <w:pPr>
        <w:spacing w:before="40" w:after="80" w:line="276" w:lineRule="auto"/>
      </w:pPr>
      <w:r>
        <w:rPr>
          <w:color w:val="334155"/>
          <w:sz w:val="19"/>
        </w:rPr>
        <w:t>L. The Precinct’s road network, intersections, road</w:t>
      </w:r>
    </w:p>
    <w:p>
      <w:pPr>
        <w:spacing w:before="40" w:after="80" w:line="276" w:lineRule="auto"/>
      </w:pPr>
      <w:r>
        <w:rPr>
          <w:color w:val="334155"/>
          <w:sz w:val="19"/>
        </w:rPr>
        <w:t>reserves must be designed to support efficient</w:t>
      </w:r>
    </w:p>
    <w:p>
      <w:pPr>
        <w:spacing w:before="40" w:after="80" w:line="276" w:lineRule="auto"/>
      </w:pPr>
      <w:r>
        <w:rPr>
          <w:color w:val="334155"/>
          <w:sz w:val="19"/>
        </w:rPr>
        <w:t>and reliable public transport operations.</w:t>
      </w:r>
    </w:p>
    <w:p>
      <w:pPr>
        <w:spacing w:before="40" w:after="80" w:line="276" w:lineRule="auto"/>
      </w:pPr>
      <w:r>
        <w:rPr>
          <w:color w:val="334155"/>
          <w:sz w:val="19"/>
        </w:rPr>
        <w:t>M. Parking must be provided in accordance with</w:t>
      </w:r>
    </w:p>
    <w:p>
      <w:pPr>
        <w:spacing w:before="40" w:after="80" w:line="276" w:lineRule="auto"/>
      </w:pPr>
      <w:r>
        <w:rPr>
          <w:color w:val="334155"/>
          <w:sz w:val="19"/>
        </w:rPr>
        <w:t>an approved parking study and applicable</w:t>
      </w:r>
    </w:p>
    <w:p>
      <w:pPr>
        <w:spacing w:before="40" w:after="80" w:line="276" w:lineRule="auto"/>
      </w:pPr>
      <w:r>
        <w:rPr>
          <w:color w:val="334155"/>
          <w:sz w:val="19"/>
        </w:rPr>
        <w:t>guidelines.</w:t>
      </w:r>
    </w:p>
    <w:p>
      <w:pPr>
        <w:spacing w:before="40" w:after="80" w:line="276" w:lineRule="auto"/>
      </w:pPr>
      <w:r>
        <w:rPr>
          <w:color w:val="334155"/>
          <w:sz w:val="19"/>
        </w:rPr>
        <w:t>43</w:t>
      </w:r>
    </w:p>
    <w:p>
      <w:pPr>
        <w:spacing w:before="40" w:after="80" w:line="276" w:lineRule="auto"/>
      </w:pPr>
      <w:r>
        <w:rPr>
          <w:color w:val="334155"/>
          <w:sz w:val="19"/>
        </w:rPr>
        <w:t>7  Transport and connectivity</w:t>
      </w:r>
    </w:p>
    <w:p>
      <w:pPr>
        <w:pStyle w:val="Heading2"/>
        <w:keepNext/>
        <w:spacing w:before="240" w:after="80"/>
      </w:pPr>
      <w:r>
        <w:rPr>
          <w:b/>
          <w:color w:val="0284C7"/>
        </w:rPr>
        <w:t>Page 44</w:t>
      </w:r>
    </w:p>
    <w:p>
      <w:pPr>
        <w:spacing w:before="40" w:after="80" w:line="276" w:lineRule="auto"/>
      </w:pPr>
      <w:r>
        <w:rPr>
          <w:color w:val="334155"/>
          <w:sz w:val="19"/>
        </w:rPr>
        <w:t>Figure 31: Potential transport network (long-term)</w:t>
      </w:r>
    </w:p>
    <w:p>
      <w:pPr>
        <w:spacing w:before="40" w:after="80" w:line="276" w:lineRule="auto"/>
      </w:pPr>
      <w:r>
        <w:rPr>
          <w:color w:val="334155"/>
          <w:sz w:val="19"/>
        </w:rPr>
        <w:t>44</w:t>
      </w:r>
    </w:p>
    <w:p>
      <w:pPr>
        <w:spacing w:before="40" w:after="80" w:line="276" w:lineRule="auto"/>
      </w:pPr>
      <w:r>
        <w:rPr>
          <w:color w:val="334155"/>
          <w:sz w:val="19"/>
        </w:rPr>
        <w:t>7  Transport and connectivity</w:t>
      </w:r>
    </w:p>
    <w:p>
      <w:pPr>
        <w:pStyle w:val="Heading2"/>
        <w:keepNext/>
        <w:spacing w:before="240" w:after="80"/>
      </w:pPr>
      <w:r>
        <w:rPr>
          <w:b/>
          <w:color w:val="0284C7"/>
        </w:rPr>
        <w:t>Page 45</w:t>
      </w:r>
    </w:p>
    <w:p>
      <w:pPr>
        <w:spacing w:before="40" w:after="80" w:line="276" w:lineRule="auto"/>
      </w:pPr>
      <w:r>
        <w:rPr>
          <w:color w:val="334155"/>
          <w:sz w:val="19"/>
        </w:rPr>
        <w:t>Figure 32: Future heavy vehicle network (short-term)</w:t>
      </w:r>
    </w:p>
    <w:p>
      <w:pPr>
        <w:spacing w:before="40" w:after="80" w:line="276" w:lineRule="auto"/>
      </w:pPr>
      <w:r>
        <w:rPr>
          <w:color w:val="334155"/>
          <w:sz w:val="19"/>
        </w:rPr>
        <w:t>45</w:t>
      </w:r>
    </w:p>
    <w:p>
      <w:pPr>
        <w:spacing w:before="40" w:after="80" w:line="276" w:lineRule="auto"/>
      </w:pPr>
      <w:r>
        <w:rPr>
          <w:color w:val="334155"/>
          <w:sz w:val="19"/>
        </w:rPr>
        <w:t>7  Transport and connectivity</w:t>
      </w:r>
    </w:p>
    <w:p>
      <w:r>
        <w:br w:type="page"/>
      </w:r>
    </w:p>
    <w:p>
      <w:pPr>
        <w:pStyle w:val="Heading1"/>
        <w:keepNext/>
        <w:spacing w:before="480" w:after="160"/>
      </w:pPr>
      <w:r>
        <w:rPr>
          <w:rFonts w:ascii="Outfit" w:hAnsi="Outfit"/>
          <w:b/>
          <w:color w:val="0F172A"/>
          <w:sz w:val="32"/>
        </w:rPr>
        <w:t>Part III: Strategic Government Value &amp; Benefits Realization Guide</w:t>
      </w:r>
    </w:p>
    <w:p>
      <w:pPr>
        <w:pStyle w:val="Heading1"/>
        <w:keepNext/>
        <w:spacing w:before="320" w:after="120"/>
      </w:pPr>
      <w:r>
        <w:rPr>
          <w:b/>
          <w:color w:val="0F172A"/>
        </w:rPr>
        <w:t>Strategic Value &amp; Application Guide: Transferring Cloud Spatial Lakehouse Lessons to NSW Government &amp; Waratah HPC</w:t>
      </w:r>
    </w:p>
    <w:p>
      <w:pPr>
        <w:spacing w:before="40" w:after="80" w:line="276" w:lineRule="auto"/>
      </w:pPr>
      <w:r>
        <w:rPr>
          <w:b/>
          <w:color w:val="1E293B"/>
          <w:sz w:val="19"/>
        </w:rPr>
        <w:t>Target Audience:</w:t>
      </w:r>
      <w:r>
        <w:rPr>
          <w:color w:val="334155"/>
          <w:sz w:val="19"/>
        </w:rPr>
        <w:t xml:space="preserve"> Senior Geospatial Leadership, Spatial Data Architects, HPC Systems Engineers &amp; Policy Executives (NSW DCCEEW, NSW Spatial Services, Department of Planning, Housing and Infrastructure – DPHI, EnergyCo, Environment &amp; Heritage, and Land Administration)</w:t>
      </w:r>
    </w:p>
    <w:p>
      <w:pPr>
        <w:spacing w:before="40" w:after="80" w:line="276" w:lineRule="auto"/>
      </w:pPr>
      <w:r>
        <w:rPr>
          <w:b/>
          <w:color w:val="1E293B"/>
          <w:sz w:val="19"/>
        </w:rPr>
        <w:t>Procurement Reference Context:</w:t>
      </w:r>
      <w:r>
        <w:rPr>
          <w:color w:val="334155"/>
          <w:sz w:val="19"/>
        </w:rPr>
        <w:t xml:space="preserve"> </w:t>
      </w:r>
      <w:r>
        <w:rPr>
          <w:color w:val="0284C7"/>
          <w:sz w:val="19"/>
          <w:u w:val="single"/>
        </w:rPr>
        <w:t>NSW Buy Notice C85F11C0-9984-4C2A-AE897364B13F4B7A</w:t>
      </w:r>
      <w:r>
        <w:rPr>
          <w:color w:val="334155"/>
          <w:sz w:val="19"/>
        </w:rPr>
        <w:t xml:space="preserve"> (NSW DCCEEW Waratah HPC Facility)</w:t>
      </w:r>
    </w:p>
    <w:tbl>
      <w:tblPr>
        <w:tblW w:type="auto" w:w="0"/>
        <w:jc w:val="center"/>
        <w:tblLook w:firstColumn="1" w:firstRow="1" w:lastColumn="0" w:lastRow="0" w:noHBand="0" w:noVBand="1" w:val="04A0"/>
      </w:tblPr>
      <w:tblGrid>
        <w:gridCol w:w="3312"/>
        <w:gridCol w:w="3312"/>
        <w:gridCol w:w="3312"/>
      </w:tblGrid>
      <w:tr>
        <w:tc>
          <w:tcPr>
            <w:tcW w:type="dxa" w:w="3312"/>
            <w:tcMar>
              <w:top w:w="60" w:type="dxa"/>
              <w:bottom w:w="60" w:type="dxa"/>
              <w:left w:w="100" w:type="dxa"/>
              <w:right w:w="100" w:type="dxa"/>
            </w:tcMar>
            <w:shd w:fill="0F172A"/>
          </w:tcPr>
          <w:p>
            <w:pPr>
              <w:spacing w:before="40" w:after="40"/>
            </w:pPr>
            <w:r>
              <w:rPr>
                <w:b/>
                <w:color w:val="F8FAFC"/>
                <w:sz w:val="18"/>
              </w:rPr>
              <w:t>**Reference Portals:** [NSW Spatial Services](https://www.spatial.nsw.gov.au/)</w:t>
            </w:r>
          </w:p>
        </w:tc>
        <w:tc>
          <w:tcPr>
            <w:tcW w:type="dxa" w:w="3312"/>
            <w:tcMar>
              <w:top w:w="60" w:type="dxa"/>
              <w:bottom w:w="60" w:type="dxa"/>
              <w:left w:w="100" w:type="dxa"/>
              <w:right w:w="100" w:type="dxa"/>
            </w:tcMar>
            <w:shd w:fill="0F172A"/>
          </w:tcPr>
          <w:p>
            <w:pPr>
              <w:spacing w:before="40" w:after="40"/>
            </w:pPr>
            <w:r>
              <w:rPr>
                <w:b/>
                <w:color w:val="F8FAFC"/>
                <w:sz w:val="18"/>
              </w:rPr>
              <w:t>[NSW Planning Portal](https://www.planningportal.nsw.gov.au/)</w:t>
            </w:r>
          </w:p>
        </w:tc>
        <w:tc>
          <w:tcPr>
            <w:tcW w:type="dxa" w:w="3312"/>
            <w:tcMar>
              <w:top w:w="60" w:type="dxa"/>
              <w:bottom w:w="60" w:type="dxa"/>
              <w:left w:w="100" w:type="dxa"/>
              <w:right w:w="100" w:type="dxa"/>
            </w:tcMar>
            <w:shd w:fill="0F172A"/>
          </w:tcPr>
          <w:p>
            <w:pPr>
              <w:spacing w:before="40" w:after="40"/>
            </w:pPr>
            <w:r>
              <w:rPr>
                <w:b/>
                <w:color w:val="F8FAFC"/>
                <w:sz w:val="18"/>
              </w:rPr>
              <w:t>[NSW SEED Portal](https://www.seed.nsw.gov.au/)</w:t>
            </w:r>
          </w:p>
        </w:tc>
      </w:tr>
    </w:tbl>
    <w:p/>
    <w:p>
      <w:pPr>
        <w:spacing w:before="40" w:after="80" w:line="276" w:lineRule="auto"/>
      </w:pPr>
      <w:r>
        <w:rPr>
          <w:b/>
          <w:color w:val="1E293B"/>
          <w:sz w:val="19"/>
        </w:rPr>
        <w:t>Document Purpose:</w:t>
      </w:r>
      <w:r>
        <w:rPr>
          <w:color w:val="334155"/>
          <w:sz w:val="19"/>
        </w:rPr>
        <w:t xml:space="preserve"> Strategic and technical transfer guide detailing how the architectural patterns, cost optimizations, and distributed spatial ETL lessons developed in </w:t>
      </w:r>
      <w:r>
        <w:rPr>
          <w:b/>
          <w:color w:val="1E293B"/>
          <w:sz w:val="19"/>
        </w:rPr>
        <w:t>AURA Siting Crafter</w:t>
      </w:r>
      <w:r>
        <w:rPr>
          <w:color w:val="334155"/>
          <w:sz w:val="19"/>
        </w:rPr>
        <w:t xml:space="preserve"> (deployed on Wherobots Cloud, AWS, and Google Cloud) can be directly applied to accelerate on-premise government supercomputing—specifically the </w:t>
      </w:r>
      <w:r>
        <w:rPr>
          <w:b/>
          <w:color w:val="1E293B"/>
          <w:sz w:val="19"/>
        </w:rPr>
        <w:t>NSW DCCEEW Waratah High Performance Computing (HPC) Facility</w:t>
      </w:r>
      <w:r>
        <w:rPr>
          <w:color w:val="334155"/>
          <w:sz w:val="19"/>
        </w:rPr>
        <w:t xml:space="preserve"> and enterprise state GIS platforms.</w:t>
      </w:r>
    </w:p>
    <w:p>
      <w:pPr>
        <w:spacing w:before="40" w:after="80" w:line="276" w:lineRule="auto"/>
      </w:pPr>
      <w:r>
        <w:rPr>
          <w:color w:val="334155"/>
          <w:sz w:val="19"/>
        </w:rPr>
        <w:t>---</w:t>
      </w:r>
    </w:p>
    <w:p>
      <w:pPr>
        <w:spacing w:before="40" w:after="80" w:line="276" w:lineRule="auto"/>
      </w:pPr>
      <w:r>
        <w:rPr>
          <w:color w:val="334155"/>
          <w:sz w:val="19"/>
        </w:rPr>
        <w:t>&gt; [!IMPORTANT]</w:t>
      </w:r>
    </w:p>
    <w:p>
      <w:pPr>
        <w:spacing w:before="40" w:after="80" w:line="276" w:lineRule="auto"/>
      </w:pPr>
      <w:r>
        <w:rPr>
          <w:color w:val="334155"/>
          <w:sz w:val="19"/>
        </w:rPr>
        <w:t>&gt; ### ⚡ Executive Briefing: Cloud-to-HPC Architectural Transfer</w:t>
      </w:r>
    </w:p>
    <w:p>
      <w:pPr>
        <w:spacing w:before="40" w:after="80" w:line="276" w:lineRule="auto"/>
      </w:pPr>
      <w:r>
        <w:rPr>
          <w:color w:val="334155"/>
          <w:sz w:val="19"/>
        </w:rPr>
        <w:t xml:space="preserve">&gt; * </w:t>
      </w:r>
      <w:r>
        <w:rPr>
          <w:b/>
          <w:color w:val="1E293B"/>
          <w:sz w:val="19"/>
        </w:rPr>
        <w:t>Cloud-Native Provenance:</w:t>
      </w:r>
      <w:r>
        <w:rPr>
          <w:color w:val="334155"/>
          <w:sz w:val="19"/>
        </w:rPr>
        <w:t xml:space="preserve"> AURA Siting Crafter executes natively on </w:t>
      </w:r>
      <w:r>
        <w:rPr>
          <w:b/>
          <w:color w:val="1E293B"/>
          <w:sz w:val="19"/>
        </w:rPr>
        <w:t>Wherobots Cloud, AWS (S3 / EMR / Sedona), and Google Cloud (BigQuery / GCS)</w:t>
      </w:r>
      <w:r>
        <w:rPr>
          <w:color w:val="334155"/>
          <w:sz w:val="19"/>
        </w:rPr>
        <w:t>, processing 15.91M+ national spatial geometries with statutory multi-hazard scoring.</w:t>
      </w:r>
    </w:p>
    <w:p>
      <w:pPr>
        <w:spacing w:before="40" w:after="80" w:line="276" w:lineRule="auto"/>
      </w:pPr>
      <w:r>
        <w:rPr>
          <w:color w:val="334155"/>
          <w:sz w:val="19"/>
        </w:rPr>
        <w:t xml:space="preserve">&gt; * </w:t>
      </w:r>
      <w:r>
        <w:rPr>
          <w:b/>
          <w:color w:val="1E293B"/>
          <w:sz w:val="19"/>
        </w:rPr>
        <w:t>The Core Objective:</w:t>
      </w:r>
      <w:r>
        <w:rPr>
          <w:color w:val="334155"/>
          <w:sz w:val="19"/>
        </w:rPr>
        <w:t xml:space="preserve"> Translating cloud spatial engineering breakthroughs—distributed Apache Sedona memory models, decoupled geometry/scoring engines, and GeoParquet lakehouse structures—into concrete design patterns for NSW Government compute environments, notably </w:t>
      </w:r>
      <w:r>
        <w:rPr>
          <w:b/>
          <w:color w:val="1E293B"/>
          <w:sz w:val="19"/>
        </w:rPr>
        <w:t>Waratah HPC</w:t>
      </w:r>
      <w:r>
        <w:rPr>
          <w:color w:val="334155"/>
          <w:sz w:val="19"/>
        </w:rPr>
        <w:t xml:space="preserve"> (</w:t>
      </w:r>
      <w:r>
        <w:rPr>
          <w:color w:val="0284C7"/>
          <w:sz w:val="19"/>
          <w:u w:val="single"/>
        </w:rPr>
        <w:t>buy.nsw Notice C85F11C0-9984-4C2A-AE897364B13F4B7A</w:t>
      </w:r>
      <w:r>
        <w:rPr>
          <w:color w:val="334155"/>
          <w:sz w:val="19"/>
        </w:rPr>
        <w:t>).</w:t>
      </w:r>
    </w:p>
    <w:p>
      <w:pPr>
        <w:spacing w:before="40" w:after="80" w:line="276" w:lineRule="auto"/>
      </w:pPr>
      <w:r>
        <w:rPr>
          <w:color w:val="334155"/>
          <w:sz w:val="19"/>
        </w:rPr>
        <w:t xml:space="preserve">&gt; * </w:t>
      </w:r>
      <w:r>
        <w:rPr>
          <w:b/>
          <w:color w:val="1E293B"/>
          <w:sz w:val="19"/>
        </w:rPr>
        <w:t>Lustre Parallel Storage Unlocking (DDN ExaScaler 7990X):</w:t>
      </w:r>
      <w:r>
        <w:rPr>
          <w:color w:val="334155"/>
          <w:sz w:val="19"/>
        </w:rPr>
        <w:t xml:space="preserve"> How replacing single-threaded desktop GIS formats with partitioned GeoParquet unlocks the full multi-gigabyte/sec parallel throughput of Waratah HPC's Lustre storage array during 3.5M+ parcel cadastral joins.</w:t>
      </w:r>
    </w:p>
    <w:p>
      <w:pPr>
        <w:spacing w:before="40" w:after="80" w:line="276" w:lineRule="auto"/>
      </w:pPr>
      <w:r>
        <w:rPr>
          <w:color w:val="334155"/>
          <w:sz w:val="19"/>
        </w:rPr>
        <w:t xml:space="preserve">&gt; * </w:t>
      </w:r>
      <w:r>
        <w:rPr>
          <w:b/>
          <w:color w:val="1E293B"/>
          <w:sz w:val="19"/>
        </w:rPr>
        <w:t>Spectra Logic T950 Cold-Tier Integration:</w:t>
      </w:r>
      <w:r>
        <w:rPr>
          <w:color w:val="334155"/>
          <w:sz w:val="19"/>
        </w:rPr>
        <w:t xml:space="preserve"> How spatial data fingerprinting and incremental memoization prevent re-processing petabytes of static historical baselines (SLATS vegetation, 30m DEMs, multi-decade climate grids), preserving them on archival tape while streaming hot candidate parcels to compute nodes.</w:t>
      </w:r>
    </w:p>
    <w:p>
      <w:pPr>
        <w:spacing w:before="40" w:after="80" w:line="276" w:lineRule="auto"/>
      </w:pPr>
      <w:r>
        <w:rPr>
          <w:color w:val="334155"/>
          <w:sz w:val="19"/>
        </w:rPr>
        <w:t xml:space="preserve">&gt; * </w:t>
      </w:r>
      <w:r>
        <w:rPr>
          <w:b/>
          <w:color w:val="1E293B"/>
          <w:sz w:val="19"/>
        </w:rPr>
        <w:t>Extreme Cost &amp; Compute Optimization:</w:t>
      </w:r>
      <w:r>
        <w:rPr>
          <w:color w:val="334155"/>
          <w:sz w:val="19"/>
        </w:rPr>
        <w:t xml:space="preserve"> How decoupling heavy geometric buffering (</w:t>
      </w:r>
      <w:r>
        <w:rPr>
          <w:rFonts w:ascii="Consolas" w:hAnsi="Consolas"/>
          <w:color w:val="0E7490"/>
          <w:sz w:val="17"/>
        </w:rPr>
        <w:t>ST_Difference</w:t>
      </w:r>
      <w:r>
        <w:rPr>
          <w:color w:val="334155"/>
          <w:sz w:val="19"/>
        </w:rPr>
        <w:t xml:space="preserve">, </w:t>
      </w:r>
      <w:r>
        <w:rPr>
          <w:rFonts w:ascii="Consolas" w:hAnsi="Consolas"/>
          <w:color w:val="0E7490"/>
          <w:sz w:val="17"/>
        </w:rPr>
        <w:t>ST_Buffer</w:t>
      </w:r>
      <w:r>
        <w:rPr>
          <w:color w:val="334155"/>
          <w:sz w:val="19"/>
        </w:rPr>
        <w:t xml:space="preserve">) from lightweight mathematical scoring reduced cloud pipeline execution to </w:t>
      </w:r>
      <w:r>
        <w:rPr>
          <w:b/>
          <w:color w:val="1E293B"/>
          <w:sz w:val="19"/>
        </w:rPr>
        <w:t>$0.69 USD</w:t>
      </w:r>
      <w:r>
        <w:rPr>
          <w:color w:val="334155"/>
          <w:sz w:val="19"/>
        </w:rPr>
        <w:t xml:space="preserve"> per full national run—a pattern that prevents HPC cluster queue exhaustion during multi-scenario policy sweeps.</w:t>
      </w:r>
    </w:p>
    <w:p>
      <w:pPr>
        <w:spacing w:before="40" w:after="80" w:line="276" w:lineRule="auto"/>
      </w:pPr>
      <w:r>
        <w:rPr>
          <w:color w:val="334155"/>
          <w:sz w:val="19"/>
        </w:rPr>
        <w:t xml:space="preserve">&gt; * </w:t>
      </w:r>
      <w:r>
        <w:rPr>
          <w:b/>
          <w:color w:val="1E293B"/>
          <w:sz w:val="19"/>
        </w:rPr>
        <w:t>Zero-Cost Client Offloading:</w:t>
      </w:r>
      <w:r>
        <w:rPr>
          <w:color w:val="334155"/>
          <w:sz w:val="19"/>
        </w:rPr>
        <w:t xml:space="preserve"> How packaging spatial outputs for client-side </w:t>
      </w:r>
      <w:r>
        <w:rPr>
          <w:b/>
          <w:color w:val="1E293B"/>
          <w:sz w:val="19"/>
        </w:rPr>
        <w:t>DuckDB-WASM and WebGIS</w:t>
      </w:r>
      <w:r>
        <w:rPr>
          <w:color w:val="334155"/>
          <w:sz w:val="19"/>
        </w:rPr>
        <w:t xml:space="preserve"> shields government HPC infrastructure from public interactive queries, delivering instant scenario modeling at zero compute cost.</w:t>
      </w:r>
    </w:p>
    <w:p>
      <w:pPr>
        <w:spacing w:before="40" w:after="80" w:line="276" w:lineRule="auto"/>
      </w:pPr>
      <w:r>
        <w:rPr>
          <w:color w:val="334155"/>
          <w:sz w:val="19"/>
        </w:rPr>
        <w:t>---</w:t>
      </w:r>
    </w:p>
    <w:p>
      <w:pPr>
        <w:pStyle w:val="Heading2"/>
        <w:keepNext/>
        <w:spacing w:before="240" w:after="80"/>
      </w:pPr>
      <w:r>
        <w:rPr>
          <w:b/>
          <w:color w:val="0284C7"/>
        </w:rPr>
        <w:t>Executive Summary</w:t>
      </w:r>
    </w:p>
    <w:p>
      <w:pPr>
        <w:spacing w:before="40" w:after="80" w:line="276" w:lineRule="auto"/>
      </w:pPr>
      <w:r>
        <w:rPr>
          <w:color w:val="334155"/>
          <w:sz w:val="19"/>
        </w:rPr>
        <w:t xml:space="preserve">State-level geospatial data in New South Wales is growing exponentially in volume, spatial resolution, and statutory complexity. From the 3.5M+ parcels of the NSW Digital Cadastral Data Base (DCDB) and high-resolution LiDAR elevation models, to multi-decade climate projections (NARCLiM) and environmental sensor networks under </w:t>
      </w:r>
      <w:r>
        <w:rPr>
          <w:b/>
          <w:color w:val="1E293B"/>
          <w:sz w:val="19"/>
        </w:rPr>
        <w:t>NSW DCCEEW</w:t>
      </w:r>
      <w:r>
        <w:rPr>
          <w:color w:val="334155"/>
          <w:sz w:val="19"/>
        </w:rPr>
        <w:t>, traditional single-node desktop GIS tools (</w:t>
      </w:r>
      <w:r>
        <w:rPr>
          <w:rFonts w:ascii="Consolas" w:hAnsi="Consolas"/>
          <w:color w:val="0E7490"/>
          <w:sz w:val="17"/>
        </w:rPr>
        <w:t>.mxd</w:t>
      </w:r>
      <w:r>
        <w:rPr>
          <w:color w:val="334155"/>
          <w:sz w:val="19"/>
        </w:rPr>
        <w:t xml:space="preserve">, </w:t>
      </w:r>
      <w:r>
        <w:rPr>
          <w:rFonts w:ascii="Consolas" w:hAnsi="Consolas"/>
          <w:color w:val="0E7490"/>
          <w:sz w:val="17"/>
        </w:rPr>
        <w:t>.qgz</w:t>
      </w:r>
      <w:r>
        <w:rPr>
          <w:color w:val="334155"/>
          <w:sz w:val="19"/>
        </w:rPr>
        <w:t>, Shapefiles) face severe scalability bottlenecks.</w:t>
      </w:r>
    </w:p>
    <w:p>
      <w:pPr>
        <w:spacing w:before="40" w:after="80" w:line="276" w:lineRule="auto"/>
      </w:pPr>
      <w:r>
        <w:rPr>
          <w:color w:val="334155"/>
          <w:sz w:val="19"/>
        </w:rPr>
        <w:t xml:space="preserve">The </w:t>
      </w:r>
      <w:r>
        <w:rPr>
          <w:b/>
          <w:color w:val="1E293B"/>
          <w:sz w:val="19"/>
        </w:rPr>
        <w:t>AURA Siting Crafter</w:t>
      </w:r>
      <w:r>
        <w:rPr>
          <w:color w:val="334155"/>
          <w:sz w:val="19"/>
        </w:rPr>
        <w:t xml:space="preserve"> project was architected on commercial cloud infrastructure (</w:t>
      </w:r>
      <w:r>
        <w:rPr>
          <w:b/>
          <w:color w:val="1E293B"/>
          <w:sz w:val="19"/>
        </w:rPr>
        <w:t>Wherobots Cloud, AWS, and Google Cloud</w:t>
      </w:r>
      <w:r>
        <w:rPr>
          <w:color w:val="334155"/>
          <w:sz w:val="19"/>
        </w:rPr>
        <w:t xml:space="preserve">) using </w:t>
      </w:r>
      <w:r>
        <w:rPr>
          <w:b/>
          <w:color w:val="1E293B"/>
          <w:sz w:val="19"/>
        </w:rPr>
        <w:t>Apache Sedona (PySpark)</w:t>
      </w:r>
      <w:r>
        <w:rPr>
          <w:color w:val="334155"/>
          <w:sz w:val="19"/>
        </w:rPr>
        <w:t xml:space="preserve">, </w:t>
      </w:r>
      <w:r>
        <w:rPr>
          <w:b/>
          <w:color w:val="1E293B"/>
          <w:sz w:val="19"/>
        </w:rPr>
        <w:t>Apache Iceberg</w:t>
      </w:r>
      <w:r>
        <w:rPr>
          <w:color w:val="334155"/>
          <w:sz w:val="19"/>
        </w:rPr>
        <w:t xml:space="preserve">, and </w:t>
      </w:r>
      <w:r>
        <w:rPr>
          <w:b/>
          <w:color w:val="1E293B"/>
          <w:sz w:val="19"/>
        </w:rPr>
        <w:t>GeoParquet</w:t>
      </w:r>
      <w:r>
        <w:rPr>
          <w:color w:val="334155"/>
          <w:sz w:val="19"/>
        </w:rPr>
        <w:t xml:space="preserve"> to solve large-scale spatial siting, multi-hazard constraint analysis, and circular economy modeling.</w:t>
      </w:r>
    </w:p>
    <w:p>
      <w:pPr>
        <w:spacing w:before="40" w:after="80" w:line="276" w:lineRule="auto"/>
      </w:pPr>
      <w:r>
        <w:rPr>
          <w:color w:val="334155"/>
          <w:sz w:val="19"/>
        </w:rPr>
        <w:t xml:space="preserve">This document synthesizes the operational, mathematical, and architectural lessons learned from AURA's cloud implementation into a roadmap for NSW Government agencies. It demonstrates how these patterns can modernize state workflows and maximize return-on-investment for specialized state computing assets such as the </w:t>
      </w:r>
      <w:r>
        <w:rPr>
          <w:b/>
          <w:color w:val="1E293B"/>
          <w:sz w:val="19"/>
        </w:rPr>
        <w:t>NSW DCCEEW Waratah HPC Facility</w:t>
      </w:r>
      <w:r>
        <w:rPr>
          <w:color w:val="334155"/>
          <w:sz w:val="19"/>
        </w:rPr>
        <w:t>.</w:t>
      </w:r>
    </w:p>
    <w:p>
      <w:pPr>
        <w:spacing w:before="40" w:after="80" w:line="276" w:lineRule="auto"/>
      </w:pPr>
      <w:r>
        <w:rPr>
          <w:color w:val="334155"/>
          <w:sz w:val="19"/>
        </w:rPr>
        <w:t>---</w:t>
      </w:r>
    </w:p>
    <w:p>
      <w:pPr>
        <w:pStyle w:val="Heading2"/>
        <w:keepNext/>
        <w:spacing w:before="240" w:after="80"/>
      </w:pPr>
      <w:r>
        <w:rPr>
          <w:b/>
          <w:color w:val="0284C7"/>
        </w:rPr>
        <w:t>The Reference Environment: NSW DCCEEW Waratah HPC</w:t>
      </w:r>
    </w:p>
    <w:p>
      <w:pPr>
        <w:spacing w:before="40" w:after="80" w:line="276" w:lineRule="auto"/>
      </w:pPr>
      <w:r>
        <w:rPr>
          <w:color w:val="334155"/>
          <w:sz w:val="19"/>
        </w:rPr>
        <w:t xml:space="preserve">The </w:t>
      </w:r>
      <w:r>
        <w:rPr>
          <w:b/>
          <w:color w:val="1E293B"/>
          <w:sz w:val="19"/>
        </w:rPr>
        <w:t>Waratah High Performance Computing (HPC) facility</w:t>
      </w:r>
      <w:r>
        <w:rPr>
          <w:color w:val="334155"/>
          <w:sz w:val="19"/>
        </w:rPr>
        <w:t xml:space="preserve"> is a government-managed supercomputing cluster operated by the </w:t>
      </w:r>
      <w:r>
        <w:rPr>
          <w:b/>
          <w:color w:val="1E293B"/>
          <w:sz w:val="19"/>
        </w:rPr>
        <w:t>NSW Department of Climate Change, Energy, the Environment and Water (DCCEEW)</w:t>
      </w:r>
      <w:r>
        <w:rPr>
          <w:color w:val="334155"/>
          <w:sz w:val="19"/>
        </w:rPr>
        <w:t xml:space="preserve"> (</w:t>
      </w:r>
      <w:r>
        <w:rPr>
          <w:color w:val="0284C7"/>
          <w:sz w:val="19"/>
          <w:u w:val="single"/>
        </w:rPr>
        <w:t>buy.nsw Notice C85F11C0-9984-4C2A-AE897364B13F4B7A</w:t>
      </w:r>
      <w:r>
        <w:rPr>
          <w:color w:val="334155"/>
          <w:sz w:val="19"/>
        </w:rPr>
        <w:t>, supported by Xenon Systems).</w:t>
      </w:r>
    </w:p>
    <w:p>
      <w:pPr>
        <w:spacing w:before="80" w:after="120"/>
        <w:ind w:left="360"/>
      </w:pPr>
      <w:r>
        <w:rPr>
          <w:rFonts w:ascii="Consolas" w:hAnsi="Consolas"/>
          <w:color w:val="0F172A"/>
          <w:sz w:val="17"/>
        </w:rPr>
        <w:t>+----------------------------------------------------------------------------------------------------+</w:t>
        <w:br/>
        <w:t>|                         NSW DCCEEW WARATAH HPC FACILITY ARCHITECTURE                                |</w:t>
        <w:br/>
        <w:t>|                        (Procurement: buy.nsw Notice C85F11C0-9984-4C2A-AE897364B13F4B7A)           |</w:t>
        <w:br/>
        <w:t>+----------------------------------------------------------------------------------------------------+</w:t>
        <w:br/>
        <w:t>|                                                                                                    |</w:t>
        <w:br/>
        <w:t>|  [ PRIMARY STORAGE ]                                           [ ARCHIVAL &amp; BACKUP ]               |</w:t>
        <w:br/>
        <w:t>|  DDN ExaScaler 7990X Lustre Storage Array                      Spectra Logic T950 Tape Library     |</w:t>
        <w:br/>
        <w:t>|  • High-throughput parallel filesystem                         • Petabyte-scale preservation       |</w:t>
        <w:br/>
        <w:t>|  • Optimized for massive concurrent streaming                  • Multi-decade environmental data   |</w:t>
        <w:br/>
        <w:t>|                                                                                                    |</w:t>
        <w:br/>
        <w:t>|  [ COMPUTATIONAL MANDATE ]                                     [ VENDOR &amp; SYSTEM SUPPORT ]         |</w:t>
        <w:br/>
        <w:t>|  Dedicated to NSW DCCEEW Policy &amp; Science                      Maintained by Xenon Systems         |</w:t>
        <w:br/>
        <w:t>|  • Climate Modeling (NARCLiM) &amp; Extreme Projections            • Node reconfiguration &amp; tuning     |</w:t>
        <w:br/>
        <w:t>|  • Environmental Monitoring, SLATS &amp; Biodiversity              • Continuous system maintenance     |</w:t>
        <w:br/>
        <w:t>|  • Renewable Energy Zone (REZ) &amp; Grid Simulations              • High-throughput interconnects     |</w:t>
        <w:br/>
        <w:t>|  • River Basin, Flood &amp; Water Resource Management                                                  |</w:t>
        <w:br/>
        <w:t>|                                                                                                    |</w:t>
        <w:br/>
        <w:t>+----------------------------------------------------------------------------------------------------+</w:t>
      </w:r>
    </w:p>
    <w:p>
      <w:pPr>
        <w:spacing w:before="40" w:after="80" w:line="276" w:lineRule="auto"/>
      </w:pPr>
      <w:r>
        <w:rPr>
          <w:color w:val="334155"/>
          <w:sz w:val="19"/>
        </w:rPr>
        <w:t>Unlike academic compute facilities, Waratah HPC is dedicated to direct public policy, environmental stewardship, and statutory spatial planning. AURA's cloud-proven engineering patterns offer a blueprint for running high-throughput spatial analytics across these portfolios.</w:t>
      </w:r>
    </w:p>
    <w:p>
      <w:pPr>
        <w:spacing w:before="40" w:after="80" w:line="276" w:lineRule="auto"/>
      </w:pPr>
      <w:r>
        <w:rPr>
          <w:color w:val="334155"/>
          <w:sz w:val="19"/>
        </w:rPr>
        <w:t>---</w:t>
      </w:r>
    </w:p>
    <w:p>
      <w:pPr>
        <w:pStyle w:val="Heading2"/>
        <w:keepNext/>
        <w:spacing w:before="240" w:after="80"/>
      </w:pPr>
      <w:r>
        <w:rPr>
          <w:b/>
          <w:color w:val="0284C7"/>
        </w:rPr>
        <w:t>5 Transferable Spatial Engineering Lessons: Cloud (AURA) to On-Premise HPC</w:t>
      </w:r>
    </w:p>
    <w:p>
      <w:pPr>
        <w:spacing w:before="80" w:after="120"/>
        <w:ind w:left="360"/>
      </w:pPr>
      <w:r>
        <w:rPr>
          <w:rFonts w:ascii="Consolas" w:hAnsi="Consolas"/>
          <w:color w:val="0F172A"/>
          <w:sz w:val="17"/>
        </w:rPr>
        <w:t>+----------------------------------------------------------------------------------------------------+</w:t>
        <w:br/>
        <w:t>|                      AURA CLOUD PIPELINE (Wherobots / AWS / GCP)                                   |</w:t>
        <w:br/>
        <w:t>|   15.91M Geometries | Decoupled Geometry/Scoring | GeoParquet / Iceberg | $0.69 USD Full Run       |</w:t>
        <w:br/>
        <w:t>+----------------------------------------------------------------------------------------------------+</w:t>
        <w:br/>
        <w:t xml:space="preserve">                                               |</w:t>
        <w:br/>
        <w:t xml:space="preserve">                     ARCHITECTURAL LESSONS &amp; PATTERNS TRANSFERRED</w:t>
        <w:br/>
        <w:t xml:space="preserve">                                               v</w:t>
        <w:br/>
        <w:t>+----------------------------------------------------------------------------------------------------+</w:t>
        <w:br/>
        <w:t>|                        NSW DCCEEW WARATAH HPC FACILITY ADOPTION                                    |</w:t>
        <w:br/>
        <w:t>|  1. GeoParquet Parallel I/O on DDN Lustre Storage Array (ExaScaler 7990X)                          |</w:t>
        <w:br/>
        <w:t>|  2. Memoized Partition Pruning &amp; Cold Data Preservation (Spectra Logic T950 Tape)                  |</w:t>
        <w:br/>
        <w:t>|  3. Decoupled Heavy Geometric Transforms from Rapid Multi-Scenario Scoring                         |</w:t>
        <w:br/>
        <w:t>|  4. Statutory 6-Factor Multi-Hazard Scoring Engine (ARR 2019, AS 1170, AS 3959)                   |</w:t>
        <w:br/>
        <w:t>|  5. Zero-Cost Client-Side Offloading via DuckDB-WASM for Public Planners                           |</w:t>
        <w:br/>
        <w:t>+----------------------------------------------------------------------------------------------------+</w:t>
      </w:r>
    </w:p>
    <w:p>
      <w:pPr>
        <w:spacing w:before="40" w:after="80" w:line="276" w:lineRule="auto"/>
      </w:pPr>
      <w:r>
        <w:rPr>
          <w:color w:val="334155"/>
          <w:sz w:val="19"/>
        </w:rPr>
        <w:t>---</w:t>
      </w:r>
    </w:p>
    <w:p>
      <w:pPr>
        <w:pStyle w:val="Heading3"/>
        <w:keepNext/>
        <w:spacing w:before="160" w:after="40"/>
      </w:pPr>
      <w:r>
        <w:rPr>
          <w:b/>
          <w:color w:val="334155"/>
        </w:rPr>
        <w:t>Lesson 1: Unlocking Lustre Parallel Storage via Partitioned GeoParquet</w:t>
      </w:r>
    </w:p>
    <w:p>
      <w:pPr>
        <w:pStyle w:val="ListBullet"/>
        <w:spacing w:before="20" w:after="40"/>
      </w:pPr>
      <w:r>
        <w:rPr>
          <w:b/>
          <w:color w:val="1E293B"/>
          <w:sz w:val="19"/>
        </w:rPr>
        <w:t>Cloud Experience (AURA):</w:t>
      </w:r>
      <w:r>
        <w:rPr>
          <w:color w:val="334155"/>
          <w:sz w:val="19"/>
        </w:rPr>
        <w:t xml:space="preserve"> Legacy shapefiles and single-file geodatabases created severe I/O bottlenecks in cloud object storage (S3/GCS). Migrating to </w:t>
      </w:r>
      <w:r>
        <w:rPr>
          <w:b/>
          <w:color w:val="1E293B"/>
          <w:sz w:val="19"/>
        </w:rPr>
        <w:t>GeoParquet</w:t>
      </w:r>
      <w:r>
        <w:rPr>
          <w:color w:val="334155"/>
          <w:sz w:val="19"/>
        </w:rPr>
        <w:t xml:space="preserve"> with spatial R-Tree / Hilbert curve partitioning allowed worker nodes to read and process spatial extents independently in parallel without I/O locking.</w:t>
      </w:r>
    </w:p>
    <w:p>
      <w:pPr>
        <w:pStyle w:val="ListBullet"/>
        <w:spacing w:before="20" w:after="40"/>
      </w:pPr>
      <w:r>
        <w:rPr>
          <w:b/>
          <w:color w:val="1E293B"/>
          <w:sz w:val="19"/>
        </w:rPr>
        <w:t>HPC Translation (Waratah Lustre Array):</w:t>
      </w:r>
    </w:p>
    <w:p>
      <w:pPr>
        <w:pStyle w:val="ListBullet"/>
        <w:spacing w:before="20" w:after="40"/>
      </w:pPr>
      <w:r>
        <w:rPr>
          <w:color w:val="334155"/>
          <w:sz w:val="19"/>
        </w:rPr>
        <w:t xml:space="preserve">Waratah HPC's </w:t>
      </w:r>
      <w:r>
        <w:rPr>
          <w:b/>
          <w:color w:val="1E293B"/>
          <w:sz w:val="19"/>
        </w:rPr>
        <w:t>DDN ExaScaler 7990X Lustre filesystem</w:t>
      </w:r>
      <w:r>
        <w:rPr>
          <w:color w:val="334155"/>
          <w:sz w:val="19"/>
        </w:rPr>
        <w:t xml:space="preserve"> is designed for massive concurrent read/write throughput across distributed stripes.</w:t>
      </w:r>
    </w:p>
    <w:p>
      <w:pPr>
        <w:pStyle w:val="ListBullet"/>
        <w:spacing w:before="20" w:after="40"/>
      </w:pPr>
      <w:r>
        <w:rPr>
          <w:color w:val="334155"/>
          <w:sz w:val="19"/>
        </w:rPr>
        <w:t>Storing statewide layers (DCDB parcels, 30m DEM, biodiversity zones) in partitioned GeoParquet allows Spark/Sedona nodes to saturate Lustre striping channels simultaneously.</w:t>
      </w:r>
    </w:p>
    <w:p>
      <w:pPr>
        <w:pStyle w:val="ListBullet"/>
        <w:spacing w:before="20" w:after="40"/>
      </w:pPr>
      <w:r>
        <w:rPr>
          <w:b/>
          <w:color w:val="1E293B"/>
          <w:sz w:val="19"/>
        </w:rPr>
        <w:t>Result:</w:t>
      </w:r>
      <w:r>
        <w:rPr>
          <w:color w:val="334155"/>
          <w:sz w:val="19"/>
        </w:rPr>
        <w:t xml:space="preserve"> Eliminates the I/O choke point when joining 3.5M+ NSW parcels with multi-hazard layers, completing statewide joins in minutes.</w:t>
      </w:r>
    </w:p>
    <w:p>
      <w:pPr>
        <w:spacing w:before="40" w:after="80" w:line="276" w:lineRule="auto"/>
      </w:pPr>
      <w:r>
        <w:rPr>
          <w:color w:val="334155"/>
          <w:sz w:val="19"/>
        </w:rPr>
        <w:t>---</w:t>
      </w:r>
    </w:p>
    <w:p>
      <w:pPr>
        <w:pStyle w:val="Heading3"/>
        <w:keepNext/>
        <w:spacing w:before="160" w:after="40"/>
      </w:pPr>
      <w:r>
        <w:rPr>
          <w:b/>
          <w:color w:val="334155"/>
        </w:rPr>
        <w:t>Lesson 2: Decoupled Heavy Geometry vs. Lightweight Mathematical Scoring</w:t>
      </w:r>
    </w:p>
    <w:p>
      <w:pPr>
        <w:pStyle w:val="ListBullet"/>
        <w:spacing w:before="20" w:after="40"/>
      </w:pPr>
      <w:r>
        <w:rPr>
          <w:b/>
          <w:color w:val="1E293B"/>
          <w:sz w:val="19"/>
        </w:rPr>
        <w:t>Cloud Experience (AURA):</w:t>
      </w:r>
      <w:r>
        <w:rPr>
          <w:color w:val="334155"/>
          <w:sz w:val="19"/>
        </w:rPr>
        <w:t xml:space="preserve"> In early prototypes, adjusting a policy weight (e.g. power grid priority vs. biodiversity buffer weight) re-triggered heavy spatial joins (</w:t>
      </w:r>
      <w:r>
        <w:rPr>
          <w:rFonts w:ascii="Consolas" w:hAnsi="Consolas"/>
          <w:color w:val="0E7490"/>
          <w:sz w:val="17"/>
        </w:rPr>
        <w:t>ST_Buffer</w:t>
      </w:r>
      <w:r>
        <w:rPr>
          <w:color w:val="334155"/>
          <w:sz w:val="19"/>
        </w:rPr>
        <w:t xml:space="preserve">, </w:t>
      </w:r>
      <w:r>
        <w:rPr>
          <w:rFonts w:ascii="Consolas" w:hAnsi="Consolas"/>
          <w:color w:val="0E7490"/>
          <w:sz w:val="17"/>
        </w:rPr>
        <w:t>ST_Difference</w:t>
      </w:r>
      <w:r>
        <w:rPr>
          <w:color w:val="334155"/>
          <w:sz w:val="19"/>
        </w:rPr>
        <w:t xml:space="preserve">, </w:t>
      </w:r>
      <w:r>
        <w:rPr>
          <w:rFonts w:ascii="Consolas" w:hAnsi="Consolas"/>
          <w:color w:val="0E7490"/>
          <w:sz w:val="17"/>
        </w:rPr>
        <w:t>ST_Intersection</w:t>
      </w:r>
      <w:r>
        <w:rPr>
          <w:color w:val="334155"/>
          <w:sz w:val="19"/>
        </w:rPr>
        <w:t xml:space="preserve">), driving up cloud compute costs. By decoupling geometric pre-computations (distance matrices, net developable polygons) from mathematical scoring curves (sigmoidal penalties, weighted MCDA sums), full national runs dropped to </w:t>
      </w:r>
      <w:r>
        <w:rPr>
          <w:b/>
          <w:color w:val="1E293B"/>
          <w:sz w:val="19"/>
        </w:rPr>
        <w:t>$0.69 USD</w:t>
      </w:r>
      <w:r>
        <w:rPr>
          <w:color w:val="334155"/>
          <w:sz w:val="19"/>
        </w:rPr>
        <w:t>.</w:t>
      </w:r>
    </w:p>
    <w:p>
      <w:pPr>
        <w:pStyle w:val="ListBullet"/>
        <w:spacing w:before="20" w:after="40"/>
      </w:pPr>
      <w:r>
        <w:rPr>
          <w:b/>
          <w:color w:val="1E293B"/>
          <w:sz w:val="19"/>
        </w:rPr>
        <w:t>HPC Translation (Waratah Cluster Utilization):</w:t>
      </w:r>
    </w:p>
    <w:p>
      <w:pPr>
        <w:pStyle w:val="ListBullet"/>
        <w:spacing w:before="20" w:after="40"/>
      </w:pPr>
      <w:r>
        <w:rPr>
          <w:color w:val="334155"/>
          <w:sz w:val="19"/>
        </w:rPr>
        <w:t>Policy makers often need to run hundreds of "What-If" scenarios with shifting weightings (e.g., varying flood tolerance, sensitive receptor buffers, or grid distance priorities).</w:t>
      </w:r>
    </w:p>
    <w:p>
      <w:pPr>
        <w:pStyle w:val="ListBullet"/>
        <w:spacing w:before="20" w:after="40"/>
      </w:pPr>
      <w:r>
        <w:rPr>
          <w:color w:val="334155"/>
          <w:sz w:val="19"/>
        </w:rPr>
        <w:t>Pre-computing the geometric distance and topology layer once and caching it on Lustre allows subsequent policy scoring runs to execute as pure mathematical array operations in milliseconds.</w:t>
      </w:r>
    </w:p>
    <w:p>
      <w:pPr>
        <w:pStyle w:val="ListBullet"/>
        <w:spacing w:before="20" w:after="40"/>
      </w:pPr>
      <w:r>
        <w:rPr>
          <w:b/>
          <w:color w:val="1E293B"/>
          <w:sz w:val="19"/>
        </w:rPr>
        <w:t>Result:</w:t>
      </w:r>
      <w:r>
        <w:rPr>
          <w:color w:val="334155"/>
          <w:sz w:val="19"/>
        </w:rPr>
        <w:t xml:space="preserve"> Prevents long cluster queue times and avoids wasting valuable HPC node hours on repetitive geometric recalculations.</w:t>
      </w:r>
    </w:p>
    <w:p>
      <w:pPr>
        <w:spacing w:before="40" w:after="80" w:line="276" w:lineRule="auto"/>
      </w:pPr>
      <w:r>
        <w:rPr>
          <w:color w:val="334155"/>
          <w:sz w:val="19"/>
        </w:rPr>
        <w:t>---</w:t>
      </w:r>
    </w:p>
    <w:p>
      <w:pPr>
        <w:pStyle w:val="Heading3"/>
        <w:keepNext/>
        <w:spacing w:before="160" w:after="40"/>
      </w:pPr>
      <w:r>
        <w:rPr>
          <w:b/>
          <w:color w:val="334155"/>
        </w:rPr>
        <w:t>Lesson 3: Cold-Tier Data Preservation &amp; Memoized Incremental Pipelines</w:t>
      </w:r>
    </w:p>
    <w:p>
      <w:pPr>
        <w:pStyle w:val="ListBullet"/>
        <w:spacing w:before="20" w:after="40"/>
      </w:pPr>
      <w:r>
        <w:rPr>
          <w:b/>
          <w:color w:val="1E293B"/>
          <w:sz w:val="19"/>
        </w:rPr>
        <w:t>Cloud Experience (AURA):</w:t>
      </w:r>
      <w:r>
        <w:rPr>
          <w:color w:val="334155"/>
          <w:sz w:val="19"/>
        </w:rPr>
        <w:t xml:space="preserve"> Large baselines (national topographic grids, geological surveys, baseline census data) rarely change between runs. Cryptographic fingerprinting (ETags, snapshot hashes) ensured untouched layers were skipped, computing only active delta updates.</w:t>
      </w:r>
    </w:p>
    <w:p>
      <w:pPr>
        <w:pStyle w:val="ListBullet"/>
        <w:spacing w:before="20" w:after="40"/>
      </w:pPr>
      <w:r>
        <w:rPr>
          <w:b/>
          <w:color w:val="1E293B"/>
          <w:sz w:val="19"/>
        </w:rPr>
        <w:t>HPC Translation (Spectra Logic T950 Tape Integration):</w:t>
      </w:r>
    </w:p>
    <w:p>
      <w:pPr>
        <w:pStyle w:val="ListBullet"/>
        <w:spacing w:before="20" w:after="40"/>
      </w:pPr>
      <w:r>
        <w:rPr>
          <w:color w:val="334155"/>
          <w:sz w:val="19"/>
        </w:rPr>
        <w:t xml:space="preserve">Waratah HPC uses a </w:t>
      </w:r>
      <w:r>
        <w:rPr>
          <w:b/>
          <w:color w:val="1E293B"/>
          <w:sz w:val="19"/>
        </w:rPr>
        <w:t>Spectra Logic T950 Tape Library</w:t>
      </w:r>
      <w:r>
        <w:rPr>
          <w:color w:val="334155"/>
          <w:sz w:val="19"/>
        </w:rPr>
        <w:t xml:space="preserve"> for long-term preservation of massive multi-decade climate (NARCLiM) and environmental time-series datasets.</w:t>
      </w:r>
    </w:p>
    <w:p>
      <w:pPr>
        <w:pStyle w:val="ListBullet"/>
        <w:spacing w:before="20" w:after="40"/>
      </w:pPr>
      <w:r>
        <w:rPr>
          <w:color w:val="334155"/>
          <w:sz w:val="19"/>
        </w:rPr>
        <w:t>Using partition fingerprinting, the Sedona spatial pipeline can pull active candidate layers to high-speed NVMe/Lustre storage while keeping cold, multi-petabyte reference datasets safely referenced in tape archives.</w:t>
      </w:r>
    </w:p>
    <w:p>
      <w:pPr>
        <w:pStyle w:val="ListBullet"/>
        <w:spacing w:before="20" w:after="40"/>
      </w:pPr>
      <w:r>
        <w:rPr>
          <w:b/>
          <w:color w:val="1E293B"/>
          <w:sz w:val="19"/>
        </w:rPr>
        <w:t>Result:</w:t>
      </w:r>
      <w:r>
        <w:rPr>
          <w:color w:val="334155"/>
          <w:sz w:val="19"/>
        </w:rPr>
        <w:t xml:space="preserve"> Minimizes active primary storage consumption while guaranteeing 100% reproducible baseline provenance.</w:t>
      </w:r>
    </w:p>
    <w:p>
      <w:pPr>
        <w:spacing w:before="40" w:after="80" w:line="276" w:lineRule="auto"/>
      </w:pPr>
      <w:r>
        <w:rPr>
          <w:color w:val="334155"/>
          <w:sz w:val="19"/>
        </w:rPr>
        <w:t>---</w:t>
      </w:r>
    </w:p>
    <w:p>
      <w:pPr>
        <w:pStyle w:val="Heading3"/>
        <w:keepNext/>
        <w:spacing w:before="160" w:after="40"/>
      </w:pPr>
      <w:r>
        <w:rPr>
          <w:b/>
          <w:color w:val="334155"/>
        </w:rPr>
        <w:t>Lesson 4: Standardized Multi-Hazard &amp; Circular Physical Engineering</w:t>
      </w:r>
    </w:p>
    <w:p>
      <w:pPr>
        <w:pStyle w:val="ListBullet"/>
        <w:spacing w:before="20" w:after="40"/>
      </w:pPr>
      <w:r>
        <w:rPr>
          <w:b/>
          <w:color w:val="1E293B"/>
          <w:sz w:val="19"/>
        </w:rPr>
        <w:t>Cloud Experience (AURA):</w:t>
      </w:r>
      <w:r>
        <w:rPr>
          <w:color w:val="334155"/>
          <w:sz w:val="19"/>
        </w:rPr>
        <w:t xml:space="preserve"> Integrated statutory Australian standards into programmatic Python/SQL formulas rather than subjective manual GIS overlays:</w:t>
      </w:r>
    </w:p>
    <w:p>
      <w:pPr>
        <w:pStyle w:val="ListNumber"/>
        <w:spacing w:before="20" w:after="40"/>
      </w:pPr>
      <w:r>
        <w:rPr>
          <w:b/>
          <w:color w:val="1E293B"/>
          <w:sz w:val="19"/>
        </w:rPr>
        <w:t>Flood:</w:t>
      </w:r>
      <w:r>
        <w:rPr>
          <w:color w:val="334155"/>
          <w:sz w:val="19"/>
        </w:rPr>
        <w:t xml:space="preserve"> ARR 2019 / 1% AEP inundation exclusion.</w:t>
      </w:r>
    </w:p>
    <w:p>
      <w:pPr>
        <w:pStyle w:val="ListNumber"/>
        <w:spacing w:before="20" w:after="40"/>
      </w:pPr>
      <w:r>
        <w:rPr>
          <w:b/>
          <w:color w:val="1E293B"/>
          <w:sz w:val="19"/>
        </w:rPr>
        <w:t>Bushfire:</w:t>
      </w:r>
      <w:r>
        <w:rPr>
          <w:color w:val="334155"/>
          <w:sz w:val="19"/>
        </w:rPr>
        <w:t xml:space="preserve"> AS 3959:2018 BAL (Bushfire Attack Level) &amp; PBF 2019 setbacks.</w:t>
      </w:r>
    </w:p>
    <w:p>
      <w:pPr>
        <w:pStyle w:val="ListNumber"/>
        <w:spacing w:before="20" w:after="40"/>
      </w:pPr>
      <w:r>
        <w:rPr>
          <w:b/>
          <w:color w:val="1E293B"/>
          <w:sz w:val="19"/>
        </w:rPr>
        <w:t>Landslide:</w:t>
      </w:r>
      <w:r>
        <w:rPr>
          <w:color w:val="334155"/>
          <w:sz w:val="19"/>
        </w:rPr>
        <w:t xml:space="preserve"> AGS 2007 slope susceptibility modeling ($&gt;8.0\%$ exclusion).</w:t>
      </w:r>
    </w:p>
    <w:p>
      <w:pPr>
        <w:pStyle w:val="ListNumber"/>
        <w:spacing w:before="20" w:after="40"/>
      </w:pPr>
      <w:r>
        <w:rPr>
          <w:b/>
          <w:color w:val="1E293B"/>
          <w:sz w:val="19"/>
        </w:rPr>
        <w:t>Seismic:</w:t>
      </w:r>
      <w:r>
        <w:rPr>
          <w:color w:val="334155"/>
          <w:sz w:val="19"/>
        </w:rPr>
        <w:t xml:space="preserve"> AS 1170.4:2007 (R2018) PGA structural hazard baselines.</w:t>
      </w:r>
    </w:p>
    <w:p>
      <w:pPr>
        <w:pStyle w:val="ListNumber"/>
        <w:spacing w:before="20" w:after="40"/>
      </w:pPr>
      <w:r>
        <w:rPr>
          <w:b/>
          <w:color w:val="1E293B"/>
          <w:sz w:val="19"/>
        </w:rPr>
        <w:t>Wind:</w:t>
      </w:r>
      <w:r>
        <w:rPr>
          <w:color w:val="334155"/>
          <w:sz w:val="19"/>
        </w:rPr>
        <w:t xml:space="preserve"> AS/NZS 1170.2:2021 regional wind design speeds ($45\text{–}69\text{m/s}$).</w:t>
      </w:r>
    </w:p>
    <w:p>
      <w:pPr>
        <w:pStyle w:val="ListNumber"/>
        <w:spacing w:before="20" w:after="40"/>
      </w:pPr>
      <w:r>
        <w:rPr>
          <w:b/>
          <w:color w:val="1E293B"/>
          <w:sz w:val="19"/>
        </w:rPr>
        <w:t>Thermodynamic Decay &amp; Pumped Hydro:</w:t>
      </w:r>
      <w:r>
        <w:rPr>
          <w:color w:val="334155"/>
          <w:sz w:val="19"/>
        </w:rPr>
        <w:t xml:space="preserve"> Spatial heat loss modeling ($T_{\text{delivery}} \le 38.5^\circ\text{C}$ within $\le 506.8\text{m}$) and void storage capacity ($E = \rho g H V \eta$).</w:t>
      </w:r>
    </w:p>
    <w:p>
      <w:pPr>
        <w:pStyle w:val="ListBullet"/>
        <w:spacing w:before="20" w:after="40"/>
      </w:pPr>
      <w:r>
        <w:rPr>
          <w:b/>
          <w:color w:val="1E293B"/>
          <w:sz w:val="19"/>
        </w:rPr>
        <w:t>HPC Translation (DCCEEW Scientific Portfolios):</w:t>
      </w:r>
    </w:p>
    <w:p>
      <w:pPr>
        <w:pStyle w:val="ListBullet"/>
        <w:spacing w:before="20" w:after="40"/>
      </w:pPr>
      <w:r>
        <w:rPr>
          <w:color w:val="334155"/>
          <w:sz w:val="19"/>
        </w:rPr>
        <w:t>These validated, peer-reviewed formula implementations can be deployed as standard batch modules across DCCEEW portfolios (EnergyCo Renewable Energy Zones, DPHI Growth Areas, WaterNSW catchments).</w:t>
      </w:r>
    </w:p>
    <w:p>
      <w:pPr>
        <w:pStyle w:val="ListBullet"/>
        <w:spacing w:before="20" w:after="40"/>
      </w:pPr>
      <w:r>
        <w:rPr>
          <w:b/>
          <w:color w:val="1E293B"/>
          <w:sz w:val="19"/>
        </w:rPr>
        <w:t>Result:</w:t>
      </w:r>
      <w:r>
        <w:rPr>
          <w:color w:val="334155"/>
          <w:sz w:val="19"/>
        </w:rPr>
        <w:t xml:space="preserve"> Ensures legal and statutory defensibility across state planning assessments.</w:t>
      </w:r>
    </w:p>
    <w:p>
      <w:pPr>
        <w:spacing w:before="40" w:after="80" w:line="276" w:lineRule="auto"/>
      </w:pPr>
      <w:r>
        <w:rPr>
          <w:color w:val="334155"/>
          <w:sz w:val="19"/>
        </w:rPr>
        <w:t>---</w:t>
      </w:r>
    </w:p>
    <w:p>
      <w:pPr>
        <w:pStyle w:val="Heading3"/>
        <w:keepNext/>
        <w:spacing w:before="160" w:after="40"/>
      </w:pPr>
      <w:r>
        <w:rPr>
          <w:b/>
          <w:color w:val="334155"/>
        </w:rPr>
        <w:t>Lesson 5: Zero-Cost Client-Side Scenario Modeling for Planners</w:t>
      </w:r>
    </w:p>
    <w:p>
      <w:pPr>
        <w:pStyle w:val="ListBullet"/>
        <w:spacing w:before="20" w:after="40"/>
      </w:pPr>
      <w:r>
        <w:rPr>
          <w:b/>
          <w:color w:val="1E293B"/>
          <w:sz w:val="19"/>
        </w:rPr>
        <w:t>Cloud Experience (AURA):</w:t>
      </w:r>
      <w:r>
        <w:rPr>
          <w:color w:val="334155"/>
          <w:sz w:val="19"/>
        </w:rPr>
        <w:t xml:space="preserve"> Rather than standing up expensive, always-on spatial servers (GeoServer, ArcGIS Enterprise servers) to handle user queries, AURA exports lightweight spatial tables into client-side </w:t>
      </w:r>
      <w:r>
        <w:rPr>
          <w:b/>
          <w:color w:val="1E293B"/>
          <w:sz w:val="19"/>
        </w:rPr>
        <w:t>DuckDB-WASM and JavaScript</w:t>
      </w:r>
      <w:r>
        <w:rPr>
          <w:color w:val="334155"/>
          <w:sz w:val="19"/>
        </w:rPr>
        <w:t>. Users can dynamically drag weight sliders, apply hazard thresholds, and filter sites directly in the browser with sub-second response times.</w:t>
      </w:r>
    </w:p>
    <w:p>
      <w:pPr>
        <w:pStyle w:val="ListBullet"/>
        <w:spacing w:before="20" w:after="40"/>
      </w:pPr>
      <w:r>
        <w:rPr>
          <w:b/>
          <w:color w:val="1E293B"/>
          <w:sz w:val="19"/>
        </w:rPr>
        <w:t>HPC Translation (Protecting Government Infrastructure):</w:t>
      </w:r>
    </w:p>
    <w:p>
      <w:pPr>
        <w:pStyle w:val="ListBullet"/>
        <w:spacing w:before="20" w:after="40"/>
      </w:pPr>
      <w:r>
        <w:rPr>
          <w:color w:val="334155"/>
          <w:sz w:val="19"/>
        </w:rPr>
        <w:t>Government supercomputers (like Waratah HPC) should never be directly exposed to public interactive web traffic or burdened with serving live interactive maps.</w:t>
      </w:r>
    </w:p>
    <w:p>
      <w:pPr>
        <w:pStyle w:val="ListBullet"/>
        <w:spacing w:before="20" w:after="40"/>
      </w:pPr>
      <w:r>
        <w:rPr>
          <w:color w:val="334155"/>
          <w:sz w:val="19"/>
        </w:rPr>
        <w:t>HPC clusters can run heavy overnight distributed batch jobs, export optimized GeoParquet artifacts, and serve interactive decision dashboards via static client-side WASM portals.</w:t>
      </w:r>
    </w:p>
    <w:p>
      <w:pPr>
        <w:pStyle w:val="ListBullet"/>
        <w:spacing w:before="20" w:after="40"/>
      </w:pPr>
      <w:r>
        <w:rPr>
          <w:b/>
          <w:color w:val="1E293B"/>
          <w:sz w:val="19"/>
        </w:rPr>
        <w:t>Result:</w:t>
      </w:r>
      <w:r>
        <w:rPr>
          <w:color w:val="334155"/>
          <w:sz w:val="19"/>
        </w:rPr>
        <w:t xml:space="preserve"> Delivers sub-second interactive tools to regional council planners and executive stakeholders with zero web-tier server costs and complete cybersecurity isolation for the internal HPC cluster.</w:t>
      </w:r>
    </w:p>
    <w:p>
      <w:pPr>
        <w:spacing w:before="40" w:after="80" w:line="276" w:lineRule="auto"/>
      </w:pPr>
      <w:r>
        <w:rPr>
          <w:color w:val="334155"/>
          <w:sz w:val="19"/>
        </w:rPr>
        <w:t>---</w:t>
      </w:r>
    </w:p>
    <w:p>
      <w:pPr>
        <w:pStyle w:val="Heading2"/>
        <w:keepNext/>
        <w:spacing w:before="240" w:after="80"/>
      </w:pPr>
      <w:r>
        <w:rPr>
          <w:b/>
          <w:color w:val="0284C7"/>
        </w:rPr>
        <w:t>Domain Capabilities: Applying AURA Lessons Across NSW Portfolios</w:t>
      </w:r>
    </w:p>
    <w:p>
      <w:pPr>
        <w:spacing w:before="80" w:after="120"/>
        <w:ind w:left="360"/>
      </w:pPr>
      <w:r>
        <w:rPr>
          <w:rFonts w:ascii="Consolas" w:hAnsi="Consolas"/>
          <w:color w:val="0F172A"/>
          <w:sz w:val="17"/>
        </w:rPr>
        <w:t>+-----------------------+           +-----------------------+           +-----------------------+</w:t>
        <w:br/>
        <w:t>|  PLANNING &amp; HOUSING   |           |      ENVIRONMENT      |           |     LAND ADMIN &amp;      |</w:t>
        <w:br/>
        <w:t>|     (DPHI &amp; REZs)     |           |    &amp; MULTI-HAZARDS    |           |   SPATIAL SERVICES    |</w:t>
        <w:br/>
        <w:t>| • Net Developable Pad |           | • ARR 2019 Flood 1%   |           | • 3.5M+ DCDB Parcels  |</w:t>
        <w:br/>
        <w:t>| • Statutory Setbacks  |           | • AS 3959 Bushfire    |           | • GDA2020 EPSG:7856   |</w:t>
        <w:br/>
        <w:t>| • Proponent Claim QA  |           | • AGS 2007 Landslide  |           | • Spatial Digital Twin|</w:t>
        <w:br/>
        <w:t>| • 6-Factor MCDA Engine|           | • AS 1170.4 Seismic   |           | • Zero-Copy GeoParquet|</w:t>
        <w:br/>
        <w:t>+-----------------------+           +-----------------------+           +-----------------------+</w:t>
      </w:r>
    </w:p>
    <w:p>
      <w:pPr>
        <w:pStyle w:val="Heading3"/>
        <w:keepNext/>
        <w:spacing w:before="160" w:after="40"/>
      </w:pPr>
      <w:r>
        <w:rPr>
          <w:b/>
          <w:color w:val="334155"/>
        </w:rPr>
        <w:t>1. Planning &amp; Precinct Transformation (DPHI &amp; EnergyCo)</w:t>
      </w:r>
    </w:p>
    <w:p>
      <w:pPr>
        <w:pStyle w:val="ListBullet"/>
        <w:spacing w:before="20" w:after="40"/>
      </w:pPr>
      <w:r>
        <w:rPr>
          <w:b/>
          <w:color w:val="1E293B"/>
          <w:sz w:val="19"/>
        </w:rPr>
        <w:t>Automated Net Developable Area (NDA):</w:t>
      </w:r>
      <w:r>
        <w:rPr>
          <w:color w:val="334155"/>
          <w:sz w:val="19"/>
        </w:rPr>
        <w:t xml:space="preserve"> Automates topological subtraction of riparian (30m), pipeline (20m), slope (&gt;5%), and infrastructure easements across massive masterplans (e.g. Hunter Transformation, Western Sydney Aerotropolis). For the Macquarie Coal Complex, this verified that a 65.0 ha gross boundary yielded 44.5 ha net developable pad space.</w:t>
      </w:r>
    </w:p>
    <w:p>
      <w:pPr>
        <w:pStyle w:val="ListBullet"/>
        <w:spacing w:before="20" w:after="40"/>
      </w:pPr>
      <w:r>
        <w:rPr>
          <w:b/>
          <w:color w:val="1E293B"/>
          <w:sz w:val="19"/>
        </w:rPr>
        <w:t>Proponent Claim QA:</w:t>
      </w:r>
      <w:r>
        <w:rPr>
          <w:color w:val="334155"/>
          <w:sz w:val="19"/>
        </w:rPr>
        <w:t xml:space="preserve"> Audits developer planning submissions against ground-truth state spatial layers using automated topological path calculations.</w:t>
      </w:r>
    </w:p>
    <w:p>
      <w:pPr>
        <w:pStyle w:val="Heading3"/>
        <w:keepNext/>
        <w:spacing w:before="160" w:after="40"/>
      </w:pPr>
      <w:r>
        <w:rPr>
          <w:b/>
          <w:color w:val="334155"/>
        </w:rPr>
        <w:t>2. Environment, Climate &amp; Energy (NSW DCCEEW)</w:t>
      </w:r>
    </w:p>
    <w:p>
      <w:pPr>
        <w:pStyle w:val="ListBullet"/>
        <w:spacing w:before="20" w:after="40"/>
      </w:pPr>
      <w:r>
        <w:rPr>
          <w:b/>
          <w:color w:val="1E293B"/>
          <w:sz w:val="19"/>
        </w:rPr>
        <w:t>Statewide Multi-Hazard Assessment:</w:t>
      </w:r>
      <w:r>
        <w:rPr>
          <w:color w:val="334155"/>
          <w:sz w:val="19"/>
        </w:rPr>
        <w:t xml:space="preserve"> Executes ARR 2019, AS 1170, and AS 3959 evaluations across every parcel in NSW.</w:t>
      </w:r>
    </w:p>
    <w:p>
      <w:pPr>
        <w:pStyle w:val="ListBullet"/>
        <w:spacing w:before="20" w:after="40"/>
      </w:pPr>
      <w:r>
        <w:rPr>
          <w:b/>
          <w:color w:val="1E293B"/>
          <w:sz w:val="19"/>
        </w:rPr>
        <w:t>Clean Energy &amp; REZ Siting:</w:t>
      </w:r>
      <w:r>
        <w:rPr>
          <w:color w:val="334155"/>
          <w:sz w:val="19"/>
        </w:rPr>
        <w:t xml:space="preserve"> Evaluates proximity to 132kV/275kV/330kV transmission lines, substations, and recycled water treatment plants (WWTW).</w:t>
      </w:r>
    </w:p>
    <w:p>
      <w:pPr>
        <w:pStyle w:val="ListBullet"/>
        <w:spacing w:before="20" w:after="40"/>
      </w:pPr>
      <w:r>
        <w:rPr>
          <w:b/>
          <w:color w:val="1E293B"/>
          <w:sz w:val="19"/>
        </w:rPr>
        <w:t>Circular Industrial Symbiosis:</w:t>
      </w:r>
      <w:r>
        <w:rPr>
          <w:color w:val="334155"/>
          <w:sz w:val="19"/>
        </w:rPr>
        <w:t xml:space="preserve"> Models thermodynamic effluent cooling and mine void micro-pumped hydro potential.</w:t>
      </w:r>
    </w:p>
    <w:p>
      <w:pPr>
        <w:pStyle w:val="Heading3"/>
        <w:keepNext/>
        <w:spacing w:before="160" w:after="40"/>
      </w:pPr>
      <w:r>
        <w:rPr>
          <w:b/>
          <w:color w:val="334155"/>
        </w:rPr>
        <w:t>3. Cadastre &amp; Land Administration (Spatial Services NSW)</w:t>
      </w:r>
    </w:p>
    <w:p>
      <w:pPr>
        <w:pStyle w:val="ListBullet"/>
        <w:spacing w:before="20" w:after="40"/>
      </w:pPr>
      <w:r>
        <w:rPr>
          <w:b/>
          <w:color w:val="1E293B"/>
          <w:sz w:val="19"/>
        </w:rPr>
        <w:t>DCDB Spatial Enrichment:</w:t>
      </w:r>
      <w:r>
        <w:rPr>
          <w:color w:val="334155"/>
          <w:sz w:val="19"/>
        </w:rPr>
        <w:t xml:space="preserve"> Enriches 3.5M+ land parcels with zoning, hazard ratings, and proximity metrics without memory bottlenecks.</w:t>
      </w:r>
    </w:p>
    <w:p>
      <w:pPr>
        <w:pStyle w:val="ListBullet"/>
        <w:spacing w:before="20" w:after="40"/>
      </w:pPr>
      <w:r>
        <w:rPr>
          <w:b/>
          <w:color w:val="1E293B"/>
          <w:sz w:val="19"/>
        </w:rPr>
        <w:t>GDA2020 Compliance:</w:t>
      </w:r>
      <w:r>
        <w:rPr>
          <w:color w:val="334155"/>
          <w:sz w:val="19"/>
        </w:rPr>
        <w:t xml:space="preserve"> Enforces automated reprojection and geometry validation across EPSG:7856 (MGA 56 metric engineering) and EPSG:7844 / EPSG:4326.</w:t>
      </w:r>
    </w:p>
    <w:p>
      <w:pPr>
        <w:spacing w:before="40" w:after="80" w:line="276" w:lineRule="auto"/>
      </w:pPr>
      <w:r>
        <w:rPr>
          <w:color w:val="334155"/>
          <w:sz w:val="19"/>
        </w:rPr>
        <w:t>---</w:t>
      </w:r>
    </w:p>
    <w:p>
      <w:pPr>
        <w:pStyle w:val="Heading2"/>
        <w:keepNext/>
        <w:spacing w:before="240" w:after="80"/>
      </w:pPr>
      <w:r>
        <w:rPr>
          <w:b/>
          <w:color w:val="0284C7"/>
        </w:rPr>
        <w:t>Feature Comparison: Traditional Desktop GIS vs. Cloud/HPC Modern Architecture</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60" w:type="dxa"/>
              <w:bottom w:w="60" w:type="dxa"/>
              <w:left w:w="100" w:type="dxa"/>
              <w:right w:w="100" w:type="dxa"/>
            </w:tcMar>
            <w:shd w:fill="0F172A"/>
          </w:tcPr>
          <w:p>
            <w:pPr>
              <w:spacing w:before="40" w:after="40"/>
            </w:pPr>
            <w:r>
              <w:rPr>
                <w:b/>
                <w:color w:val="F8FAFC"/>
                <w:sz w:val="18"/>
              </w:rPr>
              <w:t>Feature / Dimension</w:t>
            </w:r>
          </w:p>
        </w:tc>
        <w:tc>
          <w:tcPr>
            <w:tcW w:type="dxa" w:w="2484"/>
            <w:tcMar>
              <w:top w:w="60" w:type="dxa"/>
              <w:bottom w:w="60" w:type="dxa"/>
              <w:left w:w="100" w:type="dxa"/>
              <w:right w:w="100" w:type="dxa"/>
            </w:tcMar>
            <w:shd w:fill="0F172A"/>
          </w:tcPr>
          <w:p>
            <w:pPr>
              <w:spacing w:before="40" w:after="40"/>
            </w:pPr>
            <w:r>
              <w:rPr>
                <w:b/>
                <w:color w:val="F8FAFC"/>
                <w:sz w:val="18"/>
              </w:rPr>
              <w:t>Traditional Desktop GIS (Manual Single-Node)</w:t>
            </w:r>
          </w:p>
        </w:tc>
        <w:tc>
          <w:tcPr>
            <w:tcW w:type="dxa" w:w="2484"/>
            <w:tcMar>
              <w:top w:w="60" w:type="dxa"/>
              <w:bottom w:w="60" w:type="dxa"/>
              <w:left w:w="100" w:type="dxa"/>
              <w:right w:w="100" w:type="dxa"/>
            </w:tcMar>
            <w:shd w:fill="0F172A"/>
          </w:tcPr>
          <w:p>
            <w:pPr>
              <w:spacing w:before="40" w:after="40"/>
            </w:pPr>
            <w:r>
              <w:rPr>
                <w:b/>
                <w:color w:val="F8FAFC"/>
                <w:sz w:val="18"/>
              </w:rPr>
              <w:t>AURA Cloud Architecture (Wherobots / AWS / GCP)</w:t>
            </w:r>
          </w:p>
        </w:tc>
        <w:tc>
          <w:tcPr>
            <w:tcW w:type="dxa" w:w="2484"/>
            <w:tcMar>
              <w:top w:w="60" w:type="dxa"/>
              <w:bottom w:w="60" w:type="dxa"/>
              <w:left w:w="100" w:type="dxa"/>
              <w:right w:w="100" w:type="dxa"/>
            </w:tcMar>
            <w:shd w:fill="0F172A"/>
          </w:tcPr>
          <w:p>
            <w:pPr>
              <w:spacing w:before="40" w:after="40"/>
            </w:pPr>
            <w:r>
              <w:rPr>
                <w:b/>
                <w:color w:val="F8FAFC"/>
                <w:sz w:val="18"/>
              </w:rPr>
              <w:t>Recommended Waratah HPC Adoption Pattern</w:t>
            </w:r>
          </w:p>
        </w:tc>
      </w:tr>
      <w:tr>
        <w:tc>
          <w:tcPr>
            <w:tcW w:type="dxa" w:w="2484"/>
            <w:tcMar>
              <w:top w:w="60" w:type="dxa"/>
              <w:bottom w:w="60" w:type="dxa"/>
              <w:left w:w="100" w:type="dxa"/>
              <w:right w:w="100" w:type="dxa"/>
            </w:tcMar>
            <w:shd w:fill="F8FAFC"/>
          </w:tcPr>
          <w:p>
            <w:pPr>
              <w:spacing w:before="40" w:after="40"/>
            </w:pPr>
            <w:r>
              <w:rPr>
                <w:color w:val="1E293B"/>
                <w:sz w:val="17"/>
              </w:rPr>
              <w:t>**Execution Scale**</w:t>
            </w:r>
          </w:p>
        </w:tc>
        <w:tc>
          <w:tcPr>
            <w:tcW w:type="dxa" w:w="2484"/>
            <w:tcMar>
              <w:top w:w="60" w:type="dxa"/>
              <w:bottom w:w="60" w:type="dxa"/>
              <w:left w:w="100" w:type="dxa"/>
              <w:right w:w="100" w:type="dxa"/>
            </w:tcMar>
            <w:shd w:fill="F8FAFC"/>
          </w:tcPr>
          <w:p>
            <w:pPr>
              <w:spacing w:before="40" w:after="40"/>
            </w:pPr>
            <w:r>
              <w:rPr>
                <w:color w:val="1E293B"/>
                <w:sz w:val="17"/>
              </w:rPr>
              <w:t>Single-threaded; crashes on large polygons</w:t>
            </w:r>
          </w:p>
        </w:tc>
        <w:tc>
          <w:tcPr>
            <w:tcW w:type="dxa" w:w="2484"/>
            <w:tcMar>
              <w:top w:w="60" w:type="dxa"/>
              <w:bottom w:w="60" w:type="dxa"/>
              <w:left w:w="100" w:type="dxa"/>
              <w:right w:w="100" w:type="dxa"/>
            </w:tcMar>
            <w:shd w:fill="F8FAFC"/>
          </w:tcPr>
          <w:p>
            <w:pPr>
              <w:spacing w:before="40" w:after="40"/>
            </w:pPr>
            <w:r>
              <w:rPr>
                <w:color w:val="1E293B"/>
                <w:sz w:val="17"/>
              </w:rPr>
              <w:t>Distributed multi-node (Apache Sedona PySpark)</w:t>
            </w:r>
          </w:p>
        </w:tc>
        <w:tc>
          <w:tcPr>
            <w:tcW w:type="dxa" w:w="2484"/>
            <w:tcMar>
              <w:top w:w="60" w:type="dxa"/>
              <w:bottom w:w="60" w:type="dxa"/>
              <w:left w:w="100" w:type="dxa"/>
              <w:right w:w="100" w:type="dxa"/>
            </w:tcMar>
            <w:shd w:fill="F8FAFC"/>
          </w:tcPr>
          <w:p>
            <w:pPr>
              <w:spacing w:before="40" w:after="40"/>
            </w:pPr>
            <w:r>
              <w:rPr>
                <w:color w:val="1E293B"/>
                <w:sz w:val="17"/>
              </w:rPr>
              <w:t>Distributed Sedona on Waratah HPC compute nodes</w:t>
            </w:r>
          </w:p>
        </w:tc>
      </w:tr>
      <w:tr>
        <w:tc>
          <w:tcPr>
            <w:tcW w:type="dxa" w:w="2484"/>
            <w:tcMar>
              <w:top w:w="60" w:type="dxa"/>
              <w:bottom w:w="60" w:type="dxa"/>
              <w:left w:w="100" w:type="dxa"/>
              <w:right w:w="100" w:type="dxa"/>
            </w:tcMar>
            <w:shd w:fill="FFFFFF"/>
          </w:tcPr>
          <w:p>
            <w:pPr>
              <w:spacing w:before="40" w:after="40"/>
            </w:pPr>
            <w:r>
              <w:rPr>
                <w:color w:val="1E293B"/>
                <w:sz w:val="17"/>
              </w:rPr>
              <w:t>**Storage Subsystem**</w:t>
            </w:r>
          </w:p>
        </w:tc>
        <w:tc>
          <w:tcPr>
            <w:tcW w:type="dxa" w:w="2484"/>
            <w:tcMar>
              <w:top w:w="60" w:type="dxa"/>
              <w:bottom w:w="60" w:type="dxa"/>
              <w:left w:w="100" w:type="dxa"/>
              <w:right w:w="100" w:type="dxa"/>
            </w:tcMar>
            <w:shd w:fill="FFFFFF"/>
          </w:tcPr>
          <w:p>
            <w:pPr>
              <w:spacing w:before="40" w:after="40"/>
            </w:pPr>
            <w:r>
              <w:rPr>
                <w:color w:val="1E293B"/>
                <w:sz w:val="17"/>
              </w:rPr>
              <w:t>Local C: drives / SMB network shares</w:t>
            </w:r>
          </w:p>
        </w:tc>
        <w:tc>
          <w:tcPr>
            <w:tcW w:type="dxa" w:w="2484"/>
            <w:tcMar>
              <w:top w:w="60" w:type="dxa"/>
              <w:bottom w:w="60" w:type="dxa"/>
              <w:left w:w="100" w:type="dxa"/>
              <w:right w:w="100" w:type="dxa"/>
            </w:tcMar>
            <w:shd w:fill="FFFFFF"/>
          </w:tcPr>
          <w:p>
            <w:pPr>
              <w:spacing w:before="40" w:after="40"/>
            </w:pPr>
            <w:r>
              <w:rPr>
                <w:color w:val="1E293B"/>
                <w:sz w:val="17"/>
              </w:rPr>
              <w:t>Cloud object storage (S3 / GCS / Iceberg)</w:t>
            </w:r>
          </w:p>
        </w:tc>
        <w:tc>
          <w:tcPr>
            <w:tcW w:type="dxa" w:w="2484"/>
            <w:tcMar>
              <w:top w:w="60" w:type="dxa"/>
              <w:bottom w:w="60" w:type="dxa"/>
              <w:left w:w="100" w:type="dxa"/>
              <w:right w:w="100" w:type="dxa"/>
            </w:tcMar>
            <w:shd w:fill="FFFFFF"/>
          </w:tcPr>
          <w:p>
            <w:pPr>
              <w:spacing w:before="40" w:after="40"/>
            </w:pPr>
            <w:r>
              <w:rPr>
                <w:color w:val="1E293B"/>
                <w:sz w:val="17"/>
              </w:rPr>
              <w:t>**DDN ExaScaler 7990X Lustre Parallel Array**</w:t>
            </w:r>
          </w:p>
        </w:tc>
      </w:tr>
      <w:tr>
        <w:tc>
          <w:tcPr>
            <w:tcW w:type="dxa" w:w="2484"/>
            <w:tcMar>
              <w:top w:w="60" w:type="dxa"/>
              <w:bottom w:w="60" w:type="dxa"/>
              <w:left w:w="100" w:type="dxa"/>
              <w:right w:w="100" w:type="dxa"/>
            </w:tcMar>
            <w:shd w:fill="F8FAFC"/>
          </w:tcPr>
          <w:p>
            <w:pPr>
              <w:spacing w:before="40" w:after="40"/>
            </w:pPr>
            <w:r>
              <w:rPr>
                <w:color w:val="1E293B"/>
                <w:sz w:val="17"/>
              </w:rPr>
              <w:t>**Cold Data Strategy**</w:t>
            </w:r>
          </w:p>
        </w:tc>
        <w:tc>
          <w:tcPr>
            <w:tcW w:type="dxa" w:w="2484"/>
            <w:tcMar>
              <w:top w:w="60" w:type="dxa"/>
              <w:bottom w:w="60" w:type="dxa"/>
              <w:left w:w="100" w:type="dxa"/>
              <w:right w:w="100" w:type="dxa"/>
            </w:tcMar>
            <w:shd w:fill="F8FAFC"/>
          </w:tcPr>
          <w:p>
            <w:pPr>
              <w:spacing w:before="40" w:after="40"/>
            </w:pPr>
            <w:r>
              <w:rPr>
                <w:color w:val="1E293B"/>
                <w:sz w:val="17"/>
              </w:rPr>
              <w:t>Manual archiving to detached drives</w:t>
            </w:r>
          </w:p>
        </w:tc>
        <w:tc>
          <w:tcPr>
            <w:tcW w:type="dxa" w:w="2484"/>
            <w:tcMar>
              <w:top w:w="60" w:type="dxa"/>
              <w:bottom w:w="60" w:type="dxa"/>
              <w:left w:w="100" w:type="dxa"/>
              <w:right w:w="100" w:type="dxa"/>
            </w:tcMar>
            <w:shd w:fill="F8FAFC"/>
          </w:tcPr>
          <w:p>
            <w:pPr>
              <w:spacing w:before="40" w:after="40"/>
            </w:pPr>
            <w:r>
              <w:rPr>
                <w:color w:val="1E293B"/>
                <w:sz w:val="17"/>
              </w:rPr>
              <w:t>Cloud lifecycle tiering &amp; snapshot hashing</w:t>
            </w:r>
          </w:p>
        </w:tc>
        <w:tc>
          <w:tcPr>
            <w:tcW w:type="dxa" w:w="2484"/>
            <w:tcMar>
              <w:top w:w="60" w:type="dxa"/>
              <w:bottom w:w="60" w:type="dxa"/>
              <w:left w:w="100" w:type="dxa"/>
              <w:right w:w="100" w:type="dxa"/>
            </w:tcMar>
            <w:shd w:fill="F8FAFC"/>
          </w:tcPr>
          <w:p>
            <w:pPr>
              <w:spacing w:before="40" w:after="40"/>
            </w:pPr>
            <w:r>
              <w:rPr>
                <w:color w:val="1E293B"/>
                <w:sz w:val="17"/>
              </w:rPr>
              <w:t>**Spectra Logic T950 Tape Library integration**</w:t>
            </w:r>
          </w:p>
        </w:tc>
      </w:tr>
      <w:tr>
        <w:tc>
          <w:tcPr>
            <w:tcW w:type="dxa" w:w="2484"/>
            <w:tcMar>
              <w:top w:w="60" w:type="dxa"/>
              <w:bottom w:w="60" w:type="dxa"/>
              <w:left w:w="100" w:type="dxa"/>
              <w:right w:w="100" w:type="dxa"/>
            </w:tcMar>
            <w:shd w:fill="FFFFFF"/>
          </w:tcPr>
          <w:p>
            <w:pPr>
              <w:spacing w:before="40" w:after="40"/>
            </w:pPr>
            <w:r>
              <w:rPr>
                <w:color w:val="1E293B"/>
                <w:sz w:val="17"/>
              </w:rPr>
              <w:t>**Multi-Hazard Model**</w:t>
            </w:r>
          </w:p>
        </w:tc>
        <w:tc>
          <w:tcPr>
            <w:tcW w:type="dxa" w:w="2484"/>
            <w:tcMar>
              <w:top w:w="60" w:type="dxa"/>
              <w:bottom w:w="60" w:type="dxa"/>
              <w:left w:w="100" w:type="dxa"/>
              <w:right w:w="100" w:type="dxa"/>
            </w:tcMar>
            <w:shd w:fill="FFFFFF"/>
          </w:tcPr>
          <w:p>
            <w:pPr>
              <w:spacing w:before="40" w:after="40"/>
            </w:pPr>
            <w:r>
              <w:rPr>
                <w:color w:val="1E293B"/>
                <w:sz w:val="17"/>
              </w:rPr>
              <w:t>Ad-hoc manual layer reclassifications</w:t>
            </w:r>
          </w:p>
        </w:tc>
        <w:tc>
          <w:tcPr>
            <w:tcW w:type="dxa" w:w="2484"/>
            <w:tcMar>
              <w:top w:w="60" w:type="dxa"/>
              <w:bottom w:w="60" w:type="dxa"/>
              <w:left w:w="100" w:type="dxa"/>
              <w:right w:w="100" w:type="dxa"/>
            </w:tcMar>
            <w:shd w:fill="FFFFFF"/>
          </w:tcPr>
          <w:p>
            <w:pPr>
              <w:spacing w:before="40" w:after="40"/>
            </w:pPr>
            <w:r>
              <w:rPr>
                <w:color w:val="1E293B"/>
                <w:sz w:val="17"/>
              </w:rPr>
              <w:t>Statutory AS/NZS &amp; ARR 2019 formula engine</w:t>
            </w:r>
          </w:p>
        </w:tc>
        <w:tc>
          <w:tcPr>
            <w:tcW w:type="dxa" w:w="2484"/>
            <w:tcMar>
              <w:top w:w="60" w:type="dxa"/>
              <w:bottom w:w="60" w:type="dxa"/>
              <w:left w:w="100" w:type="dxa"/>
              <w:right w:w="100" w:type="dxa"/>
            </w:tcMar>
            <w:shd w:fill="FFFFFF"/>
          </w:tcPr>
          <w:p>
            <w:pPr>
              <w:spacing w:before="40" w:after="40"/>
            </w:pPr>
            <w:r>
              <w:rPr>
                <w:color w:val="1E293B"/>
                <w:sz w:val="17"/>
              </w:rPr>
              <w:t>Standardized state-wide automated hazard scoring</w:t>
            </w:r>
          </w:p>
        </w:tc>
      </w:tr>
      <w:tr>
        <w:tc>
          <w:tcPr>
            <w:tcW w:type="dxa" w:w="2484"/>
            <w:tcMar>
              <w:top w:w="60" w:type="dxa"/>
              <w:bottom w:w="60" w:type="dxa"/>
              <w:left w:w="100" w:type="dxa"/>
              <w:right w:w="100" w:type="dxa"/>
            </w:tcMar>
            <w:shd w:fill="F8FAFC"/>
          </w:tcPr>
          <w:p>
            <w:pPr>
              <w:spacing w:before="40" w:after="40"/>
            </w:pPr>
            <w:r>
              <w:rPr>
                <w:color w:val="1E293B"/>
                <w:sz w:val="17"/>
              </w:rPr>
              <w:t>**Interactive UX**</w:t>
            </w:r>
          </w:p>
        </w:tc>
        <w:tc>
          <w:tcPr>
            <w:tcW w:type="dxa" w:w="2484"/>
            <w:tcMar>
              <w:top w:w="60" w:type="dxa"/>
              <w:bottom w:w="60" w:type="dxa"/>
              <w:left w:w="100" w:type="dxa"/>
              <w:right w:w="100" w:type="dxa"/>
            </w:tcMar>
            <w:shd w:fill="F8FAFC"/>
          </w:tcPr>
          <w:p>
            <w:pPr>
              <w:spacing w:before="40" w:after="40"/>
            </w:pPr>
            <w:r>
              <w:rPr>
                <w:color w:val="1E293B"/>
                <w:sz w:val="17"/>
              </w:rPr>
              <w:t>Requires desktop GIS software install</w:t>
            </w:r>
          </w:p>
        </w:tc>
        <w:tc>
          <w:tcPr>
            <w:tcW w:type="dxa" w:w="2484"/>
            <w:tcMar>
              <w:top w:w="60" w:type="dxa"/>
              <w:bottom w:w="60" w:type="dxa"/>
              <w:left w:w="100" w:type="dxa"/>
              <w:right w:w="100" w:type="dxa"/>
            </w:tcMar>
            <w:shd w:fill="F8FAFC"/>
          </w:tcPr>
          <w:p>
            <w:pPr>
              <w:spacing w:before="40" w:after="40"/>
            </w:pPr>
            <w:r>
              <w:rPr>
                <w:color w:val="1E293B"/>
                <w:sz w:val="17"/>
              </w:rPr>
              <w:t>Zero-cost client-side **DuckDB-WASM**</w:t>
            </w:r>
          </w:p>
        </w:tc>
        <w:tc>
          <w:tcPr>
            <w:tcW w:type="dxa" w:w="2484"/>
            <w:tcMar>
              <w:top w:w="60" w:type="dxa"/>
              <w:bottom w:w="60" w:type="dxa"/>
              <w:left w:w="100" w:type="dxa"/>
              <w:right w:w="100" w:type="dxa"/>
            </w:tcMar>
            <w:shd w:fill="F8FAFC"/>
          </w:tcPr>
          <w:p>
            <w:pPr>
              <w:spacing w:before="40" w:after="40"/>
            </w:pPr>
            <w:r>
              <w:rPr>
                <w:color w:val="1E293B"/>
                <w:sz w:val="17"/>
              </w:rPr>
              <w:t>Static WASM web portals (air-gapped from HPC)</w:t>
            </w:r>
          </w:p>
        </w:tc>
      </w:tr>
      <w:tr>
        <w:tc>
          <w:tcPr>
            <w:tcW w:type="dxa" w:w="2484"/>
            <w:tcMar>
              <w:top w:w="60" w:type="dxa"/>
              <w:bottom w:w="60" w:type="dxa"/>
              <w:left w:w="100" w:type="dxa"/>
              <w:right w:w="100" w:type="dxa"/>
            </w:tcMar>
            <w:shd w:fill="FFFFFF"/>
          </w:tcPr>
          <w:p>
            <w:pPr>
              <w:spacing w:before="40" w:after="40"/>
            </w:pPr>
            <w:r>
              <w:rPr>
                <w:color w:val="1E293B"/>
                <w:sz w:val="17"/>
              </w:rPr>
              <w:t>**Run Economics**</w:t>
            </w:r>
          </w:p>
        </w:tc>
        <w:tc>
          <w:tcPr>
            <w:tcW w:type="dxa" w:w="2484"/>
            <w:tcMar>
              <w:top w:w="60" w:type="dxa"/>
              <w:bottom w:w="60" w:type="dxa"/>
              <w:left w:w="100" w:type="dxa"/>
              <w:right w:w="100" w:type="dxa"/>
            </w:tcMar>
            <w:shd w:fill="FFFFFF"/>
          </w:tcPr>
          <w:p>
            <w:pPr>
              <w:spacing w:before="40" w:after="40"/>
            </w:pPr>
            <w:r>
              <w:rPr>
                <w:color w:val="1E293B"/>
                <w:sz w:val="17"/>
              </w:rPr>
              <w:t>Days of manual engineering labor</w:t>
            </w:r>
          </w:p>
        </w:tc>
        <w:tc>
          <w:tcPr>
            <w:tcW w:type="dxa" w:w="2484"/>
            <w:tcMar>
              <w:top w:w="60" w:type="dxa"/>
              <w:bottom w:w="60" w:type="dxa"/>
              <w:left w:w="100" w:type="dxa"/>
              <w:right w:w="100" w:type="dxa"/>
            </w:tcMar>
            <w:shd w:fill="FFFFFF"/>
          </w:tcPr>
          <w:p>
            <w:pPr>
              <w:spacing w:before="40" w:after="40"/>
            </w:pPr>
            <w:r>
              <w:rPr>
                <w:color w:val="1E293B"/>
                <w:sz w:val="17"/>
              </w:rPr>
              <w:t>**$0.69 USD** per full national run (15.91M geoms)</w:t>
            </w:r>
          </w:p>
        </w:tc>
        <w:tc>
          <w:tcPr>
            <w:tcW w:type="dxa" w:w="2484"/>
            <w:tcMar>
              <w:top w:w="60" w:type="dxa"/>
              <w:bottom w:w="60" w:type="dxa"/>
              <w:left w:w="100" w:type="dxa"/>
              <w:right w:w="100" w:type="dxa"/>
            </w:tcMar>
            <w:shd w:fill="FFFFFF"/>
          </w:tcPr>
          <w:p>
            <w:pPr>
              <w:spacing w:before="40" w:after="40"/>
            </w:pPr>
            <w:r>
              <w:rPr>
                <w:color w:val="1E293B"/>
                <w:sz w:val="17"/>
              </w:rPr>
              <w:t>Maximized HPC throughput &amp; zero queue bloat</w:t>
            </w:r>
          </w:p>
        </w:tc>
      </w:tr>
    </w:tbl>
    <w:p/>
    <w:p>
      <w:pPr>
        <w:spacing w:before="40" w:after="80" w:line="276" w:lineRule="auto"/>
      </w:pPr>
      <w:r>
        <w:rPr>
          <w:color w:val="334155"/>
          <w:sz w:val="19"/>
        </w:rPr>
        <w:t>---</w:t>
      </w:r>
    </w:p>
    <w:p>
      <w:pPr>
        <w:pStyle w:val="Heading2"/>
        <w:keepNext/>
        <w:spacing w:before="240" w:after="80"/>
      </w:pPr>
      <w:r>
        <w:rPr>
          <w:b/>
          <w:color w:val="0284C7"/>
        </w:rPr>
        <w:t>Recommended Action Plan for NSW Spatial &amp; HPC Leadership</w:t>
      </w:r>
    </w:p>
    <w:p>
      <w:pPr>
        <w:pStyle w:val="ListNumber"/>
        <w:spacing w:before="20" w:after="40"/>
      </w:pPr>
      <w:r>
        <w:rPr>
          <w:b/>
          <w:color w:val="1E293B"/>
          <w:sz w:val="19"/>
        </w:rPr>
        <w:t>Adopt Partitioned GeoParquet as State Standard:</w:t>
      </w:r>
      <w:r>
        <w:rPr>
          <w:color w:val="334155"/>
          <w:sz w:val="19"/>
        </w:rPr>
        <w:t xml:space="preserve"> Transition state spatial distribution from legacy Shapefiles/FileGDBs to cloud-native GeoParquet (EPSG:7844 / EPSG:7856) to unlock parallel I/O on Lustre storage arrays.</w:t>
      </w:r>
    </w:p>
    <w:p>
      <w:pPr>
        <w:pStyle w:val="ListNumber"/>
        <w:spacing w:before="20" w:after="40"/>
      </w:pPr>
      <w:r>
        <w:rPr>
          <w:b/>
          <w:color w:val="1E293B"/>
          <w:sz w:val="19"/>
        </w:rPr>
        <w:t>Pilot Apache Sedona on Waratah HPC:</w:t>
      </w:r>
      <w:r>
        <w:rPr>
          <w:color w:val="334155"/>
          <w:sz w:val="19"/>
        </w:rPr>
        <w:t xml:space="preserve"> Test distributed Apache Sedona PySpark batch scripts on the Waratah HPC cluster for state-wide Net Developable Area (NDA) generation across the 3.5M+ parcel DCDB.</w:t>
      </w:r>
    </w:p>
    <w:p>
      <w:pPr>
        <w:pStyle w:val="ListNumber"/>
        <w:spacing w:before="20" w:after="40"/>
      </w:pPr>
      <w:r>
        <w:rPr>
          <w:b/>
          <w:color w:val="1E293B"/>
          <w:sz w:val="19"/>
        </w:rPr>
        <w:t>Establish a Decoupled Scoring Framework:</w:t>
      </w:r>
      <w:r>
        <w:rPr>
          <w:color w:val="334155"/>
          <w:sz w:val="19"/>
        </w:rPr>
        <w:t xml:space="preserve"> Separate heavy geometric spatial joins from multi-criteria decision scoring across DPHI, EnergyCo, and DCCEEW planning workflows to minimize compute redundancy.</w:t>
      </w:r>
    </w:p>
    <w:p>
      <w:pPr>
        <w:pStyle w:val="ListNumber"/>
        <w:spacing w:before="20" w:after="40"/>
      </w:pPr>
      <w:r>
        <w:rPr>
          <w:b/>
          <w:color w:val="1E293B"/>
          <w:sz w:val="19"/>
        </w:rPr>
        <w:t>Integrate Output Streams with NSW Spatial Digital Twin:</w:t>
      </w:r>
      <w:r>
        <w:rPr>
          <w:color w:val="334155"/>
          <w:sz w:val="19"/>
        </w:rPr>
        <w:t xml:space="preserve"> Connect GeoParquet spatial outputs directly to the NSW Spatial Digital Twin and client-side DuckDB-WASM viewers for secure, zero-cost interactive policy exploration.</w:t>
      </w:r>
    </w:p>
    <w:p>
      <w:r>
        <w:br w:type="page"/>
      </w:r>
    </w:p>
    <w:p>
      <w:pPr>
        <w:pStyle w:val="Heading1"/>
        <w:keepNext/>
        <w:spacing w:before="480" w:after="160"/>
      </w:pPr>
      <w:r>
        <w:rPr>
          <w:rFonts w:ascii="Outfit" w:hAnsi="Outfit"/>
          <w:b/>
          <w:color w:val="0F172A"/>
          <w:sz w:val="32"/>
        </w:rPr>
        <w:t>Part IV: Open Source GeoLibre Ecosystem &amp; Upstream Proposals</w:t>
      </w:r>
    </w:p>
    <w:p>
      <w:pPr>
        <w:pStyle w:val="Heading2"/>
      </w:pPr>
      <w:r>
        <w:t>Section 4.1: Upstream PR Proposals &amp; Modular Architecture</w:t>
      </w:r>
    </w:p>
    <w:p>
      <w:pPr>
        <w:pStyle w:val="Heading1"/>
        <w:keepNext/>
        <w:spacing w:before="320" w:after="120"/>
      </w:pPr>
      <w:r>
        <w:rPr>
          <w:b/>
          <w:color w:val="0F172A"/>
        </w:rPr>
        <w:t>GeoLibre Upstream Contribution Proposals &amp; Architecture</w:t>
      </w:r>
    </w:p>
    <w:p>
      <w:pPr>
        <w:spacing w:before="40" w:after="80" w:line="276" w:lineRule="auto"/>
      </w:pPr>
      <w:r>
        <w:rPr>
          <w:b/>
          <w:color w:val="1E293B"/>
          <w:sz w:val="19"/>
        </w:rPr>
        <w:t>Target Upstream Repository:</w:t>
      </w:r>
      <w:r>
        <w:rPr>
          <w:color w:val="334155"/>
          <w:sz w:val="19"/>
        </w:rPr>
        <w:t xml:space="preserve"> </w:t>
      </w:r>
      <w:r>
        <w:rPr>
          <w:color w:val="0284C7"/>
          <w:sz w:val="19"/>
          <w:u w:val="single"/>
        </w:rPr>
        <w:t>`opengeos/GeoLibre`</w:t>
      </w:r>
    </w:p>
    <w:p>
      <w:pPr>
        <w:spacing w:before="40" w:after="80" w:line="276" w:lineRule="auto"/>
      </w:pPr>
      <w:r>
        <w:rPr>
          <w:b/>
          <w:color w:val="1E293B"/>
          <w:sz w:val="19"/>
        </w:rPr>
        <w:t>Contributing Organization:</w:t>
      </w:r>
      <w:r>
        <w:rPr>
          <w:color w:val="334155"/>
          <w:sz w:val="19"/>
        </w:rPr>
        <w:t xml:space="preserve"> GetBack2Basics Spatial AI Engineering</w:t>
      </w:r>
    </w:p>
    <w:p>
      <w:pPr>
        <w:spacing w:before="40" w:after="80" w:line="276" w:lineRule="auto"/>
      </w:pPr>
      <w:r>
        <w:rPr>
          <w:b/>
          <w:color w:val="1E293B"/>
          <w:sz w:val="19"/>
        </w:rPr>
        <w:t>Status:</w:t>
      </w:r>
      <w:r>
        <w:rPr>
          <w:color w:val="334155"/>
          <w:sz w:val="19"/>
        </w:rPr>
        <w:t xml:space="preserve"> Structured RFC &amp; Upstream Integration Proposals</w:t>
      </w:r>
    </w:p>
    <w:p>
      <w:pPr>
        <w:spacing w:before="40" w:after="80" w:line="276" w:lineRule="auto"/>
      </w:pPr>
      <w:r>
        <w:rPr>
          <w:color w:val="334155"/>
          <w:sz w:val="19"/>
        </w:rPr>
        <w:t>---</w:t>
      </w:r>
    </w:p>
    <w:p>
      <w:pPr>
        <w:pStyle w:val="Heading2"/>
        <w:keepNext/>
        <w:spacing w:before="240" w:after="80"/>
      </w:pPr>
      <w:r>
        <w:rPr>
          <w:b/>
          <w:color w:val="0284C7"/>
        </w:rPr>
        <w:t>Executive Summary</w:t>
      </w:r>
    </w:p>
    <w:p>
      <w:pPr>
        <w:spacing w:before="40" w:after="80" w:line="276" w:lineRule="auto"/>
      </w:pPr>
      <w:r>
        <w:rPr>
          <w:color w:val="334155"/>
          <w:sz w:val="19"/>
        </w:rPr>
        <w:t xml:space="preserve">This specification outlines five modular Pull Request (PR) proposals designed to contribute high-performance WebGIS features developed in AURA Siting Crafter directly to the upstream </w:t>
      </w:r>
      <w:r>
        <w:rPr>
          <w:rFonts w:ascii="Consolas" w:hAnsi="Consolas"/>
          <w:color w:val="0E7490"/>
          <w:sz w:val="17"/>
        </w:rPr>
        <w:t>opengeos/GeoLibre</w:t>
      </w:r>
      <w:r>
        <w:rPr>
          <w:color w:val="334155"/>
          <w:sz w:val="19"/>
        </w:rPr>
        <w:t xml:space="preserve"> open-source ecosystem.</w:t>
      </w:r>
    </w:p>
    <w:p>
      <w:pPr>
        <w:spacing w:before="80" w:after="120"/>
        <w:ind w:left="360"/>
      </w:pPr>
      <w:r>
        <w:rPr>
          <w:rFonts w:ascii="Consolas" w:hAnsi="Consolas"/>
          <w:color w:val="0F172A"/>
          <w:sz w:val="17"/>
        </w:rPr>
        <w:t>flowchart TD</w:t>
        <w:br/>
        <w:t xml:space="preserve">    subgraph GeoLibreUpstream["opengeos/GeoLibre Core Architecture"]</w:t>
        <w:br/>
        <w:t xml:space="preserve">        Core["GeoLibre Core Map Engine (MapLibre GL Wrapper)"]</w:t>
        <w:br/>
        <w:t xml:space="preserve">    end</w:t>
        <w:br/>
        <w:br/>
        <w:t xml:space="preserve">    subgraph Proposals["5 Modular Contribution Proposals"]</w:t>
        <w:br/>
        <w:t xml:space="preserve">        PR1["PR 1: DuckDB-WASM In-Memory Spatial SQL Engine"]</w:t>
        <w:br/>
        <w:t xml:space="preserve">        PR2["PR 2: Area-Priority Viewport Polygon Limiter"]</w:t>
        <w:br/>
        <w:t xml:space="preserve">        PR3["PR 3: Dynamic Expression Continuous Color Ramps"]</w:t>
        <w:br/>
        <w:t xml:space="preserve">        PR4["PR 4: Standalone Zero-Latency Digital Twin Exporter"]</w:t>
        <w:br/>
        <w:t xml:space="preserve">        PR5["PR 5: Cryptographic Data Lineage &amp; Provenance Auditor"]</w:t>
        <w:br/>
        <w:t xml:space="preserve">    end</w:t>
        <w:br/>
        <w:br/>
        <w:t xml:space="preserve">    PR1 --&gt; Core</w:t>
        <w:br/>
        <w:t xml:space="preserve">    PR2 --&gt; Core</w:t>
        <w:br/>
        <w:t xml:space="preserve">    PR3 --&gt; Core</w:t>
        <w:br/>
        <w:t xml:space="preserve">    PR4 --&gt; Core</w:t>
        <w:br/>
        <w:t xml:space="preserve">    PR5 --&gt; Core</w:t>
        <w:br/>
        <w:br/>
        <w:t xml:space="preserve">    style GeoLibreUpstream fill:#0f172a,stroke:#38bdf8,color:#ffffff,stroke-width:2px</w:t>
        <w:br/>
        <w:t xml:space="preserve">    style Proposals fill:#1e293b,stroke:#818cf8,color:#f8fafc</w:t>
      </w:r>
    </w:p>
    <w:p>
      <w:pPr>
        <w:spacing w:before="40" w:after="80" w:line="276" w:lineRule="auto"/>
      </w:pPr>
      <w:r>
        <w:rPr>
          <w:color w:val="334155"/>
          <w:sz w:val="19"/>
        </w:rPr>
        <w:t>---</w:t>
      </w:r>
    </w:p>
    <w:p>
      <w:pPr>
        <w:pStyle w:val="Heading2"/>
        <w:keepNext/>
        <w:spacing w:before="240" w:after="80"/>
      </w:pPr>
      <w:r>
        <w:rPr>
          <w:b/>
          <w:color w:val="0284C7"/>
        </w:rPr>
        <w:t>1. Modular PR Specifications</w:t>
      </w:r>
    </w:p>
    <w:p>
      <w:pPr>
        <w:pStyle w:val="Heading3"/>
        <w:keepNext/>
        <w:spacing w:before="160" w:after="40"/>
      </w:pPr>
      <w:r>
        <w:rPr>
          <w:b/>
          <w:color w:val="334155"/>
        </w:rPr>
        <w:t>Proposal 1: In-Memory DuckDB-WASM Siting Plugin (`geolibre-plugin-duckdb`)</w:t>
      </w:r>
    </w:p>
    <w:p>
      <w:pPr>
        <w:pStyle w:val="ListBullet"/>
        <w:spacing w:before="20" w:after="40"/>
      </w:pPr>
      <w:r>
        <w:rPr>
          <w:b/>
          <w:color w:val="1E293B"/>
          <w:sz w:val="19"/>
        </w:rPr>
        <w:t>Objective</w:t>
      </w:r>
      <w:r>
        <w:rPr>
          <w:color w:val="334155"/>
          <w:sz w:val="19"/>
        </w:rPr>
        <w:t>: Embed DuckDB-WASM directly into GeoLibre map instances to execute high-throughput spatial joins, multi-criteria weighted scoring, and polygon area calculations locally in browser memory (&lt;15ms latency).</w:t>
      </w:r>
    </w:p>
    <w:p>
      <w:pPr>
        <w:pStyle w:val="ListBullet"/>
        <w:spacing w:before="20" w:after="40"/>
      </w:pPr>
      <w:r>
        <w:rPr>
          <w:b/>
          <w:color w:val="1E293B"/>
          <w:sz w:val="19"/>
        </w:rPr>
        <w:t>API Surface</w:t>
      </w:r>
      <w:r>
        <w:rPr>
          <w:color w:val="334155"/>
          <w:sz w:val="19"/>
        </w:rPr>
        <w:t>:</w:t>
      </w:r>
    </w:p>
    <w:p>
      <w:pPr>
        <w:spacing w:before="80" w:after="120"/>
        <w:ind w:left="360"/>
      </w:pPr>
      <w:r>
        <w:rPr>
          <w:rFonts w:ascii="Consolas" w:hAnsi="Consolas"/>
          <w:color w:val="0F172A"/>
          <w:sz w:val="17"/>
        </w:rPr>
        <w:t xml:space="preserve">  map.use(new DuckDBSpatialPlugin({</w:t>
        <w:br/>
        <w:t xml:space="preserve">    parquetUrl: 'https://cdn.example.com/parcels.parquet',</w:t>
        <w:br/>
        <w:t xml:space="preserve">    initialQuery: 'SELECT * FROM parcels WHERE suitability_score &gt;= 0.7'</w:t>
        <w:br/>
        <w:t xml:space="preserve">  }));</w:t>
      </w:r>
    </w:p>
    <w:p>
      <w:pPr>
        <w:pStyle w:val="Heading3"/>
        <w:keepNext/>
        <w:spacing w:before="160" w:after="40"/>
      </w:pPr>
      <w:r>
        <w:rPr>
          <w:b/>
          <w:color w:val="334155"/>
        </w:rPr>
        <w:t>Proposal 2: Area-Priority Viewport Feature Limiter (`geolibre-layer-limiter`)</w:t>
      </w:r>
    </w:p>
    <w:p>
      <w:pPr>
        <w:pStyle w:val="ListBullet"/>
        <w:spacing w:before="20" w:after="40"/>
      </w:pPr>
      <w:r>
        <w:rPr>
          <w:b/>
          <w:color w:val="1E293B"/>
          <w:sz w:val="19"/>
        </w:rPr>
        <w:t>Objective</w:t>
      </w:r>
      <w:r>
        <w:rPr>
          <w:color w:val="334155"/>
          <w:sz w:val="19"/>
        </w:rPr>
        <w:t>: Prevent WebGL draw call bottlenecks when panning large cadastre layers (&gt;50k features) by ordering by descending bounding box / polygon area and capping rendering to top $N$ features.</w:t>
      </w:r>
    </w:p>
    <w:p>
      <w:pPr>
        <w:pStyle w:val="ListBullet"/>
        <w:spacing w:before="20" w:after="40"/>
      </w:pPr>
      <w:r>
        <w:rPr>
          <w:b/>
          <w:color w:val="1E293B"/>
          <w:sz w:val="19"/>
        </w:rPr>
        <w:t>API Surface</w:t>
      </w:r>
      <w:r>
        <w:rPr>
          <w:color w:val="334155"/>
          <w:sz w:val="19"/>
        </w:rPr>
        <w:t>:</w:t>
      </w:r>
    </w:p>
    <w:p>
      <w:pPr>
        <w:spacing w:before="80" w:after="120"/>
        <w:ind w:left="360"/>
      </w:pPr>
      <w:r>
        <w:rPr>
          <w:rFonts w:ascii="Consolas" w:hAnsi="Consolas"/>
          <w:color w:val="0F172A"/>
          <w:sz w:val="17"/>
        </w:rPr>
        <w:t xml:space="preserve">  layer.setRenderOptimizer({</w:t>
        <w:br/>
        <w:t xml:space="preserve">    maxFeatures: 500,</w:t>
        <w:br/>
        <w:t xml:space="preserve">    sortProperty: 'area_ha',</w:t>
        <w:br/>
        <w:t xml:space="preserve">    sortOrder: 'desc'</w:t>
        <w:br/>
        <w:t xml:space="preserve">  });</w:t>
      </w:r>
    </w:p>
    <w:p>
      <w:pPr>
        <w:pStyle w:val="Heading3"/>
        <w:keepNext/>
        <w:spacing w:before="160" w:after="40"/>
      </w:pPr>
      <w:r>
        <w:rPr>
          <w:b/>
          <w:color w:val="334155"/>
        </w:rPr>
        <w:t>Proposal 3: Dynamic Expression Continuous Color Ramps</w:t>
      </w:r>
    </w:p>
    <w:p>
      <w:pPr>
        <w:pStyle w:val="ListBullet"/>
        <w:spacing w:before="20" w:after="40"/>
      </w:pPr>
      <w:r>
        <w:rPr>
          <w:b/>
          <w:color w:val="1E293B"/>
          <w:sz w:val="19"/>
        </w:rPr>
        <w:t>Objective</w:t>
      </w:r>
      <w:r>
        <w:rPr>
          <w:color w:val="334155"/>
          <w:sz w:val="19"/>
        </w:rPr>
        <w:t>: Provide a high-level JS helper that dynamically generates MapLibre GL interpolation expressions from arbitrary numeric data columns without rebuilding GL style sheets.</w:t>
      </w:r>
    </w:p>
    <w:p>
      <w:pPr>
        <w:pStyle w:val="Heading3"/>
        <w:keepNext/>
        <w:spacing w:before="160" w:after="40"/>
      </w:pPr>
      <w:r>
        <w:rPr>
          <w:b/>
          <w:color w:val="334155"/>
        </w:rPr>
        <w:t>Proposal 4: Single-File HTML Digital Twin Exporter</w:t>
      </w:r>
    </w:p>
    <w:p>
      <w:pPr>
        <w:pStyle w:val="ListBullet"/>
        <w:spacing w:before="20" w:after="40"/>
      </w:pPr>
      <w:r>
        <w:rPr>
          <w:b/>
          <w:color w:val="1E293B"/>
          <w:sz w:val="19"/>
        </w:rPr>
        <w:t>Objective</w:t>
      </w:r>
      <w:r>
        <w:rPr>
          <w:color w:val="334155"/>
          <w:sz w:val="19"/>
        </w:rPr>
        <w:t>: Export the current map view, active vector micro-layers, and embedded DuckDB-WASM engine into a self-contained, air-gapped HTML file for offline stakeholder distribution.</w:t>
      </w:r>
    </w:p>
    <w:p>
      <w:pPr>
        <w:pStyle w:val="Heading3"/>
        <w:keepNext/>
        <w:spacing w:before="160" w:after="40"/>
      </w:pPr>
      <w:r>
        <w:rPr>
          <w:b/>
          <w:color w:val="334155"/>
        </w:rPr>
        <w:t>Proposal 5: Cryptographic Lineage &amp; Audit Inspector</w:t>
      </w:r>
    </w:p>
    <w:p>
      <w:pPr>
        <w:pStyle w:val="ListBullet"/>
        <w:spacing w:before="20" w:after="40"/>
      </w:pPr>
      <w:r>
        <w:rPr>
          <w:b/>
          <w:color w:val="1E293B"/>
          <w:sz w:val="19"/>
        </w:rPr>
        <w:t>Objective</w:t>
      </w:r>
      <w:r>
        <w:rPr>
          <w:color w:val="334155"/>
          <w:sz w:val="19"/>
        </w:rPr>
        <w:t>: Embed SHA-256 layer checksums and Apache Sedona transform recipes into the map metadata UI, providing instant provenance verification.</w:t>
      </w:r>
    </w:p>
    <w:p>
      <w:pPr>
        <w:spacing w:before="40" w:after="80" w:line="276" w:lineRule="auto"/>
      </w:pPr>
      <w:r>
        <w:rPr>
          <w:color w:val="334155"/>
          <w:sz w:val="19"/>
        </w:rPr>
        <w:t>---</w:t>
      </w:r>
    </w:p>
    <w:p>
      <w:pPr>
        <w:pStyle w:val="Heading2"/>
        <w:keepNext/>
        <w:spacing w:before="240" w:after="80"/>
      </w:pPr>
      <w:r>
        <w:rPr>
          <w:b/>
          <w:color w:val="0284C7"/>
        </w:rPr>
        <w:t>2. Upstream Submission Workflow</w:t>
      </w:r>
    </w:p>
    <w:p>
      <w:pPr>
        <w:pStyle w:val="ListNumber"/>
        <w:spacing w:before="20" w:after="40"/>
      </w:pPr>
      <w:r>
        <w:rPr>
          <w:color w:val="334155"/>
          <w:sz w:val="19"/>
        </w:rPr>
        <w:t xml:space="preserve">Fork </w:t>
      </w:r>
      <w:r>
        <w:rPr>
          <w:rFonts w:ascii="Consolas" w:hAnsi="Consolas"/>
          <w:color w:val="0E7490"/>
          <w:sz w:val="17"/>
        </w:rPr>
        <w:t>opengeos/GeoLibre</w:t>
      </w:r>
      <w:r>
        <w:rPr>
          <w:color w:val="334155"/>
          <w:sz w:val="19"/>
        </w:rPr>
        <w:t>.</w:t>
      </w:r>
    </w:p>
    <w:p>
      <w:pPr>
        <w:pStyle w:val="ListNumber"/>
        <w:spacing w:before="20" w:after="40"/>
      </w:pPr>
      <w:r>
        <w:rPr>
          <w:color w:val="334155"/>
          <w:sz w:val="19"/>
        </w:rPr>
        <w:t>Create dedicated feature branches (</w:t>
      </w:r>
      <w:r>
        <w:rPr>
          <w:rFonts w:ascii="Consolas" w:hAnsi="Consolas"/>
          <w:color w:val="0E7490"/>
          <w:sz w:val="17"/>
        </w:rPr>
        <w:t>feature/duckdb-wasm-core</w:t>
      </w:r>
      <w:r>
        <w:rPr>
          <w:color w:val="334155"/>
          <w:sz w:val="19"/>
        </w:rPr>
        <w:t xml:space="preserve">, </w:t>
      </w:r>
      <w:r>
        <w:rPr>
          <w:rFonts w:ascii="Consolas" w:hAnsi="Consolas"/>
          <w:color w:val="0E7490"/>
          <w:sz w:val="17"/>
        </w:rPr>
        <w:t>feature/viewport-limiter</w:t>
      </w:r>
      <w:r>
        <w:rPr>
          <w:color w:val="334155"/>
          <w:sz w:val="19"/>
        </w:rPr>
        <w:t>).</w:t>
      </w:r>
    </w:p>
    <w:p>
      <w:pPr>
        <w:pStyle w:val="ListNumber"/>
        <w:spacing w:before="20" w:after="40"/>
      </w:pPr>
      <w:r>
        <w:rPr>
          <w:color w:val="334155"/>
          <w:sz w:val="19"/>
        </w:rPr>
        <w:t>Implement unit tests using Vitest and Playwright.</w:t>
      </w:r>
    </w:p>
    <w:p>
      <w:pPr>
        <w:pStyle w:val="ListNumber"/>
        <w:spacing w:before="20" w:after="40"/>
      </w:pPr>
      <w:r>
        <w:rPr>
          <w:color w:val="334155"/>
          <w:sz w:val="19"/>
        </w:rPr>
        <w:t>Submit PRs with reference benchmarks demonstrating 60fps rendering under 15M parcel loads.</w:t>
      </w:r>
    </w:p>
    <w:p>
      <w:pPr>
        <w:pStyle w:val="Heading2"/>
      </w:pPr>
      <w:r>
        <w:t>Section 4.2: Web-Native Siting Engine Specification</w:t>
      </w:r>
    </w:p>
    <w:p>
      <w:pPr>
        <w:pStyle w:val="Heading1"/>
        <w:keepNext/>
        <w:spacing w:before="320" w:after="120"/>
      </w:pPr>
      <w:r>
        <w:rPr>
          <w:b/>
          <w:color w:val="0F172A"/>
        </w:rPr>
        <w:t>LinkedIn Post: GeoLibre — Desktop Power in a Customizable Web Engine (Final Published Version)</w:t>
      </w:r>
    </w:p>
    <w:p>
      <w:pPr>
        <w:spacing w:before="40" w:after="80" w:line="276" w:lineRule="auto"/>
      </w:pPr>
      <w:r>
        <w:rPr>
          <w:b/>
          <w:color w:val="1E293B"/>
          <w:sz w:val="19"/>
        </w:rPr>
        <w:t>Target Platform:</w:t>
      </w:r>
      <w:r>
        <w:rPr>
          <w:color w:val="334155"/>
          <w:sz w:val="19"/>
        </w:rPr>
        <w:t xml:space="preserve"> LinkedIn</w:t>
      </w:r>
    </w:p>
    <w:p>
      <w:pPr>
        <w:spacing w:before="40" w:after="80" w:line="276" w:lineRule="auto"/>
      </w:pPr>
      <w:r>
        <w:rPr>
          <w:b/>
          <w:color w:val="1E293B"/>
          <w:sz w:val="19"/>
        </w:rPr>
        <w:t>Audience:</w:t>
      </w:r>
      <w:r>
        <w:rPr>
          <w:color w:val="334155"/>
          <w:sz w:val="19"/>
        </w:rPr>
        <w:t xml:space="preserve"> Geospatial Engineers, Cloud &amp; Data Architects, Open Source GIS Community</w:t>
      </w:r>
    </w:p>
    <w:p>
      <w:pPr>
        <w:spacing w:before="40" w:after="80" w:line="276" w:lineRule="auto"/>
      </w:pPr>
      <w:r>
        <w:rPr>
          <w:b/>
          <w:color w:val="1E293B"/>
          <w:sz w:val="19"/>
        </w:rPr>
        <w:t>Status:</w:t>
      </w:r>
      <w:r>
        <w:rPr>
          <w:color w:val="334155"/>
          <w:sz w:val="19"/>
        </w:rPr>
        <w:t xml:space="preserve"> Published</w:t>
      </w:r>
    </w:p>
    <w:p>
      <w:pPr>
        <w:spacing w:before="40" w:after="80" w:line="276" w:lineRule="auto"/>
      </w:pPr>
      <w:r>
        <w:rPr>
          <w:color w:val="334155"/>
          <w:sz w:val="19"/>
        </w:rPr>
        <w:t>---</w:t>
      </w:r>
    </w:p>
    <w:p>
      <w:pPr>
        <w:pStyle w:val="Heading3"/>
        <w:keepNext/>
        <w:spacing w:before="160" w:after="40"/>
      </w:pPr>
      <w:r>
        <w:rPr>
          <w:b/>
          <w:color w:val="334155"/>
        </w:rPr>
        <w:t>Post Text</w:t>
      </w:r>
    </w:p>
    <w:p>
      <w:pPr>
        <w:spacing w:before="40" w:after="80" w:line="276" w:lineRule="auto"/>
      </w:pPr>
      <w:r>
        <w:rPr>
          <w:color w:val="334155"/>
          <w:sz w:val="19"/>
        </w:rPr>
        <w:t>Can your browser-based GIS handle desktop-grade spatial analysis without spinning up costly cloud servers or locking you into desktop installs?</w:t>
      </w:r>
    </w:p>
    <w:p>
      <w:pPr>
        <w:spacing w:before="40" w:after="80" w:line="276" w:lineRule="auto"/>
      </w:pPr>
      <w:r>
        <w:rPr>
          <w:color w:val="334155"/>
          <w:sz w:val="19"/>
        </w:rPr>
        <w:t>For years, GIS required a trade-off: heavyweight desktop tools (powerful, but siloed) vs. traditional WebGIS (accessible, but restricted to static tiles and sluggish server roundtrips).</w:t>
      </w:r>
    </w:p>
    <w:p>
      <w:pPr>
        <w:spacing w:before="40" w:after="80" w:line="276" w:lineRule="auto"/>
      </w:pPr>
      <w:r>
        <w:rPr>
          <w:color w:val="334155"/>
          <w:sz w:val="19"/>
        </w:rPr>
        <w:t>Modern web-native data formats have eliminated that compromise.</w:t>
      </w:r>
    </w:p>
    <w:p>
      <w:pPr>
        <w:spacing w:before="40" w:after="80" w:line="276" w:lineRule="auto"/>
      </w:pPr>
      <w:r>
        <w:rPr>
          <w:color w:val="334155"/>
          <w:sz w:val="19"/>
        </w:rPr>
        <w:t xml:space="preserve">Building AURA Siting Crafter with GeoLibre (opengeos/GeoLibre </w:t>
      </w:r>
      <w:r>
        <w:rPr>
          <w:color w:val="0284C7"/>
          <w:sz w:val="19"/>
          <w:u w:val="single"/>
        </w:rPr>
        <w:t>Qiusheng Wu</w:t>
      </w:r>
      <w:r>
        <w:rPr>
          <w:color w:val="334155"/>
          <w:sz w:val="19"/>
        </w:rPr>
        <w:t>) demonstrated the unmatched agility of combining MapLibre GL, DuckDB-WASM, and cloud-native spatial data into a fully customizable web engine.</w:t>
      </w:r>
    </w:p>
    <w:p>
      <w:pPr>
        <w:spacing w:before="40" w:after="80" w:line="276" w:lineRule="auto"/>
      </w:pPr>
      <w:r>
        <w:rPr>
          <w:color w:val="334155"/>
          <w:sz w:val="19"/>
        </w:rPr>
        <w:t>⚡ Desktop Power via Web-Native Data</w:t>
      </w:r>
    </w:p>
    <w:p>
      <w:pPr>
        <w:spacing w:before="40" w:after="80" w:line="276" w:lineRule="auto"/>
      </w:pPr>
      <w:r>
        <w:rPr>
          <w:color w:val="334155"/>
          <w:sz w:val="19"/>
        </w:rPr>
        <w:t>Instead of moving massive files or relying on backend database compute for every slider change:</w:t>
      </w:r>
    </w:p>
    <w:p>
      <w:pPr>
        <w:spacing w:before="40" w:after="80" w:line="276" w:lineRule="auto"/>
      </w:pPr>
      <w:r>
        <w:rPr>
          <w:color w:val="334155"/>
          <w:sz w:val="19"/>
        </w:rPr>
        <w:t>• Stream directly from cloud storage via byte-range HTTP requests (GeoParquet, PMTiles, FlatGeobuf).</w:t>
      </w:r>
    </w:p>
    <w:p>
      <w:pPr>
        <w:spacing w:before="40" w:after="80" w:line="276" w:lineRule="auto"/>
      </w:pPr>
      <w:r>
        <w:rPr>
          <w:color w:val="334155"/>
          <w:sz w:val="19"/>
        </w:rPr>
        <w:t>• Run complex Spatial SQL in-browser using DuckDB-WASM with sub-10ms query speeds.</w:t>
      </w:r>
    </w:p>
    <w:p>
      <w:pPr>
        <w:spacing w:before="40" w:after="80" w:line="276" w:lineRule="auto"/>
      </w:pPr>
      <w:r>
        <w:rPr>
          <w:color w:val="334155"/>
          <w:sz w:val="19"/>
        </w:rPr>
        <w:t>• Fully customize UI, layers, and analytical workflows without server infrastructure bottlenecks.</w:t>
      </w:r>
    </w:p>
    <w:p>
      <w:pPr>
        <w:spacing w:before="40" w:after="80" w:line="276" w:lineRule="auto"/>
      </w:pPr>
      <w:r>
        <w:rPr>
          <w:color w:val="334155"/>
          <w:sz w:val="19"/>
        </w:rPr>
        <w:t>🎨 Rendering Innovations We Engineered</w:t>
      </w:r>
    </w:p>
    <w:p>
      <w:pPr>
        <w:spacing w:before="40" w:after="80" w:line="276" w:lineRule="auto"/>
      </w:pPr>
      <w:r>
        <w:rPr>
          <w:color w:val="334155"/>
          <w:sz w:val="19"/>
        </w:rPr>
        <w:t>To maximize performance and visualization, we implemented key rendering upgrades:</w:t>
      </w:r>
    </w:p>
    <w:p>
      <w:pPr>
        <w:pStyle w:val="ListNumber"/>
        <w:spacing w:before="20" w:after="40"/>
      </w:pPr>
      <w:r>
        <w:rPr>
          <w:color w:val="334155"/>
          <w:sz w:val="19"/>
        </w:rPr>
        <w:t>Given a 500-feature rendering limit (for efficiency) we display the largest features first so as not to clutter the viewport. We use clustering for points.</w:t>
      </w:r>
    </w:p>
    <w:p>
      <w:pPr>
        <w:pStyle w:val="ListNumber"/>
        <w:spacing w:before="20" w:after="40"/>
      </w:pPr>
      <w:r>
        <w:rPr>
          <w:color w:val="334155"/>
          <w:sz w:val="19"/>
        </w:rPr>
        <w:t>Dynamic MapLibre Color Ramps: Multi-stop gradient expressions driven directly by in-memory DuckDB query attributes for instant continuous heatmaps.</w:t>
      </w:r>
    </w:p>
    <w:p>
      <w:pPr>
        <w:pStyle w:val="ListNumber"/>
        <w:spacing w:before="20" w:after="40"/>
      </w:pPr>
      <w:r>
        <w:rPr>
          <w:color w:val="334155"/>
          <w:sz w:val="19"/>
        </w:rPr>
        <w:t>Sub-Second Vector Streaming: Smooth 60fps pan/zoom across intricate parcel boundaries, bypassing GeoJSON payload overhead.</w:t>
      </w:r>
    </w:p>
    <w:p>
      <w:pPr>
        <w:pStyle w:val="ListNumber"/>
        <w:spacing w:before="20" w:after="40"/>
      </w:pPr>
      <w:r>
        <w:rPr>
          <w:color w:val="334155"/>
          <w:sz w:val="19"/>
        </w:rPr>
        <w:t>Zero-Latency Standalone Twins: Packaging layers, custom symbology, and scoring logic into single-file portable HTML apps that execute with zero network lag.</w:t>
      </w:r>
    </w:p>
    <w:p>
      <w:pPr>
        <w:spacing w:before="40" w:after="80" w:line="276" w:lineRule="auto"/>
      </w:pPr>
      <w:r>
        <w:rPr>
          <w:color w:val="334155"/>
          <w:sz w:val="19"/>
        </w:rPr>
        <w:t>🤝 Upstream Contributions</w:t>
      </w:r>
    </w:p>
    <w:p>
      <w:pPr>
        <w:spacing w:before="40" w:after="80" w:line="276" w:lineRule="auto"/>
      </w:pPr>
      <w:r>
        <w:rPr>
          <w:color w:val="334155"/>
          <w:sz w:val="19"/>
        </w:rPr>
        <w:t>We are planning on contributing these modular components back to OpenGeos / GeoLibre as thats why Opensource exists:</w:t>
      </w:r>
    </w:p>
    <w:p>
      <w:pPr>
        <w:spacing w:before="40" w:after="80" w:line="276" w:lineRule="auto"/>
      </w:pPr>
      <w:r>
        <w:rPr>
          <w:color w:val="334155"/>
          <w:sz w:val="19"/>
        </w:rPr>
        <w:t>• geolibre-siting: Client-side spatial MCDA suitability scoring plugin.</w:t>
      </w:r>
    </w:p>
    <w:p>
      <w:pPr>
        <w:spacing w:before="40" w:after="80" w:line="276" w:lineRule="auto"/>
      </w:pPr>
      <w:r>
        <w:rPr>
          <w:color w:val="334155"/>
          <w:sz w:val="19"/>
        </w:rPr>
        <w:t>• geolibre-sedona: Cloud lakehouse ETL connector (Apache Sedona / Wherobots).</w:t>
      </w:r>
    </w:p>
    <w:p>
      <w:pPr>
        <w:spacing w:before="40" w:after="80" w:line="276" w:lineRule="auto"/>
      </w:pPr>
      <w:r>
        <w:rPr>
          <w:color w:val="334155"/>
          <w:sz w:val="19"/>
        </w:rPr>
        <w:t>• geolibre-spatial-ai: Viewport-grounded LLM Spatial SQL translation skills.</w:t>
      </w:r>
    </w:p>
    <w:p>
      <w:pPr>
        <w:spacing w:before="40" w:after="80" w:line="276" w:lineRule="auto"/>
      </w:pPr>
      <w:r>
        <w:rPr>
          <w:color w:val="334155"/>
          <w:sz w:val="19"/>
        </w:rPr>
        <w:t>• geolibre-catalogs &amp; geolibre-export-report: National data presets and one-click standalone HTML report packaging.</w:t>
      </w:r>
    </w:p>
    <w:p>
      <w:pPr>
        <w:spacing w:before="40" w:after="80" w:line="276" w:lineRule="auto"/>
      </w:pPr>
      <w:r>
        <w:rPr>
          <w:color w:val="334155"/>
          <w:sz w:val="19"/>
        </w:rPr>
        <w:t>🌐 Experience the Live Outputs:</w:t>
      </w:r>
    </w:p>
    <w:p>
      <w:pPr>
        <w:spacing w:before="40" w:after="80" w:line="276" w:lineRule="auto"/>
      </w:pPr>
      <w:r>
        <w:rPr>
          <w:color w:val="334155"/>
          <w:sz w:val="19"/>
        </w:rPr>
        <w:t>• #QA check: https://storage.googleapis.com/aura-siting-crafter-geolibre-app/docs/qa/geolibre_qa_inspect.html (Shortlink: https://lnkd.in/gph4ibi5)</w:t>
      </w:r>
    </w:p>
    <w:p>
      <w:pPr>
        <w:spacing w:before="40" w:after="80" w:line="276" w:lineRule="auto"/>
      </w:pPr>
      <w:r>
        <w:rPr>
          <w:color w:val="334155"/>
          <w:sz w:val="19"/>
        </w:rPr>
        <w:t>• #Live Siting App: https://storage.googleapis.com/aura-siting-crafter-geolibre-app/index.html (Shortlink: https://lnkd.in/g_UP-dSj)</w:t>
      </w:r>
    </w:p>
    <w:p>
      <w:pPr>
        <w:spacing w:before="40" w:after="80" w:line="276" w:lineRule="auto"/>
      </w:pPr>
      <w:r>
        <w:rPr>
          <w:color w:val="334155"/>
          <w:sz w:val="19"/>
        </w:rPr>
        <w:t>• #Precinct detail: https://storage.googleapis.com/aura-siting-crafter-geolibre-app/projects/index_LMCC_MacquarieCoal.html (Shortlink: https://lnkd.in/gU2RHs6y)</w:t>
      </w:r>
    </w:p>
    <w:p>
      <w:pPr>
        <w:spacing w:before="40" w:after="80" w:line="276" w:lineRule="auto"/>
      </w:pPr>
      <w:r>
        <w:rPr>
          <w:color w:val="334155"/>
          <w:sz w:val="19"/>
        </w:rPr>
        <w:t>• #GitHub: https://github.com/GetBack2Basics/aura_siting_crafter (Shortlink: https://lnkd.in/g4CqRR-h)</w:t>
      </w:r>
    </w:p>
    <w:p>
      <w:pPr>
        <w:spacing w:before="40" w:after="80" w:line="276" w:lineRule="auto"/>
      </w:pPr>
      <w:r>
        <w:rPr>
          <w:color w:val="334155"/>
          <w:sz w:val="19"/>
        </w:rPr>
        <w:t>#GeoLibre #OpenGeos #GIS #DuckDB #MapLibre #SpatialSQL #WebGIS #CloudNative #OpenSource</w:t>
      </w:r>
    </w:p>
    <w:p>
      <w:r>
        <w:br w:type="page"/>
      </w:r>
    </w:p>
    <w:p>
      <w:pPr>
        <w:pStyle w:val="Heading1"/>
        <w:keepNext/>
        <w:spacing w:before="480" w:after="160"/>
      </w:pPr>
      <w:r>
        <w:rPr>
          <w:rFonts w:ascii="Outfit" w:hAnsi="Outfit"/>
          <w:b/>
          <w:color w:val="0F172A"/>
          <w:sz w:val="32"/>
        </w:rPr>
        <w:t>Part V: The Spatial Siting Odyssey: Evolution &amp; Production Milestones</w:t>
      </w:r>
    </w:p>
    <w:p>
      <w:pPr>
        <w:pStyle w:val="Heading1"/>
        <w:keepNext/>
        <w:spacing w:before="320" w:after="120"/>
      </w:pPr>
      <w:r>
        <w:rPr>
          <w:b/>
          <w:color w:val="0F172A"/>
        </w:rPr>
        <w:t>The Spatial Siting Odyssey: From Regional Brownfield Scans to Continental AI Compute &amp; High-Precision Statutory Digital Twins</w:t>
      </w:r>
    </w:p>
    <w:p>
      <w:pPr>
        <w:spacing w:before="40" w:after="80" w:line="276" w:lineRule="auto"/>
      </w:pPr>
      <w:r>
        <w:rPr>
          <w:color w:val="334155"/>
          <w:sz w:val="19"/>
        </w:rPr>
        <w:t>*How GetBack2Basics built AURA Siting Crafter as an open-source first commercial solution — synthesizing engineering lessons, multi-modal project inputs, an asymmetric compute architecture, deterministic AI safety sandboxes, and certified statutory due diligence services.*</w:t>
      </w:r>
    </w:p>
    <w:p>
      <w:pPr>
        <w:spacing w:before="40" w:after="80" w:line="276" w:lineRule="auto"/>
      </w:pPr>
      <w:r>
        <w:rPr>
          <w:b/>
          <w:color w:val="1E293B"/>
          <w:sz w:val="19"/>
        </w:rPr>
        <w:t>Cloud Root:</w:t>
      </w:r>
      <w:r>
        <w:rPr>
          <w:color w:val="334155"/>
          <w:sz w:val="19"/>
        </w:rPr>
        <w:t xml:space="preserve"> </w:t>
      </w:r>
      <w:r>
        <w:rPr>
          <w:color w:val="0284C7"/>
          <w:sz w:val="19"/>
          <w:u w:val="single"/>
        </w:rPr>
        <w:t>https://aura.getback2basics.net</w:t>
      </w:r>
      <w:r>
        <w:rPr>
          <w:color w:val="334155"/>
          <w:sz w:val="19"/>
        </w:rPr>
        <w:t xml:space="preserve"> • </w:t>
      </w:r>
      <w:r>
        <w:rPr>
          <w:b/>
          <w:color w:val="1E293B"/>
          <w:sz w:val="19"/>
        </w:rPr>
        <w:t>Organization:</w:t>
      </w:r>
      <w:r>
        <w:rPr>
          <w:color w:val="334155"/>
          <w:sz w:val="19"/>
        </w:rPr>
        <w:t xml:space="preserve"> </w:t>
      </w:r>
      <w:r>
        <w:rPr>
          <w:color w:val="0284C7"/>
          <w:sz w:val="19"/>
          <w:u w:val="single"/>
        </w:rPr>
        <w:t>GetBack2Basics</w:t>
      </w:r>
    </w:p>
    <w:p>
      <w:pPr>
        <w:spacing w:before="40" w:after="80" w:line="276" w:lineRule="auto"/>
      </w:pPr>
      <w:r>
        <w:rPr>
          <w:color w:val="334155"/>
          <w:sz w:val="19"/>
        </w:rPr>
        <w:t>---</w:t>
      </w:r>
    </w:p>
    <w:p>
      <w:pPr>
        <w:spacing w:before="40" w:after="80" w:line="276" w:lineRule="auto"/>
      </w:pPr>
      <w:r>
        <w:rPr>
          <w:color w:val="334155"/>
          <w:sz w:val="19"/>
        </w:rPr>
        <w:t>!</w:t>
      </w:r>
      <w:r>
        <w:rPr>
          <w:color w:val="0284C7"/>
          <w:sz w:val="19"/>
          <w:u w:val="single"/>
        </w:rPr>
        <w:t>AURA Siting Crafter Banner</w:t>
      </w:r>
    </w:p>
    <w:p>
      <w:pPr>
        <w:pStyle w:val="Heading2"/>
        <w:keepNext/>
        <w:spacing w:before="240" w:after="80"/>
      </w:pPr>
      <w:r>
        <w:rPr>
          <w:b/>
          <w:color w:val="0284C7"/>
        </w:rPr>
        <w:t>The Siting Trilemma: Energy, Water &amp; Sovereignty</w:t>
      </w:r>
    </w:p>
    <w:p>
      <w:pPr>
        <w:spacing w:before="40" w:after="80" w:line="276" w:lineRule="auto"/>
      </w:pPr>
      <w:r>
        <w:rPr>
          <w:color w:val="334155"/>
          <w:sz w:val="19"/>
        </w:rPr>
        <w:t>Finding optimal land for next-generation sovereign AI data centres, clean energy firming hubs, and advanced industrial ecosystems is one of the most pressing engineering bottlenecks of the 2020s.</w:t>
      </w:r>
    </w:p>
    <w:p>
      <w:pPr>
        <w:spacing w:before="40" w:after="80" w:line="276" w:lineRule="auto"/>
      </w:pPr>
      <w:r>
        <w:rPr>
          <w:color w:val="334155"/>
          <w:sz w:val="19"/>
        </w:rPr>
        <w:t>Traditional site selection relies on coarse static GIS layers, proprietary consulting PDFs, or disjointed spreadsheets. Proponents frequently claim *"100% buildable gross site area"*, only for infrastructure developers and institutional funds to discover years later that 40% of the parcel is locked by uninsurable 1% AEP floodways, mine subsidence strain zones, or EPA acoustic trigger buffers.</w:t>
      </w:r>
    </w:p>
    <w:p>
      <w:pPr>
        <w:spacing w:before="40" w:after="80" w:line="276" w:lineRule="auto"/>
      </w:pPr>
      <w:r>
        <w:rPr>
          <w:color w:val="334155"/>
          <w:sz w:val="19"/>
        </w:rPr>
        <w:t xml:space="preserve">To de-risk capital allocations, </w:t>
      </w:r>
      <w:r>
        <w:rPr>
          <w:b/>
          <w:color w:val="1E293B"/>
          <w:sz w:val="19"/>
        </w:rPr>
        <w:t>GetBack2Basics</w:t>
      </w:r>
      <w:r>
        <w:rPr>
          <w:color w:val="334155"/>
          <w:sz w:val="19"/>
        </w:rPr>
        <w:t xml:space="preserve"> engineered </w:t>
      </w:r>
      <w:r>
        <w:rPr>
          <w:b/>
          <w:color w:val="1E293B"/>
          <w:sz w:val="19"/>
        </w:rPr>
        <w:t>AURA Siting Crafter</w:t>
      </w:r>
      <w:r>
        <w:rPr>
          <w:color w:val="334155"/>
          <w:sz w:val="19"/>
        </w:rPr>
        <w:t xml:space="preserve"> through a five-stage evolutionary journey. Built as an </w:t>
      </w:r>
      <w:r>
        <w:rPr>
          <w:b/>
          <w:color w:val="1E293B"/>
          <w:sz w:val="19"/>
        </w:rPr>
        <w:t>open-source first commercial platform</w:t>
      </w:r>
      <w:r>
        <w:rPr>
          <w:color w:val="334155"/>
          <w:sz w:val="19"/>
        </w:rPr>
        <w:t>, AURA combines a transparent, peer-reviewed open geospatial engine with certified statutory-grade site assessment services.</w:t>
      </w:r>
    </w:p>
    <w:p>
      <w:pPr>
        <w:spacing w:before="40" w:after="80" w:line="276" w:lineRule="auto"/>
      </w:pPr>
      <w:r>
        <w:rPr>
          <w:color w:val="334155"/>
          <w:sz w:val="19"/>
        </w:rPr>
        <w:t>Here is the full synthesis of how we built it, the hard engineering lessons learned, the asymmetric cloud economics, the deterministic AI safety sandbox, and how developers can leverage custom project-specific reports.</w:t>
      </w:r>
    </w:p>
    <w:p>
      <w:pPr>
        <w:spacing w:before="40" w:after="80" w:line="276" w:lineRule="auto"/>
      </w:pPr>
      <w:r>
        <w:rPr>
          <w:color w:val="334155"/>
          <w:sz w:val="19"/>
        </w:rPr>
        <w:t>---</w:t>
      </w:r>
    </w:p>
    <w:p>
      <w:pPr>
        <w:spacing w:before="80" w:after="120"/>
        <w:ind w:left="360"/>
      </w:pPr>
      <w:r>
        <w:rPr>
          <w:rFonts w:ascii="Consolas" w:hAnsi="Consolas"/>
          <w:color w:val="0F172A"/>
          <w:sz w:val="17"/>
        </w:rPr>
        <w:t>graph TD</w:t>
        <w:br/>
        <w:t xml:space="preserve">    S1["1. Basic Regional GIS&lt;br/&gt;(Hunter Brownfield Exploration)"] --&gt; S2["2. High-Data Micro-Siting&lt;br/&gt;(1m LiDAR, Cadastre &amp; Cooling Loops)"]</w:t>
        <w:br/>
        <w:t xml:space="preserve">    S2 --&gt; S3["3. Continental Scale-Out&lt;br/&gt;(17 National Candidate Hubs)"]</w:t>
        <w:br/>
        <w:t xml:space="preserve">    S3 --&gt; S4["4. National Multi-Hazard MCDA&lt;br/&gt;(ARR 2019, Seismic PGA &amp; TCHA Wind)"]</w:t>
        <w:br/>
        <w:t xml:space="preserve">    S4 --&gt; S5["5. Statutory Forensic Digital Twins&lt;br/&gt;(Automated Multi-Project Pipeline)"]</w:t>
        <w:br/>
        <w:t xml:space="preserve">    </w:t>
        <w:br/>
        <w:t xml:space="preserve">    style S1 fill:#1e293b,stroke:#3b82f6,color:#f8fafc</w:t>
        <w:br/>
        <w:t xml:space="preserve">    style S2 fill:#1e293b,stroke:#06b6d4,color:#f8fafc</w:t>
        <w:br/>
        <w:t xml:space="preserve">    style S3 fill:#1e293b,stroke:#8b5cf6,color:#f8fafc</w:t>
        <w:br/>
        <w:t xml:space="preserve">    style S4 fill:#1e293b,stroke:#f59e0b,color:#f8fafc</w:t>
        <w:br/>
        <w:t xml:space="preserve">    style S5 fill:#0284c7,stroke:#38bdf8,color:#ffffff,stroke-width:2px</w:t>
      </w:r>
    </w:p>
    <w:p>
      <w:pPr>
        <w:spacing w:before="40" w:after="80" w:line="276" w:lineRule="auto"/>
      </w:pPr>
      <w:r>
        <w:rPr>
          <w:color w:val="334155"/>
          <w:sz w:val="19"/>
        </w:rPr>
        <w:t>---</w:t>
      </w:r>
    </w:p>
    <w:p>
      <w:pPr>
        <w:pStyle w:val="Heading2"/>
        <w:keepNext/>
        <w:spacing w:before="240" w:after="80"/>
      </w:pPr>
      <w:r>
        <w:rPr>
          <w:b/>
          <w:color w:val="0284C7"/>
        </w:rPr>
        <w:t>The 5-Stage Evolutionary Journey</w:t>
      </w:r>
    </w:p>
    <w:p>
      <w:pPr>
        <w:pStyle w:val="Heading3"/>
        <w:keepNext/>
        <w:spacing w:before="160" w:after="40"/>
      </w:pPr>
      <w:r>
        <w:rPr>
          <w:b/>
          <w:color w:val="334155"/>
        </w:rPr>
        <w:t>Stage 1: Basic Regional Spatial Exploration</w:t>
      </w:r>
    </w:p>
    <w:p>
      <w:pPr>
        <w:spacing w:before="40" w:after="80" w:line="276" w:lineRule="auto"/>
      </w:pPr>
      <w:r>
        <w:rPr>
          <w:color w:val="334155"/>
          <w:sz w:val="19"/>
        </w:rPr>
        <w:t>Our journey started with a focused regional inquiry: *How can Australia transition retiring coal generation assets and mine void footprints in NSW's Hunter Region into digital infrastructure hubs?*</w:t>
      </w:r>
    </w:p>
    <w:p>
      <w:pPr>
        <w:spacing w:before="40" w:after="80" w:line="276" w:lineRule="auto"/>
      </w:pPr>
      <w:r>
        <w:rPr>
          <w:color w:val="334155"/>
          <w:sz w:val="19"/>
        </w:rPr>
        <w:t>In the earliest prototypes, we applied standard GIS Euclidean buffers around 330kV substations, transmission easements, and major highways. While useful for initial reconnaissance, Euclidean buffers failed to account for real-world terrain winding factors, steep grade slopes, and local cadastral boundaries.</w:t>
      </w:r>
    </w:p>
    <w:p>
      <w:pPr>
        <w:pStyle w:val="Heading3"/>
        <w:keepNext/>
        <w:spacing w:before="160" w:after="40"/>
      </w:pPr>
      <w:r>
        <w:rPr>
          <w:b/>
          <w:color w:val="334155"/>
        </w:rPr>
        <w:t>Stage 2: High-Data Micro-Siting &amp; Physical Thermodynamic Modeling</w:t>
      </w:r>
    </w:p>
    <w:p>
      <w:pPr>
        <w:spacing w:before="40" w:after="80" w:line="276" w:lineRule="auto"/>
      </w:pPr>
      <w:r>
        <w:rPr>
          <w:color w:val="334155"/>
          <w:sz w:val="19"/>
        </w:rPr>
        <w:t>To move beyond crude approximations, we ingested high-fidelity ground truth:</w:t>
      </w:r>
    </w:p>
    <w:p>
      <w:pPr>
        <w:pStyle w:val="ListBullet"/>
        <w:spacing w:before="20" w:after="40"/>
      </w:pPr>
      <w:r>
        <w:rPr>
          <w:b/>
          <w:color w:val="1E293B"/>
          <w:sz w:val="19"/>
        </w:rPr>
        <w:t>15.4M+ Cadastral Parcels</w:t>
      </w:r>
      <w:r>
        <w:rPr>
          <w:color w:val="334155"/>
          <w:sz w:val="19"/>
        </w:rPr>
        <w:t xml:space="preserve"> (Geoscape CSDM &amp; NSW Cadastre in GDA2020 / EPSG:7844 / EPSG:7856).</w:t>
      </w:r>
    </w:p>
    <w:p>
      <w:pPr>
        <w:pStyle w:val="ListBullet"/>
        <w:spacing w:before="20" w:after="40"/>
      </w:pPr>
      <w:r>
        <w:rPr>
          <w:b/>
          <w:color w:val="1E293B"/>
          <w:sz w:val="19"/>
        </w:rPr>
        <w:t>1m ELVIS LiDAR DEMs</w:t>
      </w:r>
      <w:r>
        <w:rPr>
          <w:color w:val="334155"/>
          <w:sz w:val="19"/>
        </w:rPr>
        <w:t xml:space="preserve"> to enforce strict &lt;5.0% slope foundation filters.</w:t>
      </w:r>
    </w:p>
    <w:p>
      <w:pPr>
        <w:pStyle w:val="ListBullet"/>
        <w:spacing w:before="20" w:after="40"/>
      </w:pPr>
      <w:r>
        <w:rPr>
          <w:b/>
          <w:color w:val="1E293B"/>
          <w:sz w:val="19"/>
        </w:rPr>
        <w:t>Continuous Sigmoidal Sensitive Decay Curves</w:t>
      </w:r>
      <w:r>
        <w:rPr>
          <w:color w:val="334155"/>
          <w:sz w:val="19"/>
        </w:rPr>
        <w:t xml:space="preserve"> ($d_0 = 500\text{m}$) implementing NSW EPA *Noise Policy for Industry* (NPfI 2017) sleep disturbance thresholds.</w:t>
      </w:r>
    </w:p>
    <w:p>
      <w:pPr>
        <w:pStyle w:val="ListBullet"/>
        <w:spacing w:before="20" w:after="40"/>
      </w:pPr>
      <w:r>
        <w:rPr>
          <w:b/>
          <w:color w:val="1E293B"/>
          <w:sz w:val="19"/>
        </w:rPr>
        <w:t>Closed-Loop Heat &amp; Cooling Physics</w:t>
      </w:r>
      <w:r>
        <w:rPr>
          <w:color w:val="334155"/>
          <w:sz w:val="19"/>
        </w:rPr>
        <w:t>: Modeling thermodynamic pipeline decay for district cooling symbiosis and environmental naturalization distances before river discharge.</w:t>
      </w:r>
    </w:p>
    <w:p>
      <w:pPr>
        <w:pStyle w:val="Heading3"/>
        <w:keepNext/>
        <w:spacing w:before="160" w:after="40"/>
      </w:pPr>
      <w:r>
        <w:rPr>
          <w:b/>
          <w:color w:val="334155"/>
        </w:rPr>
        <w:t>Stage 3: Continental Simulations &amp; National Scale-Out</w:t>
      </w:r>
    </w:p>
    <w:p>
      <w:pPr>
        <w:spacing w:before="40" w:after="80" w:line="276" w:lineRule="auto"/>
      </w:pPr>
      <w:r>
        <w:rPr>
          <w:color w:val="334155"/>
          <w:sz w:val="19"/>
        </w:rPr>
        <w:t xml:space="preserve">Once proven in the Hunter, we scaled the spatial architecture across </w:t>
      </w:r>
      <w:r>
        <w:rPr>
          <w:b/>
          <w:color w:val="1E293B"/>
          <w:sz w:val="19"/>
        </w:rPr>
        <w:t>all 6 Australian states</w:t>
      </w:r>
      <w:r>
        <w:rPr>
          <w:color w:val="334155"/>
          <w:sz w:val="19"/>
        </w:rPr>
        <w:t xml:space="preserve">. Ingesting national GeoParquet spatial partitions into the </w:t>
      </w:r>
      <w:r>
        <w:rPr>
          <w:b/>
          <w:color w:val="1E293B"/>
          <w:sz w:val="19"/>
        </w:rPr>
        <w:t>Wherobots Cloud</w:t>
      </w:r>
      <w:r>
        <w:rPr>
          <w:color w:val="334155"/>
          <w:sz w:val="19"/>
        </w:rPr>
        <w:t xml:space="preserve"> and </w:t>
      </w:r>
      <w:r>
        <w:rPr>
          <w:b/>
          <w:color w:val="1E293B"/>
          <w:sz w:val="19"/>
        </w:rPr>
        <w:t>Apache Sedona</w:t>
      </w:r>
      <w:r>
        <w:rPr>
          <w:color w:val="334155"/>
          <w:sz w:val="19"/>
        </w:rPr>
        <w:t xml:space="preserve"> lakehouse, we benchmarked 17 national candidate clusters (from Latrobe Valley and Portland in Victoria to Collie in WA and Gladstone in Queensland).</w:t>
      </w:r>
    </w:p>
    <w:p>
      <w:pPr>
        <w:spacing w:before="40" w:after="80" w:line="276" w:lineRule="auto"/>
      </w:pPr>
      <w:r>
        <w:rPr>
          <w:color w:val="334155"/>
          <w:sz w:val="19"/>
        </w:rPr>
        <w:t>We benchmarked every site on power grid proximity, industrial water access, and net scalable pad footprint.</w:t>
      </w:r>
    </w:p>
    <w:p>
      <w:pPr>
        <w:pStyle w:val="Heading3"/>
        <w:keepNext/>
        <w:spacing w:before="160" w:after="40"/>
      </w:pPr>
      <w:r>
        <w:rPr>
          <w:b/>
          <w:color w:val="334155"/>
        </w:rPr>
        <w:t>Stage 4: National High-Data Multi-Hazard Synthesis (MCDA)</w:t>
      </w:r>
    </w:p>
    <w:p>
      <w:pPr>
        <w:spacing w:before="40" w:after="80" w:line="276" w:lineRule="auto"/>
      </w:pPr>
      <w:r>
        <w:rPr>
          <w:color w:val="334155"/>
          <w:sz w:val="19"/>
        </w:rPr>
        <w:t xml:space="preserve">Macro-level proximity alone does not make a site investable. Critical infrastructure requires statutory resilience. We integrated 5 peer-reviewed statutory hazard layers into a unified </w:t>
      </w:r>
      <w:r>
        <w:rPr>
          <w:b/>
          <w:color w:val="1E293B"/>
          <w:sz w:val="19"/>
        </w:rPr>
        <w:t>6-Factor Multi-Criteria Decision Analysis (MCDA)</w:t>
      </w:r>
      <w:r>
        <w:rPr>
          <w:color w:val="334155"/>
          <w:sz w:val="19"/>
        </w:rPr>
        <w:t>:</w:t>
      </w:r>
    </w:p>
    <w:p>
      <w:pPr>
        <w:pStyle w:val="ListNumber"/>
        <w:spacing w:before="20" w:after="40"/>
      </w:pPr>
      <w:r>
        <w:rPr>
          <w:b/>
          <w:color w:val="1E293B"/>
          <w:sz w:val="19"/>
        </w:rPr>
        <w:t>1% AEP Dynamic Flood Depth</w:t>
      </w:r>
      <w:r>
        <w:rPr>
          <w:color w:val="334155"/>
          <w:sz w:val="19"/>
        </w:rPr>
        <w:t xml:space="preserve"> (*ARR 2019 / NCC 2022 Part B1*).</w:t>
      </w:r>
    </w:p>
    <w:p>
      <w:pPr>
        <w:pStyle w:val="ListNumber"/>
        <w:spacing w:before="20" w:after="40"/>
      </w:pPr>
      <w:r>
        <w:rPr>
          <w:b/>
          <w:color w:val="1E293B"/>
          <w:sz w:val="19"/>
        </w:rPr>
        <w:t>Earthquake Peak Ground Acceleration (PGA)</w:t>
      </w:r>
      <w:r>
        <w:rPr>
          <w:color w:val="334155"/>
          <w:sz w:val="19"/>
        </w:rPr>
        <w:t xml:space="preserve"> (*AS 1170.4:2007 / GA NSHA 2018*).</w:t>
      </w:r>
    </w:p>
    <w:p>
      <w:pPr>
        <w:pStyle w:val="ListNumber"/>
        <w:spacing w:before="20" w:after="40"/>
      </w:pPr>
      <w:r>
        <w:rPr>
          <w:b/>
          <w:color w:val="1E293B"/>
          <w:sz w:val="19"/>
        </w:rPr>
        <w:t>Extreme Cyclonic &amp; Regional Wind Loading</w:t>
      </w:r>
      <w:r>
        <w:rPr>
          <w:color w:val="334155"/>
          <w:sz w:val="19"/>
        </w:rPr>
        <w:t xml:space="preserve"> (*AS/NZS 1170.2:2021 / GA TCHA 2018*).</w:t>
      </w:r>
    </w:p>
    <w:p>
      <w:pPr>
        <w:pStyle w:val="ListNumber"/>
        <w:spacing w:before="20" w:after="40"/>
      </w:pPr>
      <w:r>
        <w:rPr>
          <w:b/>
          <w:color w:val="1E293B"/>
          <w:sz w:val="19"/>
        </w:rPr>
        <w:t>Landslide Susceptibility &amp; Topographic Instability</w:t>
      </w:r>
      <w:r>
        <w:rPr>
          <w:color w:val="334155"/>
          <w:sz w:val="19"/>
        </w:rPr>
        <w:t xml:space="preserve"> (*AGS 2007 Guidelines*).</w:t>
      </w:r>
    </w:p>
    <w:p>
      <w:pPr>
        <w:pStyle w:val="ListNumber"/>
        <w:spacing w:before="20" w:after="40"/>
      </w:pPr>
      <w:r>
        <w:rPr>
          <w:b/>
          <w:color w:val="1E293B"/>
          <w:sz w:val="19"/>
        </w:rPr>
        <w:t>Bushfire Ember Attack &amp; Defensible APZ Buffers</w:t>
      </w:r>
      <w:r>
        <w:rPr>
          <w:color w:val="334155"/>
          <w:sz w:val="19"/>
        </w:rPr>
        <w:t xml:space="preserve"> (*AS 3959:2018 / NSW RFS PBP 2019*).</w:t>
      </w:r>
    </w:p>
    <w:p>
      <w:pPr>
        <w:spacing w:before="40" w:after="80" w:line="276" w:lineRule="auto"/>
      </w:pPr>
      <w:r>
        <w:rPr>
          <w:color w:val="334155"/>
          <w:sz w:val="19"/>
        </w:rPr>
        <w:t xml:space="preserve">Every candidate site was assigned an explicit </w:t>
      </w:r>
      <w:r>
        <w:rPr>
          <w:b/>
          <w:color w:val="1E293B"/>
          <w:sz w:val="19"/>
        </w:rPr>
        <w:t>Spatial Data Depth Index</w:t>
      </w:r>
      <w:r>
        <w:rPr>
          <w:color w:val="334155"/>
          <w:sz w:val="19"/>
        </w:rPr>
        <w:t xml:space="preserve"> (distinguishing between 10/10 Tier-1 micro-surveyed sites and 8/10 regional interpolations) so investors and planning panels never mistake baseline approximations for physical site ground-truth.</w:t>
      </w:r>
    </w:p>
    <w:p>
      <w:pPr>
        <w:pStyle w:val="Heading3"/>
        <w:keepNext/>
        <w:spacing w:before="160" w:after="40"/>
      </w:pPr>
      <w:r>
        <w:rPr>
          <w:b/>
          <w:color w:val="334155"/>
        </w:rPr>
        <w:t>Stage 5: Deep Forensic Analysis &amp; Automated Project Submission Pipeline</w:t>
      </w:r>
    </w:p>
    <w:p>
      <w:pPr>
        <w:spacing w:before="40" w:after="80" w:line="276" w:lineRule="auto"/>
      </w:pPr>
      <w:r>
        <w:rPr>
          <w:color w:val="334155"/>
          <w:sz w:val="19"/>
        </w:rPr>
        <w:t xml:space="preserve">In the final phase, we undertook the ultimate stress test: downloading and synthesizing </w:t>
      </w:r>
      <w:r>
        <w:rPr>
          <w:b/>
          <w:color w:val="1E293B"/>
          <w:sz w:val="19"/>
        </w:rPr>
        <w:t>all 15 statutory public exhibition technical documents (&gt;135 MB)</w:t>
      </w:r>
      <w:r>
        <w:rPr>
          <w:color w:val="334155"/>
          <w:sz w:val="19"/>
        </w:rPr>
        <w:t xml:space="preserve"> for the *Macquarie Coal Complex Transformation Precinct* from the NSW Planning Portal.</w:t>
      </w:r>
    </w:p>
    <w:p>
      <w:pPr>
        <w:spacing w:before="40" w:after="80" w:line="276" w:lineRule="auto"/>
      </w:pPr>
      <w:r>
        <w:rPr>
          <w:color w:val="334155"/>
          <w:sz w:val="19"/>
        </w:rPr>
        <w:t>Our spatial audit revealed vital strategic insights:</w:t>
      </w:r>
    </w:p>
    <w:p>
      <w:pPr>
        <w:pStyle w:val="ListBullet"/>
        <w:spacing w:before="20" w:after="40"/>
      </w:pPr>
      <w:r>
        <w:rPr>
          <w:b/>
          <w:color w:val="1E293B"/>
          <w:sz w:val="19"/>
        </w:rPr>
        <w:t>True Net Developable Pad Space</w:t>
      </w:r>
      <w:r>
        <w:rPr>
          <w:color w:val="334155"/>
          <w:sz w:val="19"/>
        </w:rPr>
        <w:t xml:space="preserve">: Subtracting riparian buffers, 20m high-pressure water pipeline easements, &gt;5% slopes, and dam hazard setbacks reduced raw proponent claims to </w:t>
      </w:r>
      <w:r>
        <w:rPr>
          <w:b/>
          <w:color w:val="1E293B"/>
          <w:sz w:val="19"/>
        </w:rPr>
        <w:t>44.5 ha net immediate buildable pad space</w:t>
      </w:r>
      <w:r>
        <w:rPr>
          <w:color w:val="334155"/>
          <w:sz w:val="19"/>
        </w:rPr>
        <w:t xml:space="preserve"> across 10 certified Net Developable Pads (NDPs).</w:t>
      </w:r>
    </w:p>
    <w:p>
      <w:pPr>
        <w:pStyle w:val="ListBullet"/>
        <w:spacing w:before="20" w:after="40"/>
      </w:pPr>
      <w:r>
        <w:rPr>
          <w:b/>
          <w:color w:val="1E293B"/>
          <w:sz w:val="19"/>
        </w:rPr>
        <w:t>49.0 MWh Void Micro-PHES</w:t>
      </w:r>
      <w:r>
        <w:rPr>
          <w:color w:val="334155"/>
          <w:sz w:val="19"/>
        </w:rPr>
        <w:t>: Leveraging the site's 120m hydraulic head drop between the ridge plateau and lower open-cut pit void to create synchronous long-duration green energy firming.</w:t>
      </w:r>
    </w:p>
    <w:p>
      <w:pPr>
        <w:pStyle w:val="ListBullet"/>
        <w:spacing w:before="20" w:after="40"/>
      </w:pPr>
      <w:r>
        <w:rPr>
          <w:b/>
          <w:color w:val="1E293B"/>
          <w:sz w:val="19"/>
        </w:rPr>
        <w:t>Multi-Modal Connectivity</w:t>
      </w:r>
      <w:r>
        <w:rPr>
          <w:color w:val="334155"/>
          <w:sz w:val="19"/>
        </w:rPr>
        <w:t>: 1.8km active heavy rail siding loop (2.5M t/yr) directly connecting to the Main Northern Railway.</w:t>
      </w:r>
    </w:p>
    <w:p>
      <w:pPr>
        <w:spacing w:before="40" w:after="80" w:line="276" w:lineRule="auto"/>
      </w:pPr>
      <w:r>
        <w:rPr>
          <w:color w:val="334155"/>
          <w:sz w:val="19"/>
        </w:rPr>
        <w:t xml:space="preserve">Rather than building a one-off bespoke report, we engineered a </w:t>
      </w:r>
      <w:r>
        <w:rPr>
          <w:b/>
          <w:color w:val="1E293B"/>
          <w:sz w:val="19"/>
        </w:rPr>
        <w:t>generic, repeatable Multi-Project Submission Pipeline (`tools/build_project_package.py`)</w:t>
      </w:r>
      <w:r>
        <w:rPr>
          <w:color w:val="334155"/>
          <w:sz w:val="19"/>
        </w:rPr>
        <w:t>.</w:t>
      </w:r>
    </w:p>
    <w:p>
      <w:pPr>
        <w:spacing w:before="40" w:after="80" w:line="276" w:lineRule="auto"/>
      </w:pPr>
      <w:r>
        <w:rPr>
          <w:color w:val="334155"/>
          <w:sz w:val="19"/>
        </w:rPr>
        <w:t>---</w:t>
      </w:r>
    </w:p>
    <w:p>
      <w:pPr>
        <w:pStyle w:val="Heading2"/>
        <w:keepNext/>
        <w:spacing w:before="240" w:after="80"/>
      </w:pPr>
      <w:r>
        <w:rPr>
          <w:b/>
          <w:color w:val="0284C7"/>
        </w:rPr>
        <w:t>The Asymmetric Compute Paradigm: Cloud Lakehouse vs. Infinite-Scale Client Execution</w:t>
      </w:r>
    </w:p>
    <w:p>
      <w:pPr>
        <w:spacing w:before="40" w:after="80" w:line="276" w:lineRule="auto"/>
      </w:pPr>
      <w:r>
        <w:rPr>
          <w:color w:val="334155"/>
          <w:sz w:val="19"/>
        </w:rPr>
        <w:t xml:space="preserve">A common pitfall in cloud-native spatial marketing is claiming "free compute." In enterprise infrastructure, heavy geospatial computation carries real cost. AURA operates under an </w:t>
      </w:r>
      <w:r>
        <w:rPr>
          <w:b/>
          <w:color w:val="1E293B"/>
          <w:sz w:val="19"/>
        </w:rPr>
        <w:t>Asymmetric Compute Model</w:t>
      </w:r>
      <w:r>
        <w:rPr>
          <w:color w:val="334155"/>
          <w:sz w:val="19"/>
        </w:rPr>
        <w:t>:</w:t>
      </w:r>
    </w:p>
    <w:p>
      <w:pPr>
        <w:spacing w:before="80" w:after="120"/>
        <w:ind w:left="360"/>
      </w:pPr>
      <w:r>
        <w:rPr>
          <w:rFonts w:ascii="Consolas" w:hAnsi="Consolas"/>
          <w:color w:val="0F172A"/>
          <w:sz w:val="17"/>
        </w:rPr>
        <w:t>flowchart TD</w:t>
        <w:br/>
        <w:t xml:space="preserve">    subgraph Upstream["Upstream Batch Lakehouse Tier (Cloud Ingestion &amp; ETL)"]</w:t>
        <w:br/>
        <w:t xml:space="preserve">        U1["Raw Government Vector Feeds&lt;br/&gt;(15.4M Cadastral Parcels &amp; 25 APIs)"] --&gt; U2["Apache Sedona / Wherobots Cloud&lt;br/&gt;(Distributed Spatial Joins &amp; ST_Difference)"]</w:t>
        <w:br/>
        <w:t xml:space="preserve">        U2 --&gt; U3["GeoParquet &amp; Iceberg Lakehouse&lt;br/&gt;(Hilbert Space-Filling Partitions)"]</w:t>
        <w:br/>
        <w:t xml:space="preserve">        U3 --&gt; U4["Automated Pre-Computed Topologies&lt;br/&gt;(Distance Matrices &amp; Statutory Boundaries)"]</w:t>
        <w:br/>
        <w:t xml:space="preserve">    end</w:t>
        <w:br/>
        <w:br/>
        <w:t xml:space="preserve">    subgraph Downstream["Downstream Client-Side Execution Tier (Infinite Distribution)"]</w:t>
        <w:br/>
        <w:t xml:space="preserve">        U4 --&gt;|Single-File Vector Delivery| D1["Browser RAM &amp; Local CPU&lt;br/&gt;(DuckDB-WASM Engine)"]</w:t>
        <w:br/>
        <w:t xml:space="preserve">        D1 --&gt; D2["Dynamic MCDA Multi-Criteria Scoring&lt;br/&gt;(Instant Weight Rebalancing)"]</w:t>
        <w:br/>
        <w:t xml:space="preserve">        D1 --&gt; D3["Continuous Sigmoidal Decay Curves&lt;br/&gt;(Real-Time Acoustic &amp; Thermal Decay)"]</w:t>
        <w:br/>
        <w:t xml:space="preserve">        D1 --&gt; D4["60fps WebGL Digital Twin&lt;br/&gt;(MapLibre GL Pad Staging &amp; Inspection)"]</w:t>
        <w:br/>
        <w:t xml:space="preserve">    end</w:t>
        <w:br/>
        <w:br/>
        <w:t xml:space="preserve">    style Upstream fill:#1e293b,stroke:#f59e0b,color:#f8fafc</w:t>
        <w:br/>
        <w:t xml:space="preserve">    style Downstream fill:#0a2540,stroke:#22c55e,color:#ffffff,stroke-width:2px</w:t>
      </w:r>
    </w:p>
    <w:p>
      <w:pPr>
        <w:pStyle w:val="ListBullet"/>
        <w:spacing w:before="20" w:after="40"/>
      </w:pPr>
      <w:r>
        <w:rPr>
          <w:b/>
          <w:color w:val="1E293B"/>
          <w:sz w:val="19"/>
        </w:rPr>
        <w:t>Upstream Heavy Ingestion (Cloud Lakehouse)</w:t>
      </w:r>
      <w:r>
        <w:rPr>
          <w:color w:val="334155"/>
          <w:sz w:val="19"/>
        </w:rPr>
        <w:t xml:space="preserve">: Ingesting 15.4M cadastral parcels, running 15 statutory hazard grids, and processing continuous decay curves is executed in distributed batch runs on </w:t>
      </w:r>
      <w:r>
        <w:rPr>
          <w:b/>
          <w:color w:val="1E293B"/>
          <w:sz w:val="19"/>
        </w:rPr>
        <w:t>Apache Sedona and Wherobots Cloud</w:t>
      </w:r>
      <w:r>
        <w:rPr>
          <w:color w:val="334155"/>
          <w:sz w:val="19"/>
        </w:rPr>
        <w:t xml:space="preserve">. By right-sizing medium runtimes (8 vCPU, 32 GB RAM) and using Iceberg snapshot partition caching, full national batch pipeline runs execute for </w:t>
      </w:r>
      <w:r>
        <w:rPr>
          <w:b/>
          <w:color w:val="1E293B"/>
          <w:sz w:val="19"/>
        </w:rPr>
        <w:t>~$0.69 USD per full run</w:t>
      </w:r>
      <w:r>
        <w:rPr>
          <w:color w:val="334155"/>
          <w:sz w:val="19"/>
        </w:rPr>
        <w:t xml:space="preserve"> ($24.13 USD cumulative spend across 35 headless production passes).</w:t>
      </w:r>
    </w:p>
    <w:p>
      <w:pPr>
        <w:pStyle w:val="ListBullet"/>
        <w:spacing w:before="20" w:after="40"/>
      </w:pPr>
      <w:r>
        <w:rPr>
          <w:b/>
          <w:color w:val="1E293B"/>
          <w:sz w:val="19"/>
        </w:rPr>
        <w:t>Downstream Interactive Consumption (Client-Side WASM)</w:t>
      </w:r>
      <w:r>
        <w:rPr>
          <w:color w:val="334155"/>
          <w:sz w:val="19"/>
        </w:rPr>
        <w:t xml:space="preserve">: Instead of incurring server database query costs every time an analyst adjusts a slider or recalculates a buffer, the entire analytical scoring engine compiles to </w:t>
      </w:r>
      <w:r>
        <w:rPr>
          <w:b/>
          <w:color w:val="1E293B"/>
          <w:sz w:val="19"/>
        </w:rPr>
        <w:t>DuckDB WebAssembly</w:t>
      </w:r>
      <w:r>
        <w:rPr>
          <w:color w:val="334155"/>
          <w:sz w:val="19"/>
        </w:rPr>
        <w:t xml:space="preserve"> directly in the user's browser. Thousands of concurrent stakeholders can explore scenarios simultaneously at </w:t>
      </w:r>
      <w:r>
        <w:rPr>
          <w:b/>
          <w:color w:val="1E293B"/>
          <w:sz w:val="19"/>
        </w:rPr>
        <w:t>$0.00 incremental cloud compute cost</w:t>
      </w:r>
      <w:r>
        <w:rPr>
          <w:color w:val="334155"/>
          <w:sz w:val="19"/>
        </w:rPr>
        <w:t>.</w:t>
      </w:r>
    </w:p>
    <w:p>
      <w:pPr>
        <w:pStyle w:val="Heading3"/>
        <w:keepNext/>
        <w:spacing w:before="160" w:after="40"/>
      </w:pPr>
      <w:r>
        <w:rPr>
          <w:b/>
          <w:color w:val="334155"/>
        </w:rPr>
        <w:t>Architectural Cost Breakdown</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60" w:type="dxa"/>
              <w:bottom w:w="60" w:type="dxa"/>
              <w:left w:w="100" w:type="dxa"/>
              <w:right w:w="100" w:type="dxa"/>
            </w:tcMar>
            <w:shd w:fill="0F172A"/>
          </w:tcPr>
          <w:p>
            <w:pPr>
              <w:spacing w:before="40" w:after="40"/>
            </w:pPr>
            <w:r>
              <w:rPr>
                <w:b/>
                <w:color w:val="F8FAFC"/>
                <w:sz w:val="18"/>
              </w:rPr>
              <w:t>Operational Vector</w:t>
            </w:r>
          </w:p>
        </w:tc>
        <w:tc>
          <w:tcPr>
            <w:tcW w:type="dxa" w:w="2484"/>
            <w:tcMar>
              <w:top w:w="60" w:type="dxa"/>
              <w:bottom w:w="60" w:type="dxa"/>
              <w:left w:w="100" w:type="dxa"/>
              <w:right w:w="100" w:type="dxa"/>
            </w:tcMar>
            <w:shd w:fill="0F172A"/>
          </w:tcPr>
          <w:p>
            <w:pPr>
              <w:spacing w:before="40" w:after="40"/>
            </w:pPr>
            <w:r>
              <w:rPr>
                <w:b/>
                <w:color w:val="F8FAFC"/>
                <w:sz w:val="18"/>
              </w:rPr>
              <w:t>Traditional Server GIS Stack</w:t>
            </w:r>
          </w:p>
        </w:tc>
        <w:tc>
          <w:tcPr>
            <w:tcW w:type="dxa" w:w="2484"/>
            <w:tcMar>
              <w:top w:w="60" w:type="dxa"/>
              <w:bottom w:w="60" w:type="dxa"/>
              <w:left w:w="100" w:type="dxa"/>
              <w:right w:w="100" w:type="dxa"/>
            </w:tcMar>
            <w:shd w:fill="0F172A"/>
          </w:tcPr>
          <w:p>
            <w:pPr>
              <w:spacing w:before="40" w:after="40"/>
            </w:pPr>
            <w:r>
              <w:rPr>
                <w:b/>
                <w:color w:val="F8FAFC"/>
                <w:sz w:val="18"/>
              </w:rPr>
              <w:t>AURA Asymmetric WebAssembly Model</w:t>
            </w:r>
          </w:p>
        </w:tc>
        <w:tc>
          <w:tcPr>
            <w:tcW w:type="dxa" w:w="2484"/>
            <w:tcMar>
              <w:top w:w="60" w:type="dxa"/>
              <w:bottom w:w="60" w:type="dxa"/>
              <w:left w:w="100" w:type="dxa"/>
              <w:right w:w="100" w:type="dxa"/>
            </w:tcMar>
            <w:shd w:fill="0F172A"/>
          </w:tcPr>
          <w:p>
            <w:pPr>
              <w:spacing w:before="40" w:after="40"/>
            </w:pPr>
            <w:r>
              <w:rPr>
                <w:b/>
                <w:color w:val="F8FAFC"/>
                <w:sz w:val="18"/>
              </w:rPr>
              <w:t>Commercial &amp; Technical Advantage</w:t>
            </w:r>
          </w:p>
        </w:tc>
      </w:tr>
      <w:tr>
        <w:tc>
          <w:tcPr>
            <w:tcW w:type="dxa" w:w="2484"/>
            <w:tcMar>
              <w:top w:w="60" w:type="dxa"/>
              <w:bottom w:w="60" w:type="dxa"/>
              <w:left w:w="100" w:type="dxa"/>
              <w:right w:w="100" w:type="dxa"/>
            </w:tcMar>
            <w:shd w:fill="F8FAFC"/>
          </w:tcPr>
          <w:p>
            <w:pPr>
              <w:spacing w:before="40" w:after="40"/>
            </w:pPr>
            <w:r>
              <w:rPr>
                <w:color w:val="1E293B"/>
                <w:sz w:val="17"/>
              </w:rPr>
              <w:t>**Batch Ingestion &amp; Joins**</w:t>
            </w:r>
          </w:p>
        </w:tc>
        <w:tc>
          <w:tcPr>
            <w:tcW w:type="dxa" w:w="2484"/>
            <w:tcMar>
              <w:top w:w="60" w:type="dxa"/>
              <w:bottom w:w="60" w:type="dxa"/>
              <w:left w:w="100" w:type="dxa"/>
              <w:right w:w="100" w:type="dxa"/>
            </w:tcMar>
            <w:shd w:fill="F8FAFC"/>
          </w:tcPr>
          <w:p>
            <w:pPr>
              <w:spacing w:before="40" w:after="40"/>
            </w:pPr>
            <w:r>
              <w:rPr>
                <w:color w:val="1E293B"/>
                <w:sz w:val="17"/>
              </w:rPr>
              <w:t>$1,500 – $5,000 / month in dedicated VM clusters</w:t>
            </w:r>
          </w:p>
        </w:tc>
        <w:tc>
          <w:tcPr>
            <w:tcW w:type="dxa" w:w="2484"/>
            <w:tcMar>
              <w:top w:w="60" w:type="dxa"/>
              <w:bottom w:w="60" w:type="dxa"/>
              <w:left w:w="100" w:type="dxa"/>
              <w:right w:w="100" w:type="dxa"/>
            </w:tcMar>
            <w:shd w:fill="F8FAFC"/>
          </w:tcPr>
          <w:p>
            <w:pPr>
              <w:spacing w:before="40" w:after="40"/>
            </w:pPr>
            <w:r>
              <w:rPr>
                <w:color w:val="1E293B"/>
                <w:sz w:val="17"/>
              </w:rPr>
              <w:t>**~$0.69 USD per batch run** on serverless Sedona runtimes</w:t>
            </w:r>
          </w:p>
        </w:tc>
        <w:tc>
          <w:tcPr>
            <w:tcW w:type="dxa" w:w="2484"/>
            <w:tcMar>
              <w:top w:w="60" w:type="dxa"/>
              <w:bottom w:w="60" w:type="dxa"/>
              <w:left w:w="100" w:type="dxa"/>
              <w:right w:w="100" w:type="dxa"/>
            </w:tcMar>
            <w:shd w:fill="F8FAFC"/>
          </w:tcPr>
          <w:p>
            <w:pPr>
              <w:spacing w:before="40" w:after="40"/>
            </w:pPr>
            <w:r>
              <w:rPr>
                <w:color w:val="1E293B"/>
                <w:sz w:val="17"/>
              </w:rPr>
              <w:t>95%+ reduction in cloud infrastructure burn</w:t>
            </w:r>
          </w:p>
        </w:tc>
      </w:tr>
      <w:tr>
        <w:tc>
          <w:tcPr>
            <w:tcW w:type="dxa" w:w="2484"/>
            <w:tcMar>
              <w:top w:w="60" w:type="dxa"/>
              <w:bottom w:w="60" w:type="dxa"/>
              <w:left w:w="100" w:type="dxa"/>
              <w:right w:w="100" w:type="dxa"/>
            </w:tcMar>
            <w:shd w:fill="FFFFFF"/>
          </w:tcPr>
          <w:p>
            <w:pPr>
              <w:spacing w:before="40" w:after="40"/>
            </w:pPr>
            <w:r>
              <w:rPr>
                <w:color w:val="1E293B"/>
                <w:sz w:val="17"/>
              </w:rPr>
              <w:t>**Interactive Query Cost**</w:t>
            </w:r>
          </w:p>
        </w:tc>
        <w:tc>
          <w:tcPr>
            <w:tcW w:type="dxa" w:w="2484"/>
            <w:tcMar>
              <w:top w:w="60" w:type="dxa"/>
              <w:bottom w:w="60" w:type="dxa"/>
              <w:left w:w="100" w:type="dxa"/>
              <w:right w:w="100" w:type="dxa"/>
            </w:tcMar>
            <w:shd w:fill="FFFFFF"/>
          </w:tcPr>
          <w:p>
            <w:pPr>
              <w:spacing w:before="40" w:after="40"/>
            </w:pPr>
            <w:r>
              <w:rPr>
                <w:color w:val="1E293B"/>
                <w:sz w:val="17"/>
              </w:rPr>
              <w:t>$0.05 – $0.20 per scenario slider adjustment</w:t>
            </w:r>
          </w:p>
        </w:tc>
        <w:tc>
          <w:tcPr>
            <w:tcW w:type="dxa" w:w="2484"/>
            <w:tcMar>
              <w:top w:w="60" w:type="dxa"/>
              <w:bottom w:w="60" w:type="dxa"/>
              <w:left w:w="100" w:type="dxa"/>
              <w:right w:w="100" w:type="dxa"/>
            </w:tcMar>
            <w:shd w:fill="FFFFFF"/>
          </w:tcPr>
          <w:p>
            <w:pPr>
              <w:spacing w:before="40" w:after="40"/>
            </w:pPr>
            <w:r>
              <w:rPr>
                <w:color w:val="1E293B"/>
                <w:sz w:val="17"/>
              </w:rPr>
              <w:t>**$0.00 incremental marginal cost** (Client CPU/RAM)</w:t>
            </w:r>
          </w:p>
        </w:tc>
        <w:tc>
          <w:tcPr>
            <w:tcW w:type="dxa" w:w="2484"/>
            <w:tcMar>
              <w:top w:w="60" w:type="dxa"/>
              <w:bottom w:w="60" w:type="dxa"/>
              <w:left w:w="100" w:type="dxa"/>
              <w:right w:w="100" w:type="dxa"/>
            </w:tcMar>
            <w:shd w:fill="FFFFFF"/>
          </w:tcPr>
          <w:p>
            <w:pPr>
              <w:spacing w:before="40" w:after="40"/>
            </w:pPr>
            <w:r>
              <w:rPr>
                <w:color w:val="1E293B"/>
                <w:sz w:val="17"/>
              </w:rPr>
              <w:t>Zero cloud bill risk during public exhibition sweeps</w:t>
            </w:r>
          </w:p>
        </w:tc>
      </w:tr>
      <w:tr>
        <w:tc>
          <w:tcPr>
            <w:tcW w:type="dxa" w:w="2484"/>
            <w:tcMar>
              <w:top w:w="60" w:type="dxa"/>
              <w:bottom w:w="60" w:type="dxa"/>
              <w:left w:w="100" w:type="dxa"/>
              <w:right w:w="100" w:type="dxa"/>
            </w:tcMar>
            <w:shd w:fill="F8FAFC"/>
          </w:tcPr>
          <w:p>
            <w:pPr>
              <w:spacing w:before="40" w:after="40"/>
            </w:pPr>
            <w:r>
              <w:rPr>
                <w:color w:val="1E293B"/>
                <w:sz w:val="17"/>
              </w:rPr>
              <w:t>**Scenario Recalculation**</w:t>
            </w:r>
          </w:p>
        </w:tc>
        <w:tc>
          <w:tcPr>
            <w:tcW w:type="dxa" w:w="2484"/>
            <w:tcMar>
              <w:top w:w="60" w:type="dxa"/>
              <w:bottom w:w="60" w:type="dxa"/>
              <w:left w:w="100" w:type="dxa"/>
              <w:right w:w="100" w:type="dxa"/>
            </w:tcMar>
            <w:shd w:fill="F8FAFC"/>
          </w:tcPr>
          <w:p>
            <w:pPr>
              <w:spacing w:before="40" w:after="40"/>
            </w:pPr>
            <w:r>
              <w:rPr>
                <w:color w:val="1E293B"/>
                <w:sz w:val="17"/>
              </w:rPr>
              <w:t>3–15 seconds round-trip network latency</w:t>
            </w:r>
          </w:p>
        </w:tc>
        <w:tc>
          <w:tcPr>
            <w:tcW w:type="dxa" w:w="2484"/>
            <w:tcMar>
              <w:top w:w="60" w:type="dxa"/>
              <w:bottom w:w="60" w:type="dxa"/>
              <w:left w:w="100" w:type="dxa"/>
              <w:right w:w="100" w:type="dxa"/>
            </w:tcMar>
            <w:shd w:fill="F8FAFC"/>
          </w:tcPr>
          <w:p>
            <w:pPr>
              <w:spacing w:before="40" w:after="40"/>
            </w:pPr>
            <w:r>
              <w:rPr>
                <w:color w:val="1E293B"/>
                <w:sz w:val="17"/>
              </w:rPr>
              <w:t>**&lt;15 milliseconds** local memory execution</w:t>
            </w:r>
          </w:p>
        </w:tc>
        <w:tc>
          <w:tcPr>
            <w:tcW w:type="dxa" w:w="2484"/>
            <w:tcMar>
              <w:top w:w="60" w:type="dxa"/>
              <w:bottom w:w="60" w:type="dxa"/>
              <w:left w:w="100" w:type="dxa"/>
              <w:right w:w="100" w:type="dxa"/>
            </w:tcMar>
            <w:shd w:fill="F8FAFC"/>
          </w:tcPr>
          <w:p>
            <w:pPr>
              <w:spacing w:before="40" w:after="40"/>
            </w:pPr>
            <w:r>
              <w:rPr>
                <w:color w:val="1E293B"/>
                <w:sz w:val="17"/>
              </w:rPr>
              <w:t>Instantaneous sensitivity analysis for planning panels</w:t>
            </w:r>
          </w:p>
        </w:tc>
      </w:tr>
      <w:tr>
        <w:tc>
          <w:tcPr>
            <w:tcW w:type="dxa" w:w="2484"/>
            <w:tcMar>
              <w:top w:w="60" w:type="dxa"/>
              <w:bottom w:w="60" w:type="dxa"/>
              <w:left w:w="100" w:type="dxa"/>
              <w:right w:w="100" w:type="dxa"/>
            </w:tcMar>
            <w:shd w:fill="FFFFFF"/>
          </w:tcPr>
          <w:p>
            <w:pPr>
              <w:spacing w:before="40" w:after="40"/>
            </w:pPr>
            <w:r>
              <w:rPr>
                <w:color w:val="1E293B"/>
                <w:sz w:val="17"/>
              </w:rPr>
              <w:t>**Concurrent Capacity**</w:t>
            </w:r>
          </w:p>
        </w:tc>
        <w:tc>
          <w:tcPr>
            <w:tcW w:type="dxa" w:w="2484"/>
            <w:tcMar>
              <w:top w:w="60" w:type="dxa"/>
              <w:bottom w:w="60" w:type="dxa"/>
              <w:left w:w="100" w:type="dxa"/>
              <w:right w:w="100" w:type="dxa"/>
            </w:tcMar>
            <w:shd w:fill="FFFFFF"/>
          </w:tcPr>
          <w:p>
            <w:pPr>
              <w:spacing w:before="40" w:after="40"/>
            </w:pPr>
            <w:r>
              <w:rPr>
                <w:color w:val="1E293B"/>
                <w:sz w:val="17"/>
              </w:rPr>
              <w:t>Degrades at &gt;100 simultaneous users</w:t>
            </w:r>
          </w:p>
        </w:tc>
        <w:tc>
          <w:tcPr>
            <w:tcW w:type="dxa" w:w="2484"/>
            <w:tcMar>
              <w:top w:w="60" w:type="dxa"/>
              <w:bottom w:w="60" w:type="dxa"/>
              <w:left w:w="100" w:type="dxa"/>
              <w:right w:w="100" w:type="dxa"/>
            </w:tcMar>
            <w:shd w:fill="FFFFFF"/>
          </w:tcPr>
          <w:p>
            <w:pPr>
              <w:spacing w:before="40" w:after="40"/>
            </w:pPr>
            <w:r>
              <w:rPr>
                <w:color w:val="1E293B"/>
                <w:sz w:val="17"/>
              </w:rPr>
              <w:t>**Infinitely scalable** (Stateless vector distribution)</w:t>
            </w:r>
          </w:p>
        </w:tc>
        <w:tc>
          <w:tcPr>
            <w:tcW w:type="dxa" w:w="2484"/>
            <w:tcMar>
              <w:top w:w="60" w:type="dxa"/>
              <w:bottom w:w="60" w:type="dxa"/>
              <w:left w:w="100" w:type="dxa"/>
              <w:right w:w="100" w:type="dxa"/>
            </w:tcMar>
            <w:shd w:fill="FFFFFF"/>
          </w:tcPr>
          <w:p>
            <w:pPr>
              <w:spacing w:before="40" w:after="40"/>
            </w:pPr>
            <w:r>
              <w:rPr>
                <w:color w:val="1E293B"/>
                <w:sz w:val="17"/>
              </w:rPr>
              <w:t>Seamlessly handles 10,000+ public stakeholders</w:t>
            </w:r>
          </w:p>
        </w:tc>
      </w:tr>
    </w:tbl>
    <w:p/>
    <w:p>
      <w:pPr>
        <w:spacing w:before="40" w:after="80" w:line="276" w:lineRule="auto"/>
      </w:pPr>
      <w:r>
        <w:rPr>
          <w:color w:val="334155"/>
          <w:sz w:val="19"/>
        </w:rPr>
        <w:t>---</w:t>
      </w:r>
    </w:p>
    <w:p>
      <w:pPr>
        <w:pStyle w:val="Heading2"/>
        <w:keepNext/>
        <w:spacing w:before="240" w:after="80"/>
      </w:pPr>
      <w:r>
        <w:rPr>
          <w:b/>
          <w:color w:val="0284C7"/>
        </w:rPr>
        <w:t>Deterministic AI Safety: The Read-Only Text-to-SQL Sandbox</w:t>
      </w:r>
    </w:p>
    <w:p>
      <w:pPr>
        <w:spacing w:before="40" w:after="80" w:line="276" w:lineRule="auto"/>
      </w:pPr>
      <w:r>
        <w:rPr>
          <w:color w:val="334155"/>
          <w:sz w:val="19"/>
        </w:rPr>
        <w:t>In national energy and industrial siting, an AI hallucination is fatal. A single invented parcel coordinate or hallucinated transmission easement could trigger a catastrophic multi-million-dollar misallocation.</w:t>
      </w:r>
    </w:p>
    <w:p>
      <w:pPr>
        <w:spacing w:before="40" w:after="80" w:line="276" w:lineRule="auto"/>
      </w:pPr>
      <w:r>
        <w:rPr>
          <w:color w:val="334155"/>
          <w:sz w:val="19"/>
        </w:rPr>
        <w:t xml:space="preserve">AURA addresses this by establishing a </w:t>
      </w:r>
      <w:r>
        <w:rPr>
          <w:b/>
          <w:color w:val="1E293B"/>
          <w:sz w:val="19"/>
        </w:rPr>
        <w:t>Deterministic AI Sandbox</w:t>
      </w:r>
      <w:r>
        <w:rPr>
          <w:color w:val="334155"/>
          <w:sz w:val="19"/>
        </w:rPr>
        <w:t>:</w:t>
      </w:r>
    </w:p>
    <w:p>
      <w:pPr>
        <w:spacing w:before="80" w:after="120"/>
        <w:ind w:left="360"/>
      </w:pPr>
      <w:r>
        <w:rPr>
          <w:rFonts w:ascii="Consolas" w:hAnsi="Consolas"/>
          <w:color w:val="0F172A"/>
          <w:sz w:val="17"/>
        </w:rPr>
        <w:t>flowchart TD</w:t>
        <w:br/>
        <w:t xml:space="preserve">    UserPrompt["User Natural Language Prompt&lt;br/&gt;('Find parcels &gt;50ha within 2km of 330kV lines')"] --&gt; LLMCompiler["Spatial AI Text-to-SQL Compiler&lt;br/&gt;(Translates English to Parameterized SQL)"]</w:t>
        <w:br/>
        <w:t xml:space="preserve">    </w:t>
        <w:br/>
        <w:t xml:space="preserve">    LLMCompiler --&gt; ASTGuard["Deterministic AST &amp; Schema Firewall&lt;br/&gt;(Validates Column References &amp; Blocks Mutations)"]</w:t>
        <w:br/>
        <w:t xml:space="preserve">    </w:t>
        <w:br/>
        <w:t xml:space="preserve">    ASTGuard --&gt;|Query Approved| ReadOnlyEngine["Read-Only Analytical Engine&lt;br/&gt;(DuckDB-WASM / Sedona Lakehouse)"]</w:t>
        <w:br/>
        <w:t xml:space="preserve">    ASTGuard --&gt;|Schema Violation / Mutation Detected| RejectBlock["Immediate Query Rejection &amp; Error Boundary"]</w:t>
        <w:br/>
        <w:t xml:space="preserve">    </w:t>
        <w:br/>
        <w:t xml:space="preserve">    ReadOnlyEngine --&gt; CertifiedData["Pre-Certified GeoParquet &amp; Lakehouse Assets&lt;br/&gt;(Verified Cadastre, Substation &amp; Hazard Grids)"]</w:t>
        <w:br/>
        <w:t xml:space="preserve">    </w:t>
        <w:br/>
        <w:t xml:space="preserve">    CertifiedData --&gt; DeterministicResult["Deterministic Vector Records &amp; Visual Rendering&lt;br/&gt;(MapLibre GL Map &amp; Tabular Inspection Dock)"]</w:t>
        <w:br/>
        <w:br/>
        <w:t xml:space="preserve">    style UserPrompt fill:#1e293b,stroke:#3b82f6,color:#f8fafc</w:t>
        <w:br/>
        <w:t xml:space="preserve">    style LLMCompiler fill:#1e293b,stroke:#8b5cf6,color:#f8fafc</w:t>
        <w:br/>
        <w:t xml:space="preserve">    style ASTGuard fill:#b91c1c,stroke:#f87171,color:#ffffff,stroke-width:2px</w:t>
        <w:br/>
        <w:t xml:space="preserve">    style ReadOnlyEngine fill:#065f46,stroke:#34d399,color:#ffffff,stroke-width:2px</w:t>
        <w:br/>
        <w:t xml:space="preserve">    style CertifiedData fill:#1e293b,stroke:#38bdf8,color:#f8fafc</w:t>
        <w:br/>
        <w:t xml:space="preserve">    style DeterministicResult fill:#0284c7,stroke:#38bdf8,color:#ffffff</w:t>
      </w:r>
    </w:p>
    <w:p>
      <w:pPr>
        <w:pStyle w:val="Heading3"/>
        <w:keepNext/>
        <w:spacing w:before="160" w:after="40"/>
      </w:pPr>
      <w:r>
        <w:rPr>
          <w:b/>
          <w:color w:val="334155"/>
        </w:rPr>
        <w:t>Safety Rules &amp; Zero-Hallucination Guarantees</w:t>
      </w:r>
    </w:p>
    <w:p>
      <w:pPr>
        <w:pStyle w:val="ListNumber"/>
        <w:spacing w:before="20" w:after="40"/>
      </w:pPr>
      <w:r>
        <w:rPr>
          <w:b/>
          <w:color w:val="1E293B"/>
          <w:sz w:val="19"/>
        </w:rPr>
        <w:t>The 'Librarian' Isolation Principle</w:t>
      </w:r>
      <w:r>
        <w:rPr>
          <w:color w:val="334155"/>
          <w:sz w:val="19"/>
        </w:rPr>
        <w:t xml:space="preserve">: The conversational agent acts strictly as a query assistant querying a pre-certified library. It has </w:t>
      </w:r>
      <w:r>
        <w:rPr>
          <w:b/>
          <w:color w:val="1E293B"/>
          <w:sz w:val="19"/>
        </w:rPr>
        <w:t>zero administrative permission</w:t>
      </w:r>
      <w:r>
        <w:rPr>
          <w:color w:val="334155"/>
          <w:sz w:val="19"/>
        </w:rPr>
        <w:t xml:space="preserve"> to create, modify, or reproject spatial geometries.</w:t>
      </w:r>
    </w:p>
    <w:p>
      <w:pPr>
        <w:pStyle w:val="ListNumber"/>
        <w:spacing w:before="20" w:after="40"/>
      </w:pPr>
      <w:r>
        <w:rPr>
          <w:b/>
          <w:color w:val="1E293B"/>
          <w:sz w:val="19"/>
        </w:rPr>
        <w:t>Zero Coordinate Invention</w:t>
      </w:r>
      <w:r>
        <w:rPr>
          <w:color w:val="334155"/>
          <w:sz w:val="19"/>
        </w:rPr>
        <w:t>: The AI does not generate latitude/longitude points or draw boundaries. It strictly emits standard SQL filter predicates (</w:t>
      </w:r>
      <w:r>
        <w:rPr>
          <w:rFonts w:ascii="Consolas" w:hAnsi="Consolas"/>
          <w:color w:val="0E7490"/>
          <w:sz w:val="17"/>
        </w:rPr>
        <w:t>WHERE area_ha &gt;= 50 AND dist_to_substation_km &lt;= 2.0</w:t>
      </w:r>
      <w:r>
        <w:rPr>
          <w:color w:val="334155"/>
          <w:sz w:val="19"/>
        </w:rPr>
        <w:t>).</w:t>
      </w:r>
    </w:p>
    <w:p>
      <w:pPr>
        <w:pStyle w:val="ListNumber"/>
        <w:spacing w:before="20" w:after="40"/>
      </w:pPr>
      <w:r>
        <w:rPr>
          <w:b/>
          <w:color w:val="1E293B"/>
          <w:sz w:val="19"/>
        </w:rPr>
        <w:t>AST Schema Firewall</w:t>
      </w:r>
      <w:r>
        <w:rPr>
          <w:color w:val="334155"/>
          <w:sz w:val="19"/>
        </w:rPr>
        <w:t>: Generated SQL queries pass through an Abstract Syntax Tree (AST) validation layer. Mutation statements (</w:t>
      </w:r>
      <w:r>
        <w:rPr>
          <w:rFonts w:ascii="Consolas" w:hAnsi="Consolas"/>
          <w:color w:val="0E7490"/>
          <w:sz w:val="17"/>
        </w:rPr>
        <w:t>INSERT</w:t>
      </w:r>
      <w:r>
        <w:rPr>
          <w:color w:val="334155"/>
          <w:sz w:val="19"/>
        </w:rPr>
        <w:t xml:space="preserve">, </w:t>
      </w:r>
      <w:r>
        <w:rPr>
          <w:rFonts w:ascii="Consolas" w:hAnsi="Consolas"/>
          <w:color w:val="0E7490"/>
          <w:sz w:val="17"/>
        </w:rPr>
        <w:t>UPDATE</w:t>
      </w:r>
      <w:r>
        <w:rPr>
          <w:color w:val="334155"/>
          <w:sz w:val="19"/>
        </w:rPr>
        <w:t xml:space="preserve">, </w:t>
      </w:r>
      <w:r>
        <w:rPr>
          <w:rFonts w:ascii="Consolas" w:hAnsi="Consolas"/>
          <w:color w:val="0E7490"/>
          <w:sz w:val="17"/>
        </w:rPr>
        <w:t>DROP</w:t>
      </w:r>
      <w:r>
        <w:rPr>
          <w:color w:val="334155"/>
          <w:sz w:val="19"/>
        </w:rPr>
        <w:t xml:space="preserve">, </w:t>
      </w:r>
      <w:r>
        <w:rPr>
          <w:rFonts w:ascii="Consolas" w:hAnsi="Consolas"/>
          <w:color w:val="0E7490"/>
          <w:sz w:val="17"/>
        </w:rPr>
        <w:t>DELETE</w:t>
      </w:r>
      <w:r>
        <w:rPr>
          <w:color w:val="334155"/>
          <w:sz w:val="19"/>
        </w:rPr>
        <w:t>) or invalid table joins are blocked before reaching the query engine.</w:t>
      </w:r>
    </w:p>
    <w:p>
      <w:pPr>
        <w:pStyle w:val="ListNumber"/>
        <w:spacing w:before="20" w:after="40"/>
      </w:pPr>
      <w:r>
        <w:rPr>
          <w:b/>
          <w:color w:val="1E293B"/>
          <w:sz w:val="19"/>
        </w:rPr>
        <w:t>Pre-Certified Data Grounding</w:t>
      </w:r>
      <w:r>
        <w:rPr>
          <w:color w:val="334155"/>
          <w:sz w:val="19"/>
        </w:rPr>
        <w:t>: Queries execute exclusively against verified GeoParquet/Iceberg partitions audited by our automated zero-mock test harness (</w:t>
      </w:r>
      <w:r>
        <w:rPr>
          <w:rFonts w:ascii="Consolas" w:hAnsi="Consolas"/>
          <w:color w:val="0E7490"/>
          <w:sz w:val="17"/>
        </w:rPr>
        <w:t>pytest tests/lint/test_no_mock_data.py</w:t>
      </w:r>
      <w:r>
        <w:rPr>
          <w:color w:val="334155"/>
          <w:sz w:val="19"/>
        </w:rPr>
        <w:t>).</w:t>
      </w:r>
    </w:p>
    <w:p>
      <w:pPr>
        <w:spacing w:before="40" w:after="80" w:line="276" w:lineRule="auto"/>
      </w:pPr>
      <w:r>
        <w:rPr>
          <w:color w:val="334155"/>
          <w:sz w:val="19"/>
        </w:rPr>
        <w:t>---</w:t>
      </w:r>
    </w:p>
    <w:p>
      <w:pPr>
        <w:pStyle w:val="Heading2"/>
        <w:keepNext/>
        <w:spacing w:before="240" w:after="80"/>
      </w:pPr>
      <w:r>
        <w:rPr>
          <w:b/>
          <w:color w:val="0284C7"/>
        </w:rPr>
        <w:t>Top Engineering Lessons Learned</w:t>
      </w:r>
    </w:p>
    <w:p>
      <w:pPr>
        <w:pStyle w:val="ListNumber"/>
        <w:spacing w:before="20" w:after="40"/>
      </w:pPr>
      <w:r>
        <w:rPr>
          <w:b/>
          <w:color w:val="1E293B"/>
          <w:sz w:val="19"/>
        </w:rPr>
        <w:t>🛡️ Zero-Mock Data Integrity Standard</w:t>
      </w:r>
      <w:r>
        <w:rPr>
          <w:color w:val="334155"/>
          <w:sz w:val="19"/>
        </w:rPr>
        <w:t>: Synthetic coordinates and mock sample arrays create fatal blindspots in spatial infrastructure. We instituted a strict zero-mock AST scanner (</w:t>
      </w:r>
      <w:r>
        <w:rPr>
          <w:rFonts w:ascii="Consolas" w:hAnsi="Consolas"/>
          <w:color w:val="0E7490"/>
          <w:sz w:val="17"/>
        </w:rPr>
        <w:t>pytest tests/lint/test_no_mock_data.py</w:t>
      </w:r>
      <w:r>
        <w:rPr>
          <w:color w:val="334155"/>
          <w:sz w:val="19"/>
        </w:rPr>
        <w:t>). All UI components, tables, and inspection docks must load 100% verified live datasets or explicit error boundaries.</w:t>
      </w:r>
    </w:p>
    <w:p>
      <w:pPr>
        <w:pStyle w:val="ListNumber"/>
        <w:spacing w:before="20" w:after="40"/>
      </w:pPr>
      <w:r>
        <w:rPr>
          <w:b/>
          <w:color w:val="1E293B"/>
          <w:sz w:val="19"/>
        </w:rPr>
        <w:t>⚡ Decoupled Heavy Geometry vs. Scoring</w:t>
      </w:r>
      <w:r>
        <w:rPr>
          <w:color w:val="334155"/>
          <w:sz w:val="19"/>
        </w:rPr>
        <w:t>: Running heavy spatial joins (</w:t>
      </w:r>
      <w:r>
        <w:rPr>
          <w:rFonts w:ascii="Consolas" w:hAnsi="Consolas"/>
          <w:color w:val="0E7490"/>
          <w:sz w:val="17"/>
        </w:rPr>
        <w:t>ST_Difference</w:t>
      </w:r>
      <w:r>
        <w:rPr>
          <w:color w:val="334155"/>
          <w:sz w:val="19"/>
        </w:rPr>
        <w:t xml:space="preserve">, Voronoi buffering, CRS projections) on every slider adjustment causes prohibitive cloud bills. Pre-computing spatial topology once and evaluating mathematical scoring curves in client-side DuckDB-WASM dropped full national runs to </w:t>
      </w:r>
      <w:r>
        <w:rPr>
          <w:b/>
          <w:color w:val="1E293B"/>
          <w:sz w:val="19"/>
        </w:rPr>
        <w:t>$0.69 USD</w:t>
      </w:r>
      <w:r>
        <w:rPr>
          <w:color w:val="334155"/>
          <w:sz w:val="19"/>
        </w:rPr>
        <w:t>.</w:t>
      </w:r>
    </w:p>
    <w:p>
      <w:pPr>
        <w:pStyle w:val="ListNumber"/>
        <w:spacing w:before="20" w:after="40"/>
      </w:pPr>
      <w:r>
        <w:rPr>
          <w:b/>
          <w:color w:val="1E293B"/>
          <w:sz w:val="19"/>
        </w:rPr>
        <w:t>🚀 Viewport-Aware Area-Priority Limiting</w:t>
      </w:r>
      <w:r>
        <w:rPr>
          <w:color w:val="334155"/>
          <w:sz w:val="19"/>
        </w:rPr>
        <w:t xml:space="preserve">: Attempting to render 15.4M cadastral parcels crashes the browser DOM. We introduced an </w:t>
      </w:r>
      <w:r>
        <w:rPr>
          <w:b/>
          <w:color w:val="1E293B"/>
          <w:sz w:val="19"/>
        </w:rPr>
        <w:t>Area-Priority 500-Feature Viewport Limiter</w:t>
      </w:r>
      <w:r>
        <w:rPr>
          <w:color w:val="334155"/>
          <w:sz w:val="19"/>
        </w:rPr>
        <w:t xml:space="preserve"> (</w:t>
      </w:r>
      <w:r>
        <w:rPr>
          <w:rFonts w:ascii="Consolas" w:hAnsi="Consolas"/>
          <w:color w:val="0E7490"/>
          <w:sz w:val="17"/>
        </w:rPr>
        <w:t>ORDER BY ST_Area(geom) DESC</w:t>
      </w:r>
      <w:r>
        <w:rPr>
          <w:color w:val="334155"/>
          <w:sz w:val="19"/>
        </w:rPr>
        <w:t>). This ensures fluid 60fps rendering while guaranteeing macro situational awareness of major parcels.</w:t>
      </w:r>
    </w:p>
    <w:p>
      <w:pPr>
        <w:pStyle w:val="ListNumber"/>
        <w:spacing w:before="20" w:after="40"/>
      </w:pPr>
      <w:r>
        <w:rPr>
          <w:b/>
          <w:color w:val="1E293B"/>
          <w:sz w:val="19"/>
        </w:rPr>
        <w:t>📦 Single-File Standalone Portability</w:t>
      </w:r>
      <w:r>
        <w:rPr>
          <w:color w:val="334155"/>
          <w:sz w:val="19"/>
        </w:rPr>
        <w:t>: Planning authorities and investment committees cannot navigate complex GIS logins or broken tile servers. Packaging complete MapLibre digital twins, embedded GeoJSON micro-layers, and DuckDB-WASM into self-contained single-file HTML reports provides zero-latency offline auditing.</w:t>
      </w:r>
    </w:p>
    <w:p>
      <w:pPr>
        <w:pStyle w:val="ListNumber"/>
        <w:spacing w:before="20" w:after="40"/>
      </w:pPr>
      <w:r>
        <w:rPr>
          <w:b/>
          <w:color w:val="1E293B"/>
          <w:sz w:val="19"/>
        </w:rPr>
        <w:t>🔍 The Statutory Ground-Truth Lesson</w:t>
      </w:r>
      <w:r>
        <w:rPr>
          <w:color w:val="334155"/>
          <w:sz w:val="19"/>
        </w:rPr>
        <w:t>: Proponents frequently advertise *"100% buildable gross site area"*. Topological subtraction of statutory easements (high-pressure water mains, 30m riparian zones, &gt;5% slopes, and Dams Safety NSW de-declaration buffers) often reduces developable yield by 30% to 55%. Real-world siting must be grounded in physical and legal constraints, not unverified marketing boundaries.</w:t>
      </w:r>
    </w:p>
    <w:p>
      <w:pPr>
        <w:spacing w:before="40" w:after="80" w:line="276" w:lineRule="auto"/>
      </w:pPr>
      <w:r>
        <w:rPr>
          <w:color w:val="334155"/>
          <w:sz w:val="19"/>
        </w:rPr>
        <w:t>---</w:t>
      </w:r>
    </w:p>
    <w:p>
      <w:pPr>
        <w:pStyle w:val="Heading2"/>
        <w:keepNext/>
        <w:spacing w:before="240" w:after="80"/>
      </w:pPr>
      <w:r>
        <w:rPr>
          <w:b/>
          <w:color w:val="0284C7"/>
        </w:rPr>
        <w:t>Multi-Modal Input Spectrum: What Inputs Power the Pipeline?</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60" w:type="dxa"/>
              <w:bottom w:w="60" w:type="dxa"/>
              <w:left w:w="100" w:type="dxa"/>
              <w:right w:w="100" w:type="dxa"/>
            </w:tcMar>
            <w:shd w:fill="0F172A"/>
          </w:tcPr>
          <w:p>
            <w:pPr>
              <w:spacing w:before="40" w:after="40"/>
            </w:pPr>
            <w:r>
              <w:rPr>
                <w:b/>
                <w:color w:val="F8FAFC"/>
                <w:sz w:val="18"/>
              </w:rPr>
              <w:t>Input Data Stream</w:t>
            </w:r>
          </w:p>
        </w:tc>
        <w:tc>
          <w:tcPr>
            <w:tcW w:type="dxa" w:w="2484"/>
            <w:tcMar>
              <w:top w:w="60" w:type="dxa"/>
              <w:bottom w:w="60" w:type="dxa"/>
              <w:left w:w="100" w:type="dxa"/>
              <w:right w:w="100" w:type="dxa"/>
            </w:tcMar>
            <w:shd w:fill="0F172A"/>
          </w:tcPr>
          <w:p>
            <w:pPr>
              <w:spacing w:before="40" w:after="40"/>
            </w:pPr>
            <w:r>
              <w:rPr>
                <w:b/>
                <w:color w:val="F8FAFC"/>
                <w:sz w:val="18"/>
              </w:rPr>
              <w:t>Source &amp; Format</w:t>
            </w:r>
          </w:p>
        </w:tc>
        <w:tc>
          <w:tcPr>
            <w:tcW w:type="dxa" w:w="2484"/>
            <w:tcMar>
              <w:top w:w="60" w:type="dxa"/>
              <w:bottom w:w="60" w:type="dxa"/>
              <w:left w:w="100" w:type="dxa"/>
              <w:right w:w="100" w:type="dxa"/>
            </w:tcMar>
            <w:shd w:fill="0F172A"/>
          </w:tcPr>
          <w:p>
            <w:pPr>
              <w:spacing w:before="40" w:after="40"/>
            </w:pPr>
            <w:r>
              <w:rPr>
                <w:b/>
                <w:color w:val="F8FAFC"/>
                <w:sz w:val="18"/>
              </w:rPr>
              <w:t>Ingestion Role in AURA Pipeline</w:t>
            </w:r>
          </w:p>
        </w:tc>
        <w:tc>
          <w:tcPr>
            <w:tcW w:type="dxa" w:w="2484"/>
            <w:tcMar>
              <w:top w:w="60" w:type="dxa"/>
              <w:bottom w:w="60" w:type="dxa"/>
              <w:left w:w="100" w:type="dxa"/>
              <w:right w:w="100" w:type="dxa"/>
            </w:tcMar>
            <w:shd w:fill="0F172A"/>
          </w:tcPr>
          <w:p>
            <w:pPr>
              <w:spacing w:before="40" w:after="40"/>
            </w:pPr>
            <w:r>
              <w:rPr>
                <w:b/>
                <w:color w:val="F8FAFC"/>
                <w:sz w:val="18"/>
              </w:rPr>
              <w:t>Resolution / Standard</w:t>
            </w:r>
          </w:p>
        </w:tc>
      </w:tr>
      <w:tr>
        <w:tc>
          <w:tcPr>
            <w:tcW w:type="dxa" w:w="2484"/>
            <w:tcMar>
              <w:top w:w="60" w:type="dxa"/>
              <w:bottom w:w="60" w:type="dxa"/>
              <w:left w:w="100" w:type="dxa"/>
              <w:right w:w="100" w:type="dxa"/>
            </w:tcMar>
            <w:shd w:fill="F8FAFC"/>
          </w:tcPr>
          <w:p>
            <w:pPr>
              <w:spacing w:before="40" w:after="40"/>
            </w:pPr>
            <w:r>
              <w:rPr>
                <w:color w:val="1E293B"/>
                <w:sz w:val="17"/>
              </w:rPr>
              <w:t>**Statutory Exhibition Studies**</w:t>
            </w:r>
          </w:p>
        </w:tc>
        <w:tc>
          <w:tcPr>
            <w:tcW w:type="dxa" w:w="2484"/>
            <w:tcMar>
              <w:top w:w="60" w:type="dxa"/>
              <w:bottom w:w="60" w:type="dxa"/>
              <w:left w:w="100" w:type="dxa"/>
              <w:right w:w="100" w:type="dxa"/>
            </w:tcMar>
            <w:shd w:fill="F8FAFC"/>
          </w:tcPr>
          <w:p>
            <w:pPr>
              <w:spacing w:before="40" w:after="40"/>
            </w:pPr>
            <w:r>
              <w:rPr>
                <w:color w:val="1E293B"/>
                <w:sz w:val="17"/>
              </w:rPr>
              <w:t>NSW Planning Portal (PDFs, EIS, Geotechnical, Acoustics)</w:t>
            </w:r>
          </w:p>
        </w:tc>
        <w:tc>
          <w:tcPr>
            <w:tcW w:type="dxa" w:w="2484"/>
            <w:tcMar>
              <w:top w:w="60" w:type="dxa"/>
              <w:bottom w:w="60" w:type="dxa"/>
              <w:left w:w="100" w:type="dxa"/>
              <w:right w:w="100" w:type="dxa"/>
            </w:tcMar>
            <w:shd w:fill="F8FAFC"/>
          </w:tcPr>
          <w:p>
            <w:pPr>
              <w:spacing w:before="40" w:after="40"/>
            </w:pPr>
            <w:r>
              <w:rPr>
                <w:color w:val="1E293B"/>
                <w:sz w:val="17"/>
              </w:rPr>
              <w:t>Extraction of certified noise limits, subsidence classes (G1–G3), and water allocations</w:t>
            </w:r>
          </w:p>
        </w:tc>
        <w:tc>
          <w:tcPr>
            <w:tcW w:type="dxa" w:w="2484"/>
            <w:tcMar>
              <w:top w:w="60" w:type="dxa"/>
              <w:bottom w:w="60" w:type="dxa"/>
              <w:left w:w="100" w:type="dxa"/>
              <w:right w:w="100" w:type="dxa"/>
            </w:tcMar>
            <w:shd w:fill="F8FAFC"/>
          </w:tcPr>
          <w:p>
            <w:pPr>
              <w:spacing w:before="40" w:after="40"/>
            </w:pPr>
            <w:r>
              <w:rPr>
                <w:color w:val="1E293B"/>
                <w:sz w:val="17"/>
              </w:rPr>
              <w:t>15+ Technical Reports (&gt;135 MB per site)</w:t>
            </w:r>
          </w:p>
        </w:tc>
      </w:tr>
      <w:tr>
        <w:tc>
          <w:tcPr>
            <w:tcW w:type="dxa" w:w="2484"/>
            <w:tcMar>
              <w:top w:w="60" w:type="dxa"/>
              <w:bottom w:w="60" w:type="dxa"/>
              <w:left w:w="100" w:type="dxa"/>
              <w:right w:w="100" w:type="dxa"/>
            </w:tcMar>
            <w:shd w:fill="FFFFFF"/>
          </w:tcPr>
          <w:p>
            <w:pPr>
              <w:spacing w:before="40" w:after="40"/>
            </w:pPr>
            <w:r>
              <w:rPr>
                <w:color w:val="1E293B"/>
                <w:sz w:val="17"/>
              </w:rPr>
              <w:t>**Cadastral Property Boundaries**</w:t>
            </w:r>
          </w:p>
        </w:tc>
        <w:tc>
          <w:tcPr>
            <w:tcW w:type="dxa" w:w="2484"/>
            <w:tcMar>
              <w:top w:w="60" w:type="dxa"/>
              <w:bottom w:w="60" w:type="dxa"/>
              <w:left w:w="100" w:type="dxa"/>
              <w:right w:w="100" w:type="dxa"/>
            </w:tcMar>
            <w:shd w:fill="FFFFFF"/>
          </w:tcPr>
          <w:p>
            <w:pPr>
              <w:spacing w:before="40" w:after="40"/>
            </w:pPr>
            <w:r>
              <w:rPr>
                <w:color w:val="1E293B"/>
                <w:sz w:val="17"/>
              </w:rPr>
              <w:t>Geoscape CSDM / NSW DCDB (Parcels, Lots, Deposited Plans)</w:t>
            </w:r>
          </w:p>
        </w:tc>
        <w:tc>
          <w:tcPr>
            <w:tcW w:type="dxa" w:w="2484"/>
            <w:tcMar>
              <w:top w:w="60" w:type="dxa"/>
              <w:bottom w:w="60" w:type="dxa"/>
              <w:left w:w="100" w:type="dxa"/>
              <w:right w:w="100" w:type="dxa"/>
            </w:tcMar>
            <w:shd w:fill="FFFFFF"/>
          </w:tcPr>
          <w:p>
            <w:pPr>
              <w:spacing w:before="40" w:after="40"/>
            </w:pPr>
            <w:r>
              <w:rPr>
                <w:color w:val="1E293B"/>
                <w:sz w:val="17"/>
              </w:rPr>
              <w:t>Determining legal land tenure, lot boundaries, and site acquisition footprints</w:t>
            </w:r>
          </w:p>
        </w:tc>
        <w:tc>
          <w:tcPr>
            <w:tcW w:type="dxa" w:w="2484"/>
            <w:tcMar>
              <w:top w:w="60" w:type="dxa"/>
              <w:bottom w:w="60" w:type="dxa"/>
              <w:left w:w="100" w:type="dxa"/>
              <w:right w:w="100" w:type="dxa"/>
            </w:tcMar>
            <w:shd w:fill="FFFFFF"/>
          </w:tcPr>
          <w:p>
            <w:pPr>
              <w:spacing w:before="40" w:after="40"/>
            </w:pPr>
            <w:r>
              <w:rPr>
                <w:color w:val="1E293B"/>
                <w:sz w:val="17"/>
              </w:rPr>
              <w:t>15.4M+ Parcels (GDA2020 / EPSG:7844 / EPSG:7856)</w:t>
            </w:r>
          </w:p>
        </w:tc>
      </w:tr>
      <w:tr>
        <w:tc>
          <w:tcPr>
            <w:tcW w:type="dxa" w:w="2484"/>
            <w:tcMar>
              <w:top w:w="60" w:type="dxa"/>
              <w:bottom w:w="60" w:type="dxa"/>
              <w:left w:w="100" w:type="dxa"/>
              <w:right w:w="100" w:type="dxa"/>
            </w:tcMar>
            <w:shd w:fill="F8FAFC"/>
          </w:tcPr>
          <w:p>
            <w:pPr>
              <w:spacing w:before="40" w:after="40"/>
            </w:pPr>
            <w:r>
              <w:rPr>
                <w:color w:val="1E293B"/>
                <w:sz w:val="17"/>
              </w:rPr>
              <w:t>**LiDAR Digital Elevation Models**</w:t>
            </w:r>
          </w:p>
        </w:tc>
        <w:tc>
          <w:tcPr>
            <w:tcW w:type="dxa" w:w="2484"/>
            <w:tcMar>
              <w:top w:w="60" w:type="dxa"/>
              <w:bottom w:w="60" w:type="dxa"/>
              <w:left w:w="100" w:type="dxa"/>
              <w:right w:w="100" w:type="dxa"/>
            </w:tcMar>
            <w:shd w:fill="F8FAFC"/>
          </w:tcPr>
          <w:p>
            <w:pPr>
              <w:spacing w:before="40" w:after="40"/>
            </w:pPr>
            <w:r>
              <w:rPr>
                <w:color w:val="1E293B"/>
                <w:sz w:val="17"/>
              </w:rPr>
              <w:t>ELVIS Geoscience Australia (1m / 5m DEM rasters)</w:t>
            </w:r>
          </w:p>
        </w:tc>
        <w:tc>
          <w:tcPr>
            <w:tcW w:type="dxa" w:w="2484"/>
            <w:tcMar>
              <w:top w:w="60" w:type="dxa"/>
              <w:bottom w:w="60" w:type="dxa"/>
              <w:left w:w="100" w:type="dxa"/>
              <w:right w:w="100" w:type="dxa"/>
            </w:tcMar>
            <w:shd w:fill="F8FAFC"/>
          </w:tcPr>
          <w:p>
            <w:pPr>
              <w:spacing w:before="40" w:after="40"/>
            </w:pPr>
            <w:r>
              <w:rPr>
                <w:color w:val="1E293B"/>
                <w:sz w:val="17"/>
              </w:rPr>
              <w:t>Slope foundation grading (&lt;5% constraint), cut-and-fill analysis, and hydraulic heads</w:t>
            </w:r>
          </w:p>
        </w:tc>
        <w:tc>
          <w:tcPr>
            <w:tcW w:type="dxa" w:w="2484"/>
            <w:tcMar>
              <w:top w:w="60" w:type="dxa"/>
              <w:bottom w:w="60" w:type="dxa"/>
              <w:left w:w="100" w:type="dxa"/>
              <w:right w:w="100" w:type="dxa"/>
            </w:tcMar>
            <w:shd w:fill="F8FAFC"/>
          </w:tcPr>
          <w:p>
            <w:pPr>
              <w:spacing w:before="40" w:after="40"/>
            </w:pPr>
            <w:r>
              <w:rPr>
                <w:color w:val="1E293B"/>
                <w:sz w:val="17"/>
              </w:rPr>
              <w:t>1-metre grid resolution</w:t>
            </w:r>
          </w:p>
        </w:tc>
      </w:tr>
      <w:tr>
        <w:tc>
          <w:tcPr>
            <w:tcW w:type="dxa" w:w="2484"/>
            <w:tcMar>
              <w:top w:w="60" w:type="dxa"/>
              <w:bottom w:w="60" w:type="dxa"/>
              <w:left w:w="100" w:type="dxa"/>
              <w:right w:w="100" w:type="dxa"/>
            </w:tcMar>
            <w:shd w:fill="FFFFFF"/>
          </w:tcPr>
          <w:p>
            <w:pPr>
              <w:spacing w:before="40" w:after="40"/>
            </w:pPr>
            <w:r>
              <w:rPr>
                <w:color w:val="1E293B"/>
                <w:sz w:val="17"/>
              </w:rPr>
              <w:t>**Electrical Grid Infrastructure**</w:t>
            </w:r>
          </w:p>
        </w:tc>
        <w:tc>
          <w:tcPr>
            <w:tcW w:type="dxa" w:w="2484"/>
            <w:tcMar>
              <w:top w:w="60" w:type="dxa"/>
              <w:bottom w:w="60" w:type="dxa"/>
              <w:left w:w="100" w:type="dxa"/>
              <w:right w:w="100" w:type="dxa"/>
            </w:tcMar>
            <w:shd w:fill="FFFFFF"/>
          </w:tcPr>
          <w:p>
            <w:pPr>
              <w:spacing w:before="40" w:after="40"/>
            </w:pPr>
            <w:r>
              <w:rPr>
                <w:color w:val="1E293B"/>
                <w:sz w:val="17"/>
              </w:rPr>
              <w:t>AEMO / Geoscience Australia (330kV/132kV Substations &amp; Lines)</w:t>
            </w:r>
          </w:p>
        </w:tc>
        <w:tc>
          <w:tcPr>
            <w:tcW w:type="dxa" w:w="2484"/>
            <w:tcMar>
              <w:top w:w="60" w:type="dxa"/>
              <w:bottom w:w="60" w:type="dxa"/>
              <w:left w:w="100" w:type="dxa"/>
              <w:right w:w="100" w:type="dxa"/>
            </w:tcMar>
            <w:shd w:fill="FFFFFF"/>
          </w:tcPr>
          <w:p>
            <w:pPr>
              <w:spacing w:before="40" w:after="40"/>
            </w:pPr>
            <w:r>
              <w:rPr>
                <w:color w:val="1E293B"/>
                <w:sz w:val="17"/>
              </w:rPr>
              <w:t>Calculating transmission corridor distances, substation capacity reserves, and grid taps</w:t>
            </w:r>
          </w:p>
        </w:tc>
        <w:tc>
          <w:tcPr>
            <w:tcW w:type="dxa" w:w="2484"/>
            <w:tcMar>
              <w:top w:w="60" w:type="dxa"/>
              <w:bottom w:w="60" w:type="dxa"/>
              <w:left w:w="100" w:type="dxa"/>
              <w:right w:w="100" w:type="dxa"/>
            </w:tcMar>
            <w:shd w:fill="FFFFFF"/>
          </w:tcPr>
          <w:p>
            <w:pPr>
              <w:spacing w:before="40" w:after="40"/>
            </w:pPr>
            <w:r>
              <w:rPr>
                <w:color w:val="1E293B"/>
                <w:sz w:val="17"/>
              </w:rPr>
              <w:t>Substation pads &amp; 3D transmission spans</w:t>
            </w:r>
          </w:p>
        </w:tc>
      </w:tr>
      <w:tr>
        <w:tc>
          <w:tcPr>
            <w:tcW w:type="dxa" w:w="2484"/>
            <w:tcMar>
              <w:top w:w="60" w:type="dxa"/>
              <w:bottom w:w="60" w:type="dxa"/>
              <w:left w:w="100" w:type="dxa"/>
              <w:right w:w="100" w:type="dxa"/>
            </w:tcMar>
            <w:shd w:fill="F8FAFC"/>
          </w:tcPr>
          <w:p>
            <w:pPr>
              <w:spacing w:before="40" w:after="40"/>
            </w:pPr>
            <w:r>
              <w:rPr>
                <w:color w:val="1E293B"/>
                <w:sz w:val="17"/>
              </w:rPr>
              <w:t>**Multi-Hazard Statutory Grids**</w:t>
            </w:r>
          </w:p>
        </w:tc>
        <w:tc>
          <w:tcPr>
            <w:tcW w:type="dxa" w:w="2484"/>
            <w:tcMar>
              <w:top w:w="60" w:type="dxa"/>
              <w:bottom w:w="60" w:type="dxa"/>
              <w:left w:w="100" w:type="dxa"/>
              <w:right w:w="100" w:type="dxa"/>
            </w:tcMar>
            <w:shd w:fill="F8FAFC"/>
          </w:tcPr>
          <w:p>
            <w:pPr>
              <w:spacing w:before="40" w:after="40"/>
            </w:pPr>
            <w:r>
              <w:rPr>
                <w:color w:val="1E293B"/>
                <w:sz w:val="17"/>
              </w:rPr>
              <w:t>ARR 2019 Flood, GA NSHA Seismic, GA TCHA Wind, AS 3959 Bushfire</w:t>
            </w:r>
          </w:p>
        </w:tc>
        <w:tc>
          <w:tcPr>
            <w:tcW w:type="dxa" w:w="2484"/>
            <w:tcMar>
              <w:top w:w="60" w:type="dxa"/>
              <w:bottom w:w="60" w:type="dxa"/>
              <w:left w:w="100" w:type="dxa"/>
              <w:right w:w="100" w:type="dxa"/>
            </w:tcMar>
            <w:shd w:fill="F8FAFC"/>
          </w:tcPr>
          <w:p>
            <w:pPr>
              <w:spacing w:before="40" w:after="40"/>
            </w:pPr>
            <w:r>
              <w:rPr>
                <w:color w:val="1E293B"/>
                <w:sz w:val="17"/>
              </w:rPr>
              <w:t>Automated 6-factor MCDA multi-hazard constraint scoring</w:t>
            </w:r>
          </w:p>
        </w:tc>
        <w:tc>
          <w:tcPr>
            <w:tcW w:type="dxa" w:w="2484"/>
            <w:tcMar>
              <w:top w:w="60" w:type="dxa"/>
              <w:bottom w:w="60" w:type="dxa"/>
              <w:left w:w="100" w:type="dxa"/>
              <w:right w:w="100" w:type="dxa"/>
            </w:tcMar>
            <w:shd w:fill="F8FAFC"/>
          </w:tcPr>
          <w:p>
            <w:pPr>
              <w:spacing w:before="40" w:after="40"/>
            </w:pPr>
            <w:r>
              <w:rPr>
                <w:color w:val="1E293B"/>
                <w:sz w:val="17"/>
              </w:rPr>
              <w:t>Peer-reviewed national hazard baselines</w:t>
            </w:r>
          </w:p>
        </w:tc>
      </w:tr>
      <w:tr>
        <w:tc>
          <w:tcPr>
            <w:tcW w:type="dxa" w:w="2484"/>
            <w:tcMar>
              <w:top w:w="60" w:type="dxa"/>
              <w:bottom w:w="60" w:type="dxa"/>
              <w:left w:w="100" w:type="dxa"/>
              <w:right w:w="100" w:type="dxa"/>
            </w:tcMar>
            <w:shd w:fill="FFFFFF"/>
          </w:tcPr>
          <w:p>
            <w:pPr>
              <w:spacing w:before="40" w:after="40"/>
            </w:pPr>
            <w:r>
              <w:rPr>
                <w:color w:val="1E293B"/>
                <w:sz w:val="17"/>
              </w:rPr>
              <w:t>**Declarative Project Manifests**</w:t>
            </w:r>
          </w:p>
        </w:tc>
        <w:tc>
          <w:tcPr>
            <w:tcW w:type="dxa" w:w="2484"/>
            <w:tcMar>
              <w:top w:w="60" w:type="dxa"/>
              <w:bottom w:w="60" w:type="dxa"/>
              <w:left w:w="100" w:type="dxa"/>
              <w:right w:w="100" w:type="dxa"/>
            </w:tcMar>
            <w:shd w:fill="FFFFFF"/>
          </w:tcPr>
          <w:p>
            <w:pPr>
              <w:spacing w:before="40" w:after="40"/>
            </w:pPr>
            <w:r>
              <w:rPr>
                <w:color w:val="1E293B"/>
                <w:sz w:val="17"/>
              </w:rPr>
              <w:t>JSON Configs (`config/projects/{ProjectID}.json`)</w:t>
            </w:r>
          </w:p>
        </w:tc>
        <w:tc>
          <w:tcPr>
            <w:tcW w:type="dxa" w:w="2484"/>
            <w:tcMar>
              <w:top w:w="60" w:type="dxa"/>
              <w:bottom w:w="60" w:type="dxa"/>
              <w:left w:w="100" w:type="dxa"/>
              <w:right w:w="100" w:type="dxa"/>
            </w:tcMar>
            <w:shd w:fill="FFFFFF"/>
          </w:tcPr>
          <w:p>
            <w:pPr>
              <w:spacing w:before="40" w:after="40"/>
            </w:pPr>
            <w:r>
              <w:rPr>
                <w:color w:val="1E293B"/>
                <w:sz w:val="17"/>
              </w:rPr>
              <w:t>Declarative specification of Net Developable Pads, staging schedules, and utility specs</w:t>
            </w:r>
          </w:p>
        </w:tc>
        <w:tc>
          <w:tcPr>
            <w:tcW w:type="dxa" w:w="2484"/>
            <w:tcMar>
              <w:top w:w="60" w:type="dxa"/>
              <w:bottom w:w="60" w:type="dxa"/>
              <w:left w:w="100" w:type="dxa"/>
              <w:right w:w="100" w:type="dxa"/>
            </w:tcMar>
            <w:shd w:fill="FFFFFF"/>
          </w:tcPr>
          <w:p>
            <w:pPr>
              <w:spacing w:before="40" w:after="40"/>
            </w:pPr>
            <w:r>
              <w:rPr>
                <w:color w:val="1E293B"/>
                <w:sz w:val="17"/>
              </w:rPr>
              <w:t>Standardized JSON Schema</w:t>
            </w:r>
          </w:p>
        </w:tc>
      </w:tr>
      <w:tr>
        <w:tc>
          <w:tcPr>
            <w:tcW w:type="dxa" w:w="2484"/>
            <w:tcMar>
              <w:top w:w="60" w:type="dxa"/>
              <w:bottom w:w="60" w:type="dxa"/>
              <w:left w:w="100" w:type="dxa"/>
              <w:right w:w="100" w:type="dxa"/>
            </w:tcMar>
            <w:shd w:fill="F8FAFC"/>
          </w:tcPr>
          <w:p>
            <w:pPr>
              <w:spacing w:before="40" w:after="40"/>
            </w:pPr>
            <w:r>
              <w:rPr>
                <w:color w:val="1E293B"/>
                <w:sz w:val="17"/>
              </w:rPr>
              <w:t>**High-Precision Micro-Layers**</w:t>
            </w:r>
          </w:p>
        </w:tc>
        <w:tc>
          <w:tcPr>
            <w:tcW w:type="dxa" w:w="2484"/>
            <w:tcMar>
              <w:top w:w="60" w:type="dxa"/>
              <w:bottom w:w="60" w:type="dxa"/>
              <w:left w:w="100" w:type="dxa"/>
              <w:right w:w="100" w:type="dxa"/>
            </w:tcMar>
            <w:shd w:fill="F8FAFC"/>
          </w:tcPr>
          <w:p>
            <w:pPr>
              <w:spacing w:before="40" w:after="40"/>
            </w:pPr>
            <w:r>
              <w:rPr>
                <w:color w:val="1E293B"/>
                <w:sz w:val="17"/>
              </w:rPr>
              <w:t>GeoJSON / GeoParquet / FlatGeobuf / PMTiles</w:t>
            </w:r>
          </w:p>
        </w:tc>
        <w:tc>
          <w:tcPr>
            <w:tcW w:type="dxa" w:w="2484"/>
            <w:tcMar>
              <w:top w:w="60" w:type="dxa"/>
              <w:bottom w:w="60" w:type="dxa"/>
              <w:left w:w="100" w:type="dxa"/>
              <w:right w:w="100" w:type="dxa"/>
            </w:tcMar>
            <w:shd w:fill="F8FAFC"/>
          </w:tcPr>
          <w:p>
            <w:pPr>
              <w:spacing w:before="40" w:after="40"/>
            </w:pPr>
            <w:r>
              <w:rPr>
                <w:color w:val="1E293B"/>
                <w:sz w:val="17"/>
              </w:rPr>
              <w:t>Layer geometries for pads, staging phases, acoustic bunds, rail sidings, and bio-links</w:t>
            </w:r>
          </w:p>
        </w:tc>
        <w:tc>
          <w:tcPr>
            <w:tcW w:type="dxa" w:w="2484"/>
            <w:tcMar>
              <w:top w:w="60" w:type="dxa"/>
              <w:bottom w:w="60" w:type="dxa"/>
              <w:left w:w="100" w:type="dxa"/>
              <w:right w:w="100" w:type="dxa"/>
            </w:tcMar>
            <w:shd w:fill="F8FAFC"/>
          </w:tcPr>
          <w:p>
            <w:pPr>
              <w:spacing w:before="40" w:after="40"/>
            </w:pPr>
            <w:r>
              <w:rPr>
                <w:color w:val="1E293B"/>
                <w:sz w:val="17"/>
              </w:rPr>
              <w:t>Centimetre-accurate site vectors</w:t>
            </w:r>
          </w:p>
        </w:tc>
      </w:tr>
    </w:tbl>
    <w:p/>
    <w:p>
      <w:pPr>
        <w:spacing w:before="40" w:after="80" w:line="276" w:lineRule="auto"/>
      </w:pPr>
      <w:r>
        <w:rPr>
          <w:color w:val="334155"/>
          <w:sz w:val="19"/>
        </w:rPr>
        <w:t>---</w:t>
      </w:r>
    </w:p>
    <w:p>
      <w:pPr>
        <w:pStyle w:val="Heading2"/>
        <w:keepNext/>
        <w:spacing w:before="240" w:after="80"/>
      </w:pPr>
      <w:r>
        <w:rPr>
          <w:b/>
          <w:color w:val="0284C7"/>
        </w:rPr>
        <w:t>Open-Source Contributions &amp; Ecosystem Integration</w:t>
      </w:r>
    </w:p>
    <w:p>
      <w:pPr>
        <w:pStyle w:val="Heading3"/>
        <w:keepNext/>
        <w:spacing w:before="160" w:after="40"/>
      </w:pPr>
      <w:r>
        <w:rPr>
          <w:b/>
          <w:color w:val="334155"/>
        </w:rPr>
        <w:t>🤝 opengeos/GeoLibre Contributions</w:t>
      </w:r>
    </w:p>
    <w:p>
      <w:pPr>
        <w:pStyle w:val="ListBullet"/>
        <w:spacing w:before="20" w:after="40"/>
      </w:pPr>
      <w:r>
        <w:rPr>
          <w:rFonts w:ascii="Consolas" w:hAnsi="Consolas"/>
          <w:color w:val="0E7490"/>
          <w:sz w:val="17"/>
        </w:rPr>
        <w:t>geolibre-siting</w:t>
      </w:r>
      <w:r>
        <w:rPr>
          <w:color w:val="334155"/>
          <w:sz w:val="19"/>
        </w:rPr>
        <w:t>: Client-side MCDA scoring plugin.</w:t>
      </w:r>
    </w:p>
    <w:p>
      <w:pPr>
        <w:pStyle w:val="ListBullet"/>
        <w:spacing w:before="20" w:after="40"/>
      </w:pPr>
      <w:r>
        <w:rPr>
          <w:rFonts w:ascii="Consolas" w:hAnsi="Consolas"/>
          <w:color w:val="0E7490"/>
          <w:sz w:val="17"/>
        </w:rPr>
        <w:t>geolibre-sedona</w:t>
      </w:r>
      <w:r>
        <w:rPr>
          <w:color w:val="334155"/>
          <w:sz w:val="19"/>
        </w:rPr>
        <w:t>: Cloud ETL &amp; Wherobots connector.</w:t>
      </w:r>
    </w:p>
    <w:p>
      <w:pPr>
        <w:pStyle w:val="ListBullet"/>
        <w:spacing w:before="20" w:after="40"/>
      </w:pPr>
      <w:r>
        <w:rPr>
          <w:rFonts w:ascii="Consolas" w:hAnsi="Consolas"/>
          <w:color w:val="0E7490"/>
          <w:sz w:val="17"/>
        </w:rPr>
        <w:t>geolibre-spatial-ai</w:t>
      </w:r>
      <w:r>
        <w:rPr>
          <w:color w:val="334155"/>
          <w:sz w:val="19"/>
        </w:rPr>
        <w:t>: Natural language to Spatial SQL proxy.</w:t>
      </w:r>
    </w:p>
    <w:p>
      <w:pPr>
        <w:pStyle w:val="ListBullet"/>
        <w:spacing w:before="20" w:after="40"/>
      </w:pPr>
      <w:r>
        <w:rPr>
          <w:rFonts w:ascii="Consolas" w:hAnsi="Consolas"/>
          <w:color w:val="0E7490"/>
          <w:sz w:val="17"/>
        </w:rPr>
        <w:t>geolibre-catalogs</w:t>
      </w:r>
      <w:r>
        <w:rPr>
          <w:color w:val="334155"/>
          <w:sz w:val="19"/>
        </w:rPr>
        <w:t>: Australian open data presets.</w:t>
      </w:r>
    </w:p>
    <w:p>
      <w:pPr>
        <w:pStyle w:val="ListBullet"/>
        <w:spacing w:before="20" w:after="40"/>
      </w:pPr>
      <w:r>
        <w:rPr>
          <w:rFonts w:ascii="Consolas" w:hAnsi="Consolas"/>
          <w:color w:val="0E7490"/>
          <w:sz w:val="17"/>
        </w:rPr>
        <w:t>geolibre-export-report</w:t>
      </w:r>
      <w:r>
        <w:rPr>
          <w:color w:val="334155"/>
          <w:sz w:val="19"/>
        </w:rPr>
        <w:t>: Standalone single-file HTML exporter.</w:t>
      </w:r>
    </w:p>
    <w:p>
      <w:pPr>
        <w:pStyle w:val="ListBullet"/>
        <w:spacing w:before="20" w:after="40"/>
      </w:pPr>
      <w:r>
        <w:rPr>
          <w:b/>
          <w:color w:val="1E293B"/>
          <w:sz w:val="19"/>
        </w:rPr>
        <w:t>5 Upstream Core Rendering Standards</w:t>
      </w:r>
      <w:r>
        <w:rPr>
          <w:color w:val="334155"/>
          <w:sz w:val="19"/>
        </w:rPr>
        <w:t>: Area-Priority Limiting, Point Clustering, Continuous Dynamic Ramps, Byte-Range Vector Streaming, and Single-File Standalone Twins.</w:t>
      </w:r>
    </w:p>
    <w:p>
      <w:pPr>
        <w:pStyle w:val="Heading3"/>
        <w:keepNext/>
        <w:spacing w:before="160" w:after="40"/>
      </w:pPr>
      <w:r>
        <w:rPr>
          <w:b/>
          <w:color w:val="334155"/>
        </w:rPr>
        <w:t>🏛️ NSW Government &amp; Waratah HPC</w:t>
      </w:r>
    </w:p>
    <w:p>
      <w:pPr>
        <w:pStyle w:val="ListBullet"/>
        <w:spacing w:before="20" w:after="40"/>
      </w:pPr>
      <w:r>
        <w:rPr>
          <w:color w:val="334155"/>
          <w:sz w:val="19"/>
        </w:rPr>
        <w:t xml:space="preserve">Unlocking </w:t>
      </w:r>
      <w:r>
        <w:rPr>
          <w:b/>
          <w:color w:val="1E293B"/>
          <w:sz w:val="19"/>
        </w:rPr>
        <w:t>DDN ExaScaler 7990X Lustre</w:t>
      </w:r>
      <w:r>
        <w:rPr>
          <w:color w:val="334155"/>
          <w:sz w:val="19"/>
        </w:rPr>
        <w:t xml:space="preserve"> parallel I/O with GeoParquet.</w:t>
      </w:r>
    </w:p>
    <w:p>
      <w:pPr>
        <w:pStyle w:val="ListBullet"/>
        <w:spacing w:before="20" w:after="40"/>
      </w:pPr>
      <w:r>
        <w:rPr>
          <w:color w:val="334155"/>
          <w:sz w:val="19"/>
        </w:rPr>
        <w:t xml:space="preserve">Cold data preservation with </w:t>
      </w:r>
      <w:r>
        <w:rPr>
          <w:b/>
          <w:color w:val="1E293B"/>
          <w:sz w:val="19"/>
        </w:rPr>
        <w:t>Spectra Logic T950 tape</w:t>
      </w:r>
      <w:r>
        <w:rPr>
          <w:color w:val="334155"/>
          <w:sz w:val="19"/>
        </w:rPr>
        <w:t xml:space="preserve"> integration.</w:t>
      </w:r>
    </w:p>
    <w:p>
      <w:pPr>
        <w:pStyle w:val="ListBullet"/>
        <w:spacing w:before="20" w:after="40"/>
      </w:pPr>
      <w:r>
        <w:rPr>
          <w:color w:val="334155"/>
          <w:sz w:val="19"/>
        </w:rPr>
        <w:t>Air-gapped client-side DuckDB-WASM execution to protect state HPC clusters from public query loads.</w:t>
      </w:r>
    </w:p>
    <w:p>
      <w:pPr>
        <w:spacing w:before="40" w:after="80" w:line="276" w:lineRule="auto"/>
      </w:pPr>
      <w:r>
        <w:rPr>
          <w:color w:val="334155"/>
          <w:sz w:val="19"/>
        </w:rPr>
        <w:t>---</w:t>
      </w:r>
    </w:p>
    <w:p>
      <w:pPr>
        <w:pStyle w:val="Heading2"/>
        <w:keepNext/>
        <w:spacing w:before="240" w:after="80"/>
      </w:pPr>
      <w:r>
        <w:rPr>
          <w:b/>
          <w:color w:val="0284C7"/>
        </w:rPr>
        <w:t>How the Multi-Project Pipeline Works</w:t>
      </w:r>
    </w:p>
    <w:p>
      <w:pPr>
        <w:spacing w:before="40" w:after="80" w:line="276" w:lineRule="auto"/>
      </w:pPr>
      <w:r>
        <w:rPr>
          <w:color w:val="334155"/>
          <w:sz w:val="19"/>
        </w:rPr>
        <w:t>Any proponent, local government council, or energy developer can submit a standardized project manifest:</w:t>
      </w:r>
    </w:p>
    <w:p>
      <w:pPr>
        <w:spacing w:before="80" w:after="120"/>
        <w:ind w:left="360"/>
      </w:pPr>
      <w:r>
        <w:rPr>
          <w:rFonts w:ascii="Consolas" w:hAnsi="Consolas"/>
          <w:color w:val="0F172A"/>
          <w:sz w:val="17"/>
        </w:rPr>
        <w:t>{</w:t>
        <w:br/>
        <w:t xml:space="preserve">  "project_id": "LMCC_MacquarieCoal",</w:t>
        <w:br/>
        <w:t xml:space="preserve">  "project_name": "Macquarie Coal Complex Transformation Precinct",</w:t>
        <w:br/>
        <w:t xml:space="preserve">  "national_candidate_id": "AURA-NSW-0001",</w:t>
        <w:br/>
        <w:t xml:space="preserve">  "lga": "City of Lake Macquarie",</w:t>
        <w:br/>
        <w:t xml:space="preserve">  "state": "NSW",</w:t>
        <w:br/>
        <w:t xml:space="preserve">  "engineering_metrics": {</w:t>
        <w:br/>
        <w:t xml:space="preserve">    "gross_area_ha": 320.0,</w:t>
        <w:br/>
        <w:t xml:space="preserve">    "net_developable_area_ha": 44.5,</w:t>
        <w:br/>
        <w:t xml:space="preserve">    "power_capacity_mva": 500.0,</w:t>
        <w:br/>
        <w:t xml:space="preserve">    "pumped_hydro_capacity_mwh": 49.0</w:t>
        <w:br/>
        <w:t xml:space="preserve">  }</w:t>
        <w:br/>
        <w:t>}</w:t>
      </w:r>
    </w:p>
    <w:p>
      <w:pPr>
        <w:spacing w:before="40" w:after="80" w:line="276" w:lineRule="auto"/>
      </w:pPr>
      <w:r>
        <w:rPr>
          <w:color w:val="334155"/>
          <w:sz w:val="19"/>
        </w:rPr>
        <w:t>Running the pipeline automatically generates:</w:t>
      </w:r>
    </w:p>
    <w:p>
      <w:pPr>
        <w:pStyle w:val="ListNumber"/>
        <w:spacing w:before="20" w:after="40"/>
      </w:pPr>
      <w:r>
        <w:rPr>
          <w:b/>
          <w:color w:val="1E293B"/>
          <w:sz w:val="19"/>
        </w:rPr>
        <w:t>Interactive 3D WebGIS Digital Twin</w:t>
      </w:r>
      <w:r>
        <w:rPr>
          <w:color w:val="334155"/>
          <w:sz w:val="19"/>
        </w:rPr>
        <w:t xml:space="preserve"> (</w:t>
      </w:r>
      <w:r>
        <w:rPr>
          <w:rFonts w:ascii="Consolas" w:hAnsi="Consolas"/>
          <w:color w:val="0E7490"/>
          <w:sz w:val="17"/>
        </w:rPr>
        <w:t>projects/index_{ProjectID}.html</w:t>
      </w:r>
      <w:r>
        <w:rPr>
          <w:color w:val="334155"/>
          <w:sz w:val="19"/>
        </w:rPr>
        <w:t>): Zero-network-latency MapLibre GL client with self-contained, inline-embedded GeoJSON micro-layers.</w:t>
      </w:r>
    </w:p>
    <w:p>
      <w:pPr>
        <w:pStyle w:val="ListNumber"/>
        <w:spacing w:before="20" w:after="40"/>
      </w:pPr>
      <w:r>
        <w:rPr>
          <w:b/>
          <w:color w:val="1E293B"/>
          <w:sz w:val="19"/>
        </w:rPr>
        <w:t>Statutory Planning &amp; Siting Report</w:t>
      </w:r>
      <w:r>
        <w:rPr>
          <w:color w:val="334155"/>
          <w:sz w:val="19"/>
        </w:rPr>
        <w:t xml:space="preserve"> (</w:t>
      </w:r>
      <w:r>
        <w:rPr>
          <w:rFonts w:ascii="Consolas" w:hAnsi="Consolas"/>
          <w:color w:val="0E7490"/>
          <w:sz w:val="17"/>
        </w:rPr>
        <w:t>projects/report_{ProjectID}.html</w:t>
      </w:r>
      <w:r>
        <w:rPr>
          <w:color w:val="334155"/>
          <w:sz w:val="19"/>
        </w:rPr>
        <w:t>): High-precision comparative benchmark tables, geotechnical subsidence matrices, and environmental staging plans.</w:t>
      </w:r>
    </w:p>
    <w:p>
      <w:pPr>
        <w:pStyle w:val="ListNumber"/>
        <w:spacing w:before="20" w:after="40"/>
      </w:pPr>
      <w:r>
        <w:rPr>
          <w:b/>
          <w:color w:val="1E293B"/>
          <w:sz w:val="19"/>
        </w:rPr>
        <w:t>Non-Intrusive National Deep-Linking</w:t>
      </w:r>
      <w:r>
        <w:rPr>
          <w:color w:val="334155"/>
          <w:sz w:val="19"/>
        </w:rPr>
        <w:t xml:space="preserve">: The national report and WebGIS remain untouched, automatically displaying a clickable </w:t>
      </w:r>
      <w:r>
        <w:rPr>
          <w:rFonts w:ascii="Consolas" w:hAnsi="Consolas"/>
          <w:color w:val="0E7490"/>
          <w:sz w:val="17"/>
        </w:rPr>
        <w:t>✨ Enhanced Report ↗</w:t>
      </w:r>
      <w:r>
        <w:rPr>
          <w:color w:val="334155"/>
          <w:sz w:val="19"/>
        </w:rPr>
        <w:t xml:space="preserve"> badge when users view candidate sites with active project submissions.</w:t>
      </w:r>
    </w:p>
    <w:p>
      <w:pPr>
        <w:spacing w:before="40" w:after="80" w:line="276" w:lineRule="auto"/>
      </w:pPr>
      <w:r>
        <w:rPr>
          <w:color w:val="334155"/>
          <w:sz w:val="19"/>
        </w:rPr>
        <w:t>---</w:t>
      </w:r>
    </w:p>
    <w:p>
      <w:pPr>
        <w:pStyle w:val="Heading2"/>
        <w:keepNext/>
        <w:spacing w:before="240" w:after="80"/>
      </w:pPr>
      <w:r>
        <w:rPr>
          <w:b/>
          <w:color w:val="0284C7"/>
        </w:rPr>
        <w:t>The Delivery Model: Open Source Core vs. Certified Commercial Turnkey</w:t>
      </w:r>
    </w:p>
    <w:p>
      <w:pPr>
        <w:pStyle w:val="Heading3"/>
        <w:keepNext/>
        <w:spacing w:before="160" w:after="40"/>
      </w:pPr>
      <w:r>
        <w:rPr>
          <w:b/>
          <w:color w:val="334155"/>
        </w:rPr>
        <w:t>1. AURA Open Spatial Core (100% Free &amp; Open Source)</w:t>
      </w:r>
    </w:p>
    <w:p>
      <w:pPr>
        <w:spacing w:before="40" w:after="80" w:line="276" w:lineRule="auto"/>
      </w:pPr>
      <w:r>
        <w:rPr>
          <w:color w:val="334155"/>
          <w:sz w:val="19"/>
        </w:rPr>
        <w:t>The entire foundational codebase, spatial schemas, MCDA scoring engine, and report builders are fully open-source.</w:t>
      </w:r>
    </w:p>
    <w:p>
      <w:pPr>
        <w:pStyle w:val="ListBullet"/>
        <w:spacing w:before="20" w:after="40"/>
      </w:pPr>
      <w:r>
        <w:rPr>
          <w:color w:val="334155"/>
          <w:sz w:val="19"/>
        </w:rPr>
        <w:t xml:space="preserve">Clone the GitHub repository and run </w:t>
      </w:r>
      <w:r>
        <w:rPr>
          <w:rFonts w:ascii="Consolas" w:hAnsi="Consolas"/>
          <w:color w:val="0E7490"/>
          <w:sz w:val="17"/>
        </w:rPr>
        <w:t>pytest tests/ -v</w:t>
      </w:r>
      <w:r>
        <w:rPr>
          <w:color w:val="334155"/>
          <w:sz w:val="19"/>
        </w:rPr>
        <w:t>.</w:t>
      </w:r>
    </w:p>
    <w:p>
      <w:pPr>
        <w:pStyle w:val="ListBullet"/>
        <w:spacing w:before="20" w:after="40"/>
      </w:pPr>
      <w:r>
        <w:rPr>
          <w:color w:val="334155"/>
          <w:sz w:val="19"/>
        </w:rPr>
        <w:t xml:space="preserve">Define your project manifest in </w:t>
      </w:r>
      <w:r>
        <w:rPr>
          <w:rFonts w:ascii="Consolas" w:hAnsi="Consolas"/>
          <w:color w:val="0E7490"/>
          <w:sz w:val="17"/>
        </w:rPr>
        <w:t>config/projects/YOUR_PROJECT.json</w:t>
      </w:r>
      <w:r>
        <w:rPr>
          <w:color w:val="334155"/>
          <w:sz w:val="19"/>
        </w:rPr>
        <w:t>.</w:t>
      </w:r>
    </w:p>
    <w:p>
      <w:pPr>
        <w:pStyle w:val="ListBullet"/>
        <w:spacing w:before="20" w:after="40"/>
      </w:pPr>
      <w:r>
        <w:rPr>
          <w:color w:val="334155"/>
          <w:sz w:val="19"/>
        </w:rPr>
        <w:t xml:space="preserve">Drop your site vectors into </w:t>
      </w:r>
      <w:r>
        <w:rPr>
          <w:rFonts w:ascii="Consolas" w:hAnsi="Consolas"/>
          <w:color w:val="0E7490"/>
          <w:sz w:val="17"/>
        </w:rPr>
        <w:t>data/projects/YOUR_PROJECT/</w:t>
      </w:r>
      <w:r>
        <w:rPr>
          <w:color w:val="334155"/>
          <w:sz w:val="19"/>
        </w:rPr>
        <w:t>.</w:t>
      </w:r>
    </w:p>
    <w:p>
      <w:pPr>
        <w:pStyle w:val="ListBullet"/>
        <w:spacing w:before="20" w:after="40"/>
      </w:pPr>
      <w:r>
        <w:rPr>
          <w:color w:val="334155"/>
          <w:sz w:val="19"/>
        </w:rPr>
        <w:t xml:space="preserve">Build instant packages with </w:t>
      </w:r>
      <w:r>
        <w:rPr>
          <w:rFonts w:ascii="Consolas" w:hAnsi="Consolas"/>
          <w:color w:val="0E7490"/>
          <w:sz w:val="17"/>
        </w:rPr>
        <w:t>python tools/build_project_package.py</w:t>
      </w:r>
      <w:r>
        <w:rPr>
          <w:color w:val="334155"/>
          <w:sz w:val="19"/>
        </w:rPr>
        <w:t>.</w:t>
      </w:r>
    </w:p>
    <w:p>
      <w:pPr>
        <w:pStyle w:val="Heading3"/>
        <w:keepNext/>
        <w:spacing w:before="160" w:after="40"/>
      </w:pPr>
      <w:r>
        <w:rPr>
          <w:b/>
          <w:color w:val="334155"/>
        </w:rPr>
        <w:t>2. AURA Enterprise Statutory Siting (Certified Commercial Turnkey)</w:t>
      </w:r>
    </w:p>
    <w:p>
      <w:pPr>
        <w:spacing w:before="40" w:after="80" w:line="276" w:lineRule="auto"/>
      </w:pPr>
      <w:r>
        <w:rPr>
          <w:color w:val="334155"/>
          <w:sz w:val="19"/>
        </w:rPr>
        <w:t>For developers, REITs, clean energy consortiums, utility operators, and local councils requiring statutory-grade due diligence, investment-committee deliverables, and planning exhibition response packages:</w:t>
      </w:r>
    </w:p>
    <w:p>
      <w:pPr>
        <w:pStyle w:val="ListBullet"/>
        <w:spacing w:before="20" w:after="40"/>
      </w:pPr>
      <w:r>
        <w:rPr>
          <w:b/>
          <w:color w:val="1E293B"/>
          <w:sz w:val="19"/>
        </w:rPr>
        <w:t>Full Planning Document Synthesis</w:t>
      </w:r>
      <w:r>
        <w:rPr>
          <w:color w:val="334155"/>
          <w:sz w:val="19"/>
        </w:rPr>
        <w:t>: Ingestion of all EIS reports, acoustic assessments, geotechnical boreholes, and hydrological flood studies.</w:t>
      </w:r>
    </w:p>
    <w:p>
      <w:pPr>
        <w:pStyle w:val="ListBullet"/>
        <w:spacing w:before="20" w:after="40"/>
      </w:pPr>
      <w:r>
        <w:rPr>
          <w:b/>
          <w:color w:val="1E293B"/>
          <w:sz w:val="19"/>
        </w:rPr>
        <w:t>Certified Net Developable Area (NDA) Audit</w:t>
      </w:r>
      <w:r>
        <w:rPr>
          <w:color w:val="334155"/>
          <w:sz w:val="19"/>
        </w:rPr>
        <w:t>: Topological subtraction of 1% AEP floodways, mine subsidence strain classes (G1–G3), high-pressure pipeline easements, and riparian buffers.</w:t>
      </w:r>
    </w:p>
    <w:p>
      <w:pPr>
        <w:pStyle w:val="ListBullet"/>
        <w:spacing w:before="20" w:after="40"/>
      </w:pPr>
      <w:r>
        <w:rPr>
          <w:b/>
          <w:color w:val="1E293B"/>
          <w:sz w:val="19"/>
        </w:rPr>
        <w:t>Custom 3D Interactive WebGIS Digital Twin</w:t>
      </w:r>
      <w:r>
        <w:rPr>
          <w:color w:val="334155"/>
          <w:sz w:val="19"/>
        </w:rPr>
        <w:t>: Hosted, zero-latency MapLibre GL digital twin featuring pad staging time-sliders, infrastructure corridors, and thermodynamic heat loops.</w:t>
      </w:r>
    </w:p>
    <w:p>
      <w:pPr>
        <w:pStyle w:val="ListBullet"/>
        <w:spacing w:before="20" w:after="40"/>
      </w:pPr>
      <w:r>
        <w:rPr>
          <w:b/>
          <w:color w:val="1E293B"/>
          <w:sz w:val="19"/>
        </w:rPr>
        <w:t>Statutory Planning &amp; Siting Report</w:t>
      </w:r>
      <w:r>
        <w:rPr>
          <w:color w:val="334155"/>
          <w:sz w:val="19"/>
        </w:rPr>
        <w:t>: Comprehensive HTML &amp; PDF deliverable ready for submission to State Planning Authorities (e.g. NSW DPHI, IPC, EPBC Act) and Investment Committees.</w:t>
      </w:r>
    </w:p>
    <w:p>
      <w:pPr>
        <w:pStyle w:val="ListBullet"/>
        <w:spacing w:before="20" w:after="40"/>
      </w:pPr>
      <w:r>
        <w:rPr>
          <w:b/>
          <w:color w:val="1E293B"/>
          <w:sz w:val="19"/>
        </w:rPr>
        <w:t>Independent Multi-Hazard Verification</w:t>
      </w:r>
      <w:r>
        <w:rPr>
          <w:color w:val="334155"/>
          <w:sz w:val="19"/>
        </w:rPr>
        <w:t>: Peer-reviewed analysis against ARR 2019, AS 1170.4 (Seismic PGA), AS/NZS 1170.2 (Wind), AS 3959 (Bushfire), and AGS 2007 (Landslide).</w:t>
      </w:r>
    </w:p>
    <w:p>
      <w:pPr>
        <w:pStyle w:val="ListBullet"/>
        <w:spacing w:before="20" w:after="40"/>
      </w:pPr>
      <w:r>
        <w:rPr>
          <w:b/>
          <w:color w:val="1E293B"/>
          <w:sz w:val="19"/>
        </w:rPr>
        <w:t>National Benchmark Positioning</w:t>
      </w:r>
      <w:r>
        <w:rPr>
          <w:color w:val="334155"/>
          <w:sz w:val="19"/>
        </w:rPr>
        <w:t>: Direct radar comparison against all 17 national candidate clusters on power, water circularity, and land efficiency.</w:t>
      </w:r>
    </w:p>
    <w:p>
      <w:pPr>
        <w:spacing w:before="40" w:after="80" w:line="276" w:lineRule="auto"/>
      </w:pPr>
      <w:r>
        <w:rPr>
          <w:color w:val="334155"/>
          <w:sz w:val="19"/>
        </w:rPr>
        <w:t>---</w:t>
      </w:r>
    </w:p>
    <w:p>
      <w:pPr>
        <w:pStyle w:val="Heading2"/>
        <w:keepNext/>
        <w:spacing w:before="240" w:after="80"/>
      </w:pPr>
      <w:r>
        <w:rPr>
          <w:b/>
          <w:color w:val="0284C7"/>
        </w:rPr>
        <w:t>Explore the Live Suite</w:t>
      </w:r>
    </w:p>
    <w:p>
      <w:pPr>
        <w:pStyle w:val="ListBullet"/>
        <w:spacing w:before="20" w:after="40"/>
      </w:pPr>
      <w:r>
        <w:rPr>
          <w:color w:val="334155"/>
          <w:sz w:val="19"/>
        </w:rPr>
        <w:t xml:space="preserve">🌐 </w:t>
      </w:r>
      <w:r>
        <w:rPr>
          <w:b/>
          <w:color w:val="1E293B"/>
          <w:sz w:val="19"/>
        </w:rPr>
        <w:t>[AURA Cloud Platform Root](https://aura.getback2basics.net)</w:t>
      </w:r>
      <w:r>
        <w:rPr>
          <w:color w:val="334155"/>
          <w:sz w:val="19"/>
        </w:rPr>
        <w:t xml:space="preserve"> — Live national spatial intelligence gateway.</w:t>
      </w:r>
    </w:p>
    <w:p>
      <w:pPr>
        <w:pStyle w:val="ListBullet"/>
        <w:spacing w:before="20" w:after="40"/>
      </w:pPr>
      <w:r>
        <w:rPr>
          <w:color w:val="334155"/>
          <w:sz w:val="19"/>
        </w:rPr>
        <w:t xml:space="preserve">⚡ </w:t>
      </w:r>
      <w:r>
        <w:rPr>
          <w:b/>
          <w:color w:val="1E293B"/>
          <w:sz w:val="19"/>
        </w:rPr>
        <w:t>[Asymmetric Compute &amp; AI Safety Whitepaper](../business/aura_enterprise_asymmetric_compute_and_ai_safety.html)</w:t>
      </w:r>
      <w:r>
        <w:rPr>
          <w:color w:val="334155"/>
          <w:sz w:val="19"/>
        </w:rPr>
        <w:t xml:space="preserve"> — Comprehensive architecture and deterministic safety reference.</w:t>
      </w:r>
    </w:p>
    <w:p>
      <w:pPr>
        <w:pStyle w:val="ListBullet"/>
        <w:spacing w:before="20" w:after="40"/>
      </w:pPr>
      <w:r>
        <w:rPr>
          <w:color w:val="334155"/>
          <w:sz w:val="19"/>
        </w:rPr>
        <w:t xml:space="preserve">🌐 </w:t>
      </w:r>
      <w:r>
        <w:rPr>
          <w:b/>
          <w:color w:val="1E293B"/>
          <w:sz w:val="19"/>
        </w:rPr>
        <w:t>[Interactive Site WebGIS (Macquarie Coal Complex)](../../projects/index_LMCC_MacquarieCoal.html)</w:t>
      </w:r>
      <w:r>
        <w:rPr>
          <w:color w:val="334155"/>
          <w:sz w:val="19"/>
        </w:rPr>
        <w:t xml:space="preserve"> — High-resolution 3D MapLibre digital twin with 10 developable pads and staging controls.</w:t>
      </w:r>
    </w:p>
    <w:p>
      <w:pPr>
        <w:pStyle w:val="ListBullet"/>
        <w:spacing w:before="20" w:after="40"/>
      </w:pPr>
      <w:r>
        <w:rPr>
          <w:color w:val="334155"/>
          <w:sz w:val="19"/>
        </w:rPr>
        <w:t xml:space="preserve">📑 </w:t>
      </w:r>
      <w:r>
        <w:rPr>
          <w:b/>
          <w:color w:val="1E293B"/>
          <w:sz w:val="19"/>
        </w:rPr>
        <w:t>[Statutory Site Siting Report (_LMCC_MacquarieCoal)](../../projects/report_LMCC_MacquarieCoal.html)</w:t>
      </w:r>
      <w:r>
        <w:rPr>
          <w:color w:val="334155"/>
          <w:sz w:val="19"/>
        </w:rPr>
        <w:t xml:space="preserve"> — Forensic statutory planning document and geotechnical subsidence matrix.</w:t>
      </w:r>
    </w:p>
    <w:p>
      <w:pPr>
        <w:pStyle w:val="ListBullet"/>
        <w:spacing w:before="20" w:after="40"/>
      </w:pPr>
      <w:r>
        <w:rPr>
          <w:color w:val="334155"/>
          <w:sz w:val="19"/>
        </w:rPr>
        <w:t xml:space="preserve">🗺️ </w:t>
      </w:r>
      <w:r>
        <w:rPr>
          <w:b/>
          <w:color w:val="1E293B"/>
          <w:sz w:val="19"/>
        </w:rPr>
        <w:t>[6-Pillar Site-Level Enhancement Plan (HTML)](../business/macquarie_coal_precinct_site_enhancement_plan.html)</w:t>
      </w:r>
      <w:r>
        <w:rPr>
          <w:color w:val="334155"/>
          <w:sz w:val="19"/>
        </w:rPr>
        <w:t xml:space="preserve"> — Detailed breakdown of the 9 interactive components and engineering studies.</w:t>
      </w:r>
    </w:p>
    <w:p>
      <w:pPr>
        <w:pStyle w:val="ListBullet"/>
        <w:spacing w:before="20" w:after="40"/>
      </w:pPr>
      <w:r>
        <w:rPr>
          <w:color w:val="334155"/>
          <w:sz w:val="19"/>
        </w:rPr>
        <w:t xml:space="preserve">🏗️ </w:t>
      </w:r>
      <w:r>
        <w:rPr>
          <w:b/>
          <w:color w:val="1E293B"/>
          <w:sz w:val="19"/>
        </w:rPr>
        <w:t>[Multi-Project Siting Architecture Blueprint (HTML)](../business/project_specific_site_enhancement_architecture_plan.html)</w:t>
      </w:r>
      <w:r>
        <w:rPr>
          <w:color w:val="334155"/>
          <w:sz w:val="19"/>
        </w:rPr>
        <w:t xml:space="preserve"> — Reusable manifest schema and generic packaging engine.</w:t>
      </w:r>
    </w:p>
    <w:p>
      <w:pPr>
        <w:pStyle w:val="ListBullet"/>
        <w:spacing w:before="20" w:after="40"/>
      </w:pPr>
      <w:r>
        <w:rPr>
          <w:color w:val="334155"/>
          <w:sz w:val="19"/>
        </w:rPr>
        <w:t xml:space="preserve">🤝 </w:t>
      </w:r>
      <w:r>
        <w:rPr>
          <w:b/>
          <w:color w:val="1E293B"/>
          <w:sz w:val="19"/>
        </w:rPr>
        <w:t>[GeoLibre Upstream Engineering Specs](../engineering/upstream_geolibre_contributions.html)</w:t>
      </w:r>
      <w:r>
        <w:rPr>
          <w:color w:val="334155"/>
          <w:sz w:val="19"/>
        </w:rPr>
        <w:t xml:space="preserve"> — Upstream plugin designs and 5 core rendering standards.</w:t>
      </w:r>
    </w:p>
    <w:p>
      <w:pPr>
        <w:pStyle w:val="ListBullet"/>
        <w:spacing w:before="20" w:after="40"/>
      </w:pPr>
      <w:r>
        <w:rPr>
          <w:color w:val="334155"/>
          <w:sz w:val="19"/>
        </w:rPr>
        <w:t xml:space="preserve">🏛️ </w:t>
      </w:r>
      <w:r>
        <w:rPr>
          <w:b/>
          <w:color w:val="1E293B"/>
          <w:sz w:val="19"/>
        </w:rPr>
        <w:t>[NSW Government &amp; Waratah HPC Strategic Guide](../business/nsw_govt_geospatial_benefits.html)</w:t>
      </w:r>
      <w:r>
        <w:rPr>
          <w:color w:val="334155"/>
          <w:sz w:val="19"/>
        </w:rPr>
        <w:t xml:space="preserve"> — Transferring cloud spatial lakehouse patterns to state supercomputing.</w:t>
      </w:r>
    </w:p>
    <w:p>
      <w:pPr>
        <w:pStyle w:val="ListBullet"/>
        <w:spacing w:before="20" w:after="40"/>
      </w:pPr>
      <w:r>
        <w:rPr>
          <w:color w:val="334155"/>
          <w:sz w:val="19"/>
        </w:rPr>
        <w:t xml:space="preserve">🇦🇺 </w:t>
      </w:r>
      <w:r>
        <w:rPr>
          <w:b/>
          <w:color w:val="1E293B"/>
          <w:sz w:val="19"/>
        </w:rPr>
        <w:t>[National Siting Suitability Report](../../national_suitability_report.html)</w:t>
      </w:r>
      <w:r>
        <w:rPr>
          <w:color w:val="334155"/>
          <w:sz w:val="19"/>
        </w:rPr>
        <w:t xml:space="preserve"> — Macro-level multi-hazard benchmark across 17 Australian hubs.</w:t>
      </w:r>
    </w:p>
    <w:p>
      <w:pPr>
        <w:pStyle w:val="ListBullet"/>
        <w:spacing w:before="20" w:after="40"/>
      </w:pPr>
      <w:r>
        <w:rPr>
          <w:color w:val="334155"/>
          <w:sz w:val="19"/>
        </w:rPr>
        <w:t xml:space="preserve">🏛️ </w:t>
      </w:r>
      <w:r>
        <w:rPr>
          <w:b/>
          <w:color w:val="1E293B"/>
          <w:sz w:val="19"/>
        </w:rPr>
        <w:t>[Official NSW Planning Portal Exhibition Documents](https://www.planningportal.nsw.gov.au/ppr/post-exhibition/macquarie-coal-complex-transformation-precinct)</w:t>
      </w:r>
      <w:r>
        <w:rPr>
          <w:color w:val="334155"/>
          <w:sz w:val="19"/>
        </w:rPr>
        <w:t xml:space="preserve"> — Reference planning portal records for Macquarie Coal Complex.</w:t>
      </w:r>
    </w:p>
    <w:p>
      <w:pPr>
        <w:spacing w:before="40" w:after="80" w:line="276" w:lineRule="auto"/>
      </w:pPr>
      <w:r>
        <w:rPr>
          <w:color w:val="334155"/>
          <w:sz w:val="19"/>
        </w:rPr>
        <w:t>---</w:t>
      </w:r>
    </w:p>
    <w:p>
      <w:pPr>
        <w:spacing w:before="40" w:after="80" w:line="276" w:lineRule="auto"/>
      </w:pPr>
      <w:r>
        <w:rPr>
          <w:color w:val="334155"/>
          <w:sz w:val="19"/>
        </w:rPr>
        <w:t>*Spatial infrastructure decisions must be grounded in physical truth, statutory rigor, and open data. Let's build the sovereign compute and clean energy foundation Australia needs.*</w:t>
      </w:r>
    </w:p>
    <w:p>
      <w:r>
        <w:br w:type="page"/>
      </w:r>
    </w:p>
    <w:p>
      <w:pPr>
        <w:pStyle w:val="Heading1"/>
        <w:keepNext/>
        <w:spacing w:before="480" w:after="160"/>
      </w:pPr>
      <w:r>
        <w:rPr>
          <w:rFonts w:ascii="Outfit" w:hAnsi="Outfit"/>
          <w:b/>
          <w:color w:val="0F172A"/>
          <w:sz w:val="32"/>
        </w:rPr>
        <w:t>Part VI: Platform Engineering Specifications &amp; Architectural Decoupling</w:t>
      </w:r>
    </w:p>
    <w:p>
      <w:pPr>
        <w:pStyle w:val="Heading2"/>
      </w:pPr>
      <w:r>
        <w:t>Section 6.1: GeoLibre WebGIS Rendering &amp; Visual Hierarchy Specification</w:t>
      </w:r>
    </w:p>
    <w:p>
      <w:pPr>
        <w:pStyle w:val="Heading1"/>
        <w:keepNext/>
        <w:spacing w:before="320" w:after="120"/>
      </w:pPr>
      <w:r>
        <w:rPr>
          <w:b/>
          <w:color w:val="0F172A"/>
        </w:rPr>
        <w:t>GeoLibre WebGIS Rendering Enhancements Specification</w:t>
      </w:r>
    </w:p>
    <w:p>
      <w:pPr>
        <w:spacing w:before="40" w:after="80" w:line="276" w:lineRule="auto"/>
      </w:pPr>
      <w:r>
        <w:rPr>
          <w:b/>
          <w:color w:val="1E293B"/>
          <w:sz w:val="19"/>
        </w:rPr>
        <w:t>Ecosystem Standard for:</w:t>
      </w:r>
      <w:r>
        <w:rPr>
          <w:color w:val="334155"/>
          <w:sz w:val="19"/>
        </w:rPr>
        <w:t xml:space="preserve"> </w:t>
      </w:r>
      <w:r>
        <w:rPr>
          <w:color w:val="0284C7"/>
          <w:sz w:val="19"/>
          <w:u w:val="single"/>
        </w:rPr>
        <w:t>`opengeos/GeoLibre`</w:t>
      </w:r>
      <w:r>
        <w:rPr>
          <w:color w:val="334155"/>
          <w:sz w:val="19"/>
        </w:rPr>
        <w:t xml:space="preserve"> &amp; </w:t>
      </w:r>
      <w:r>
        <w:rPr>
          <w:color w:val="0284C7"/>
          <w:sz w:val="19"/>
          <w:u w:val="single"/>
        </w:rPr>
        <w:t>`GetBack2Basics/Spatial_Report_Crafter`</w:t>
      </w:r>
    </w:p>
    <w:p>
      <w:pPr>
        <w:spacing w:before="40" w:after="80" w:line="276" w:lineRule="auto"/>
      </w:pPr>
      <w:r>
        <w:rPr>
          <w:b/>
          <w:color w:val="1E293B"/>
          <w:sz w:val="19"/>
        </w:rPr>
        <w:t>Author:</w:t>
      </w:r>
      <w:r>
        <w:rPr>
          <w:color w:val="334155"/>
          <w:sz w:val="19"/>
        </w:rPr>
        <w:t xml:space="preserve"> GetBack2Basics / AURA Siting Crafter</w:t>
      </w:r>
    </w:p>
    <w:p>
      <w:pPr>
        <w:spacing w:before="40" w:after="80" w:line="276" w:lineRule="auto"/>
      </w:pPr>
      <w:r>
        <w:rPr>
          <w:b/>
          <w:color w:val="1E293B"/>
          <w:sz w:val="19"/>
        </w:rPr>
        <w:t>Status:</w:t>
      </w:r>
      <w:r>
        <w:rPr>
          <w:color w:val="334155"/>
          <w:sz w:val="19"/>
        </w:rPr>
        <w:t xml:space="preserve"> Adopted Default Standard (September 2026)</w:t>
      </w:r>
    </w:p>
    <w:p>
      <w:pPr>
        <w:spacing w:before="40" w:after="80" w:line="276" w:lineRule="auto"/>
      </w:pPr>
      <w:r>
        <w:rPr>
          <w:color w:val="334155"/>
          <w:sz w:val="19"/>
        </w:rPr>
        <w:t>---</w:t>
      </w:r>
    </w:p>
    <w:p>
      <w:pPr>
        <w:pStyle w:val="Heading2"/>
        <w:keepNext/>
        <w:spacing w:before="240" w:after="80"/>
      </w:pPr>
      <w:r>
        <w:rPr>
          <w:b/>
          <w:color w:val="0284C7"/>
        </w:rPr>
        <w:t>1. Overview &amp; Objective</w:t>
      </w:r>
    </w:p>
    <w:p>
      <w:pPr>
        <w:spacing w:before="40" w:after="80" w:line="276" w:lineRule="auto"/>
      </w:pPr>
      <w:r>
        <w:rPr>
          <w:color w:val="334155"/>
          <w:sz w:val="19"/>
        </w:rPr>
        <w:t>When rendering large-scale spatial layers (such as 15.4M+ national cadastral parcels, multi-hazard envelopes, and electrical transmission grids) inside browser WebGIS applications, client-side rendering bottlenecks can lead to:</w:t>
      </w:r>
    </w:p>
    <w:p>
      <w:pPr>
        <w:pStyle w:val="ListBullet"/>
        <w:spacing w:before="20" w:after="40"/>
      </w:pPr>
      <w:r>
        <w:rPr>
          <w:color w:val="334155"/>
          <w:sz w:val="19"/>
        </w:rPr>
        <w:t>Excessive WebGL draw calls and dropped frames (&lt; 30 fps).</w:t>
      </w:r>
    </w:p>
    <w:p>
      <w:pPr>
        <w:pStyle w:val="ListBullet"/>
        <w:spacing w:before="20" w:after="40"/>
      </w:pPr>
      <w:r>
        <w:rPr>
          <w:color w:val="334155"/>
          <w:sz w:val="19"/>
        </w:rPr>
        <w:t>Viewport clutter caused by tens of thousands of sub-pixel polygon slivers.</w:t>
      </w:r>
    </w:p>
    <w:p>
      <w:pPr>
        <w:pStyle w:val="ListBullet"/>
        <w:spacing w:before="20" w:after="40"/>
      </w:pPr>
      <w:r>
        <w:rPr>
          <w:color w:val="334155"/>
          <w:sz w:val="19"/>
        </w:rPr>
        <w:t>DOM and memory pressure resulting from bloated GeoJSON transfers.</w:t>
      </w:r>
    </w:p>
    <w:p>
      <w:pPr>
        <w:spacing w:before="40" w:after="80" w:line="276" w:lineRule="auto"/>
      </w:pPr>
      <w:r>
        <w:rPr>
          <w:color w:val="334155"/>
          <w:sz w:val="19"/>
        </w:rPr>
        <w:t xml:space="preserve">This specification defines </w:t>
      </w:r>
      <w:r>
        <w:rPr>
          <w:b/>
          <w:color w:val="1E293B"/>
          <w:sz w:val="19"/>
        </w:rPr>
        <w:t>5 Core Rendering Standards</w:t>
      </w:r>
      <w:r>
        <w:rPr>
          <w:color w:val="334155"/>
          <w:sz w:val="19"/>
        </w:rPr>
        <w:t xml:space="preserve"> to serve as the default behavior across </w:t>
      </w:r>
      <w:r>
        <w:rPr>
          <w:b/>
          <w:color w:val="1E293B"/>
          <w:sz w:val="19"/>
        </w:rPr>
        <w:t>GeoLibre</w:t>
      </w:r>
      <w:r>
        <w:rPr>
          <w:color w:val="334155"/>
          <w:sz w:val="19"/>
        </w:rPr>
        <w:t xml:space="preserve"> client plugins and </w:t>
      </w:r>
      <w:r>
        <w:rPr>
          <w:b/>
          <w:color w:val="1E293B"/>
          <w:sz w:val="19"/>
        </w:rPr>
        <w:t>Spatial_Report_Crafter</w:t>
      </w:r>
      <w:r>
        <w:rPr>
          <w:color w:val="334155"/>
          <w:sz w:val="19"/>
        </w:rPr>
        <w:t xml:space="preserve"> digital twins.</w:t>
      </w:r>
    </w:p>
    <w:p>
      <w:pPr>
        <w:spacing w:before="80" w:after="120"/>
        <w:ind w:left="360"/>
      </w:pPr>
      <w:r>
        <w:rPr>
          <w:rFonts w:ascii="Consolas" w:hAnsi="Consolas"/>
          <w:color w:val="0F172A"/>
          <w:sz w:val="17"/>
        </w:rPr>
        <w:t>flowchart TD</w:t>
        <w:br/>
        <w:t xml:space="preserve">    subgraph DataLayer["Cloud / Native Stream"]</w:t>
        <w:br/>
        <w:t xml:space="preserve">        GPQ["GeoParquet / PMTiles / FlatGeobuf"]</w:t>
        <w:br/>
        <w:t xml:space="preserve">    end</w:t>
        <w:br/>
        <w:br/>
        <w:t xml:space="preserve">    subgraph ClientProcessing["DuckDB-WASM Engine"]</w:t>
        <w:br/>
        <w:t xml:space="preserve">        SQL["Area Sort: ORDER BY ST_Area(geom) DESC&lt;br/&gt;Viewport Limit: LIMIT 500"]</w:t>
        <w:br/>
        <w:t xml:space="preserve">        ATTR["Dynamic Continuous Attribute Normalization"]</w:t>
        <w:br/>
        <w:t xml:space="preserve">    end</w:t>
        <w:br/>
        <w:br/>
        <w:t xml:space="preserve">    subgraph MapLibreRendering["MapLibre GL JS Rendering"]</w:t>
        <w:br/>
        <w:t xml:space="preserve">        CLUST["Point Clustering Source (cluster: true)"]</w:t>
        <w:br/>
        <w:t xml:space="preserve">        RAMP["Dynamic Interpolate Continuous Color Ramps"]</w:t>
        <w:br/>
        <w:t xml:space="preserve">        STREAM["HTTP Byte-Range Sub-Second Streaming"]</w:t>
        <w:br/>
        <w:t xml:space="preserve">        EXPORT["Single-File Zero-Latency Standalone Twin"]</w:t>
        <w:br/>
        <w:t xml:space="preserve">    end</w:t>
        <w:br/>
        <w:br/>
        <w:t xml:space="preserve">    GPQ --&gt; STREAM</w:t>
        <w:br/>
        <w:t xml:space="preserve">    STREAM --&gt; SQL</w:t>
        <w:br/>
        <w:t xml:space="preserve">    SQL --&gt; RAMP</w:t>
        <w:br/>
        <w:t xml:space="preserve">    ATTR --&gt; RAMP</w:t>
        <w:br/>
        <w:t xml:space="preserve">    GPQ --&gt; CLUST</w:t>
      </w:r>
    </w:p>
    <w:p>
      <w:pPr>
        <w:spacing w:before="40" w:after="80" w:line="276" w:lineRule="auto"/>
      </w:pPr>
      <w:r>
        <w:rPr>
          <w:color w:val="334155"/>
          <w:sz w:val="19"/>
        </w:rPr>
        <w:t>---</w:t>
      </w:r>
    </w:p>
    <w:p>
      <w:pPr>
        <w:pStyle w:val="Heading2"/>
        <w:keepNext/>
        <w:spacing w:before="240" w:after="80"/>
      </w:pPr>
      <w:r>
        <w:rPr>
          <w:b/>
          <w:color w:val="0284C7"/>
        </w:rPr>
        <w:t>2. The 5 Core Rendering Standards</w:t>
      </w:r>
    </w:p>
    <w:p>
      <w:pPr>
        <w:pStyle w:val="Heading3"/>
        <w:keepNext/>
        <w:spacing w:before="160" w:after="40"/>
      </w:pPr>
      <w:r>
        <w:rPr>
          <w:b/>
          <w:color w:val="334155"/>
        </w:rPr>
        <w:t>Standard 1: Area-Priority Viewport Feature Limiting</w:t>
      </w:r>
    </w:p>
    <w:p>
      <w:pPr>
        <w:pStyle w:val="ListBullet"/>
        <w:spacing w:before="20" w:after="40"/>
      </w:pPr>
      <w:r>
        <w:rPr>
          <w:b/>
          <w:color w:val="1E293B"/>
          <w:sz w:val="19"/>
        </w:rPr>
        <w:t>Default Setting:</w:t>
      </w:r>
      <w:r>
        <w:rPr>
          <w:color w:val="334155"/>
          <w:sz w:val="19"/>
        </w:rPr>
        <w:t xml:space="preserve"> </w:t>
      </w:r>
      <w:r>
        <w:rPr>
          <w:rFonts w:ascii="Consolas" w:hAnsi="Consolas"/>
          <w:color w:val="0E7490"/>
          <w:sz w:val="17"/>
        </w:rPr>
        <w:t>FEATURE_RENDER_LIMIT = 500</w:t>
      </w:r>
    </w:p>
    <w:p>
      <w:pPr>
        <w:pStyle w:val="ListBullet"/>
        <w:spacing w:before="20" w:after="40"/>
      </w:pPr>
      <w:r>
        <w:rPr>
          <w:b/>
          <w:color w:val="1E293B"/>
          <w:sz w:val="19"/>
        </w:rPr>
        <w:t>Behavior:</w:t>
      </w:r>
      <w:r>
        <w:rPr>
          <w:color w:val="334155"/>
          <w:sz w:val="19"/>
        </w:rPr>
        <w:t xml:space="preserve"> When the total matching polygon/multipolygon count within an active viewport bounding box exceeds the limit, query and sort features by descending surface area (</w:t>
      </w:r>
      <w:r>
        <w:rPr>
          <w:rFonts w:ascii="Consolas" w:hAnsi="Consolas"/>
          <w:color w:val="0E7490"/>
          <w:sz w:val="17"/>
        </w:rPr>
        <w:t>ORDER BY ST_Area(geom) DESC</w:t>
      </w:r>
      <w:r>
        <w:rPr>
          <w:color w:val="334155"/>
          <w:sz w:val="19"/>
        </w:rPr>
        <w:t xml:space="preserve"> or bounding box magnitude).</w:t>
      </w:r>
    </w:p>
    <w:p>
      <w:pPr>
        <w:pStyle w:val="ListBullet"/>
        <w:spacing w:before="20" w:after="40"/>
      </w:pPr>
      <w:r>
        <w:rPr>
          <w:b/>
          <w:color w:val="1E293B"/>
          <w:sz w:val="19"/>
        </w:rPr>
        <w:t>Benefit:</w:t>
      </w:r>
      <w:r>
        <w:rPr>
          <w:color w:val="334155"/>
          <w:sz w:val="19"/>
        </w:rPr>
        <w:t xml:space="preserve"> Ensures primary regional land parcels and candidate pads are rendered cleanly without visual occlusion from micro-slivers, while maintaining consistent 60fps frame rates.</w:t>
      </w:r>
    </w:p>
    <w:p>
      <w:pPr>
        <w:pStyle w:val="Heading3"/>
        <w:keepNext/>
        <w:spacing w:before="160" w:after="40"/>
      </w:pPr>
      <w:r>
        <w:rPr>
          <w:b/>
          <w:color w:val="334155"/>
        </w:rPr>
        <w:t>Standard 2: Point Clustering &amp; Density Scaling</w:t>
      </w:r>
    </w:p>
    <w:p>
      <w:pPr>
        <w:pStyle w:val="ListBullet"/>
        <w:spacing w:before="20" w:after="40"/>
      </w:pPr>
      <w:r>
        <w:rPr>
          <w:b/>
          <w:color w:val="1E293B"/>
          <w:sz w:val="19"/>
        </w:rPr>
        <w:t>Default Setting:</w:t>
      </w:r>
      <w:r>
        <w:rPr>
          <w:color w:val="334155"/>
          <w:sz w:val="19"/>
        </w:rPr>
        <w:t xml:space="preserve"> </w:t>
      </w:r>
      <w:r>
        <w:rPr>
          <w:rFonts w:ascii="Consolas" w:hAnsi="Consolas"/>
          <w:color w:val="0E7490"/>
          <w:sz w:val="17"/>
        </w:rPr>
        <w:t>cluster: true</w:t>
      </w:r>
      <w:r>
        <w:rPr>
          <w:color w:val="334155"/>
          <w:sz w:val="19"/>
        </w:rPr>
        <w:t xml:space="preserve">, </w:t>
      </w:r>
      <w:r>
        <w:rPr>
          <w:rFonts w:ascii="Consolas" w:hAnsi="Consolas"/>
          <w:color w:val="0E7490"/>
          <w:sz w:val="17"/>
        </w:rPr>
        <w:t>clusterRadius: 50</w:t>
      </w:r>
      <w:r>
        <w:rPr>
          <w:color w:val="334155"/>
          <w:sz w:val="19"/>
        </w:rPr>
        <w:t xml:space="preserve">, </w:t>
      </w:r>
      <w:r>
        <w:rPr>
          <w:rFonts w:ascii="Consolas" w:hAnsi="Consolas"/>
          <w:color w:val="0E7490"/>
          <w:sz w:val="17"/>
        </w:rPr>
        <w:t>clusterMaxZoom: 14</w:t>
      </w:r>
    </w:p>
    <w:p>
      <w:pPr>
        <w:pStyle w:val="ListBullet"/>
        <w:spacing w:before="20" w:after="40"/>
      </w:pPr>
      <w:r>
        <w:rPr>
          <w:b/>
          <w:color w:val="1E293B"/>
          <w:sz w:val="19"/>
        </w:rPr>
        <w:t>Behavior:</w:t>
      </w:r>
      <w:r>
        <w:rPr>
          <w:color w:val="334155"/>
          <w:sz w:val="19"/>
        </w:rPr>
        <w:t xml:space="preserve"> For dense point layers (electrical substations, transmission towers, water boreholes, monitoring points), instantiate MapLibre GL cluster sources.</w:t>
      </w:r>
    </w:p>
    <w:p>
      <w:pPr>
        <w:pStyle w:val="ListBullet"/>
        <w:spacing w:before="20" w:after="40"/>
      </w:pPr>
      <w:r>
        <w:rPr>
          <w:b/>
          <w:color w:val="1E293B"/>
          <w:sz w:val="19"/>
        </w:rPr>
        <w:t>Cluster Badges:</w:t>
      </w:r>
      <w:r>
        <w:rPr>
          <w:color w:val="334155"/>
          <w:sz w:val="19"/>
        </w:rPr>
        <w:t xml:space="preserve"> Tiered circle radii and color steps (e.g., </w:t>
      </w:r>
      <w:r>
        <w:rPr>
          <w:rFonts w:ascii="Consolas" w:hAnsi="Consolas"/>
          <w:color w:val="0E7490"/>
          <w:sz w:val="17"/>
        </w:rPr>
        <w:t>&lt; 10</w:t>
      </w:r>
      <w:r>
        <w:rPr>
          <w:color w:val="334155"/>
          <w:sz w:val="19"/>
        </w:rPr>
        <w:t xml:space="preserve"> points: </w:t>
      </w:r>
      <w:r>
        <w:rPr>
          <w:rFonts w:ascii="Consolas" w:hAnsi="Consolas"/>
          <w:color w:val="0E7490"/>
          <w:sz w:val="17"/>
        </w:rPr>
        <w:t>#3b82f6</w:t>
      </w:r>
      <w:r>
        <w:rPr>
          <w:color w:val="334155"/>
          <w:sz w:val="19"/>
        </w:rPr>
        <w:t xml:space="preserve">, </w:t>
      </w:r>
      <w:r>
        <w:rPr>
          <w:rFonts w:ascii="Consolas" w:hAnsi="Consolas"/>
          <w:color w:val="0E7490"/>
          <w:sz w:val="17"/>
        </w:rPr>
        <w:t>10–50</w:t>
      </w:r>
      <w:r>
        <w:rPr>
          <w:color w:val="334155"/>
          <w:sz w:val="19"/>
        </w:rPr>
        <w:t xml:space="preserve"> points: </w:t>
      </w:r>
      <w:r>
        <w:rPr>
          <w:rFonts w:ascii="Consolas" w:hAnsi="Consolas"/>
          <w:color w:val="0E7490"/>
          <w:sz w:val="17"/>
        </w:rPr>
        <w:t>#f59e0b</w:t>
      </w:r>
      <w:r>
        <w:rPr>
          <w:color w:val="334155"/>
          <w:sz w:val="19"/>
        </w:rPr>
        <w:t xml:space="preserve">, </w:t>
      </w:r>
      <w:r>
        <w:rPr>
          <w:rFonts w:ascii="Consolas" w:hAnsi="Consolas"/>
          <w:color w:val="0E7490"/>
          <w:sz w:val="17"/>
        </w:rPr>
        <w:t>&gt; 50</w:t>
      </w:r>
      <w:r>
        <w:rPr>
          <w:color w:val="334155"/>
          <w:sz w:val="19"/>
        </w:rPr>
        <w:t xml:space="preserve"> points: </w:t>
      </w:r>
      <w:r>
        <w:rPr>
          <w:rFonts w:ascii="Consolas" w:hAnsi="Consolas"/>
          <w:color w:val="0E7490"/>
          <w:sz w:val="17"/>
        </w:rPr>
        <w:t>#ef4444</w:t>
      </w:r>
      <w:r>
        <w:rPr>
          <w:color w:val="334155"/>
          <w:sz w:val="19"/>
        </w:rPr>
        <w:t>). Clicking a cluster executes bounding-box zoom expansion or spiderfying.</w:t>
      </w:r>
    </w:p>
    <w:p>
      <w:pPr>
        <w:pStyle w:val="Heading3"/>
        <w:keepNext/>
        <w:spacing w:before="160" w:after="40"/>
      </w:pPr>
      <w:r>
        <w:rPr>
          <w:b/>
          <w:color w:val="334155"/>
        </w:rPr>
        <w:t>Standard 3: Dynamic MapLibre Continuous Color Ramps</w:t>
      </w:r>
    </w:p>
    <w:p>
      <w:pPr>
        <w:pStyle w:val="ListBullet"/>
        <w:spacing w:before="20" w:after="40"/>
      </w:pPr>
      <w:r>
        <w:rPr>
          <w:b/>
          <w:color w:val="1E293B"/>
          <w:sz w:val="19"/>
        </w:rPr>
        <w:t>Default Setting:</w:t>
      </w:r>
      <w:r>
        <w:rPr>
          <w:color w:val="334155"/>
          <w:sz w:val="19"/>
        </w:rPr>
        <w:t xml:space="preserve"> GPU-driven continuous expression interpolation</w:t>
      </w:r>
    </w:p>
    <w:p>
      <w:pPr>
        <w:pStyle w:val="ListBullet"/>
        <w:spacing w:before="20" w:after="40"/>
      </w:pPr>
      <w:r>
        <w:rPr>
          <w:b/>
          <w:color w:val="1E293B"/>
          <w:sz w:val="19"/>
        </w:rPr>
        <w:t>Syntax:</w:t>
      </w:r>
    </w:p>
    <w:p>
      <w:pPr>
        <w:spacing w:before="80" w:after="120"/>
        <w:ind w:left="360"/>
      </w:pPr>
      <w:r>
        <w:rPr>
          <w:rFonts w:ascii="Consolas" w:hAnsi="Consolas"/>
          <w:color w:val="0F172A"/>
          <w:sz w:val="17"/>
        </w:rPr>
        <w:t xml:space="preserve">  'fill-color': [</w:t>
        <w:br/>
        <w:t xml:space="preserve">    'interpolate',</w:t>
        <w:br/>
        <w:t xml:space="preserve">    ['linear'],</w:t>
        <w:br/>
        <w:t xml:space="preserve">    ['get', 'suitability_score'],</w:t>
        <w:br/>
        <w:t xml:space="preserve">    0.0, '#3b82f6',   // Blue (Low / Moderate)</w:t>
        <w:br/>
        <w:t xml:space="preserve">    0.5, '#f59e0b',   // Amber (Viable)</w:t>
        <w:br/>
        <w:t xml:space="preserve">    0.8, '#10b981',   // Emerald (High)</w:t>
        <w:br/>
        <w:t xml:space="preserve">    1.0, '#06b6d4'    // Cyan (Optimal Tier-1)</w:t>
        <w:br/>
        <w:t xml:space="preserve">  ]</w:t>
      </w:r>
    </w:p>
    <w:p>
      <w:pPr>
        <w:pStyle w:val="ListBullet"/>
        <w:spacing w:before="20" w:after="40"/>
      </w:pPr>
      <w:r>
        <w:rPr>
          <w:b/>
          <w:color w:val="1E293B"/>
          <w:sz w:val="19"/>
        </w:rPr>
        <w:t>Benefit:</w:t>
      </w:r>
      <w:r>
        <w:rPr>
          <w:color w:val="334155"/>
          <w:sz w:val="19"/>
        </w:rPr>
        <w:t xml:space="preserve"> Parameter adjustments in client-side DuckDB-WASM immediately recolor map polygons via WebGL shaders without re-allocating layers or textures.</w:t>
      </w:r>
    </w:p>
    <w:p>
      <w:pPr>
        <w:pStyle w:val="Heading3"/>
        <w:keepNext/>
        <w:spacing w:before="160" w:after="40"/>
      </w:pPr>
      <w:r>
        <w:rPr>
          <w:b/>
          <w:color w:val="334155"/>
        </w:rPr>
        <w:t>Standard 4: Sub-Second Web-Native Vector Streaming</w:t>
      </w:r>
    </w:p>
    <w:p>
      <w:pPr>
        <w:pStyle w:val="ListBullet"/>
        <w:spacing w:before="20" w:after="40"/>
      </w:pPr>
      <w:r>
        <w:rPr>
          <w:b/>
          <w:color w:val="1E293B"/>
          <w:sz w:val="19"/>
        </w:rPr>
        <w:t>Default Formats:</w:t>
      </w:r>
      <w:r>
        <w:rPr>
          <w:color w:val="334155"/>
          <w:sz w:val="19"/>
        </w:rPr>
        <w:t xml:space="preserve"> </w:t>
      </w:r>
      <w:r>
        <w:rPr>
          <w:b/>
          <w:color w:val="1E293B"/>
          <w:sz w:val="19"/>
        </w:rPr>
        <w:t>PMTiles</w:t>
      </w:r>
      <w:r>
        <w:rPr>
          <w:color w:val="334155"/>
          <w:sz w:val="19"/>
        </w:rPr>
        <w:t xml:space="preserve">, </w:t>
      </w:r>
      <w:r>
        <w:rPr>
          <w:b/>
          <w:color w:val="1E293B"/>
          <w:sz w:val="19"/>
        </w:rPr>
        <w:t>FlatGeobuf</w:t>
      </w:r>
      <w:r>
        <w:rPr>
          <w:color w:val="334155"/>
          <w:sz w:val="19"/>
        </w:rPr>
        <w:t xml:space="preserve">, </w:t>
      </w:r>
      <w:r>
        <w:rPr>
          <w:b/>
          <w:color w:val="1E293B"/>
          <w:sz w:val="19"/>
        </w:rPr>
        <w:t>GeoParquet</w:t>
      </w:r>
    </w:p>
    <w:p>
      <w:pPr>
        <w:pStyle w:val="ListBullet"/>
        <w:spacing w:before="20" w:after="40"/>
      </w:pPr>
      <w:r>
        <w:rPr>
          <w:b/>
          <w:color w:val="1E293B"/>
          <w:sz w:val="19"/>
        </w:rPr>
        <w:t>Behavior:</w:t>
      </w:r>
      <w:r>
        <w:rPr>
          <w:color w:val="334155"/>
          <w:sz w:val="19"/>
        </w:rPr>
        <w:t xml:space="preserve"> Client requests only the required spatial partitions or tile bytes using HTTP Range headers (</w:t>
      </w:r>
      <w:r>
        <w:rPr>
          <w:rFonts w:ascii="Consolas" w:hAnsi="Consolas"/>
          <w:color w:val="0E7490"/>
          <w:sz w:val="17"/>
        </w:rPr>
        <w:t>Range: bytes=start-end</w:t>
      </w:r>
      <w:r>
        <w:rPr>
          <w:color w:val="334155"/>
          <w:sz w:val="19"/>
        </w:rPr>
        <w:t>), eliminating multi-megabyte GeoJSON payload downloads.</w:t>
      </w:r>
    </w:p>
    <w:p>
      <w:pPr>
        <w:pStyle w:val="Heading3"/>
        <w:keepNext/>
        <w:spacing w:before="160" w:after="40"/>
      </w:pPr>
      <w:r>
        <w:rPr>
          <w:b/>
          <w:color w:val="334155"/>
        </w:rPr>
        <w:t>Standard 5: Zero-Latency Standalone Digital Twins</w:t>
      </w:r>
    </w:p>
    <w:p>
      <w:pPr>
        <w:pStyle w:val="ListBullet"/>
        <w:spacing w:before="20" w:after="40"/>
      </w:pPr>
      <w:r>
        <w:rPr>
          <w:b/>
          <w:color w:val="1E293B"/>
          <w:sz w:val="19"/>
        </w:rPr>
        <w:t>Default Output:</w:t>
      </w:r>
      <w:r>
        <w:rPr>
          <w:color w:val="334155"/>
          <w:sz w:val="19"/>
        </w:rPr>
        <w:t xml:space="preserve"> Self-contained, single-file HTML apps</w:t>
      </w:r>
    </w:p>
    <w:p>
      <w:pPr>
        <w:pStyle w:val="ListBullet"/>
        <w:spacing w:before="20" w:after="40"/>
      </w:pPr>
      <w:r>
        <w:rPr>
          <w:b/>
          <w:color w:val="1E293B"/>
          <w:sz w:val="19"/>
        </w:rPr>
        <w:t>Behavior:</w:t>
      </w:r>
      <w:r>
        <w:rPr>
          <w:color w:val="334155"/>
          <w:sz w:val="19"/>
        </w:rPr>
        <w:t xml:space="preserve"> </w:t>
      </w:r>
      <w:r>
        <w:rPr>
          <w:rFonts w:ascii="Consolas" w:hAnsi="Consolas"/>
          <w:color w:val="0E7490"/>
          <w:sz w:val="17"/>
        </w:rPr>
        <w:t>Spatial_Report_Crafter</w:t>
      </w:r>
      <w:r>
        <w:rPr>
          <w:color w:val="334155"/>
          <w:sz w:val="19"/>
        </w:rPr>
        <w:t xml:space="preserve"> and GeoLibre exporters embed essential micro-layers (e.g. project boundaries, Net Developable Pads, infrastructure corridors) directly into the HTML document, allowing stakeholders to execute full spatial queries and slider re-scoring completely offline.</w:t>
      </w:r>
    </w:p>
    <w:p>
      <w:pPr>
        <w:spacing w:before="40" w:after="80" w:line="276" w:lineRule="auto"/>
      </w:pPr>
      <w:r>
        <w:rPr>
          <w:color w:val="334155"/>
          <w:sz w:val="19"/>
        </w:rPr>
        <w:t>---</w:t>
      </w:r>
    </w:p>
    <w:p>
      <w:pPr>
        <w:pStyle w:val="Heading2"/>
        <w:keepNext/>
        <w:spacing w:before="240" w:after="80"/>
      </w:pPr>
      <w:r>
        <w:rPr>
          <w:b/>
          <w:color w:val="0284C7"/>
        </w:rPr>
        <w:t>3. Integration Matrix</w:t>
      </w:r>
    </w:p>
    <w:tbl>
      <w:tblPr>
        <w:tblW w:type="auto" w:w="0"/>
        <w:jc w:val="center"/>
        <w:tblLook w:firstColumn="1" w:firstRow="1" w:lastColumn="0" w:lastRow="0" w:noHBand="0" w:noVBand="1" w:val="04A0"/>
      </w:tblPr>
      <w:tblGrid>
        <w:gridCol w:w="3312"/>
        <w:gridCol w:w="3312"/>
        <w:gridCol w:w="3312"/>
      </w:tblGrid>
      <w:tr>
        <w:tc>
          <w:tcPr>
            <w:tcW w:type="dxa" w:w="3312"/>
            <w:tcMar>
              <w:top w:w="60" w:type="dxa"/>
              <w:bottom w:w="60" w:type="dxa"/>
              <w:left w:w="100" w:type="dxa"/>
              <w:right w:w="100" w:type="dxa"/>
            </w:tcMar>
            <w:shd w:fill="0F172A"/>
          </w:tcPr>
          <w:p>
            <w:pPr>
              <w:spacing w:before="40" w:after="40"/>
            </w:pPr>
            <w:r>
              <w:rPr>
                <w:b/>
                <w:color w:val="F8FAFC"/>
                <w:sz w:val="18"/>
              </w:rPr>
              <w:t>Component</w:t>
            </w:r>
          </w:p>
        </w:tc>
        <w:tc>
          <w:tcPr>
            <w:tcW w:type="dxa" w:w="3312"/>
            <w:tcMar>
              <w:top w:w="60" w:type="dxa"/>
              <w:bottom w:w="60" w:type="dxa"/>
              <w:left w:w="100" w:type="dxa"/>
              <w:right w:w="100" w:type="dxa"/>
            </w:tcMar>
            <w:shd w:fill="0F172A"/>
          </w:tcPr>
          <w:p>
            <w:pPr>
              <w:spacing w:before="40" w:after="40"/>
            </w:pPr>
            <w:r>
              <w:rPr>
                <w:b/>
                <w:color w:val="F8FAFC"/>
                <w:sz w:val="18"/>
              </w:rPr>
              <w:t>GeoLibre (`opengeos/GeoLibre`)</w:t>
            </w:r>
          </w:p>
        </w:tc>
        <w:tc>
          <w:tcPr>
            <w:tcW w:type="dxa" w:w="3312"/>
            <w:tcMar>
              <w:top w:w="60" w:type="dxa"/>
              <w:bottom w:w="60" w:type="dxa"/>
              <w:left w:w="100" w:type="dxa"/>
              <w:right w:w="100" w:type="dxa"/>
            </w:tcMar>
            <w:shd w:fill="0F172A"/>
          </w:tcPr>
          <w:p>
            <w:pPr>
              <w:spacing w:before="40" w:after="40"/>
            </w:pPr>
            <w:r>
              <w:rPr>
                <w:b/>
                <w:color w:val="F8FAFC"/>
                <w:sz w:val="18"/>
              </w:rPr>
              <w:t>Spatial Report Crafter (`Spatial_Report_Crafter`)</w:t>
            </w:r>
          </w:p>
        </w:tc>
      </w:tr>
      <w:tr>
        <w:tc>
          <w:tcPr>
            <w:tcW w:type="dxa" w:w="3312"/>
            <w:tcMar>
              <w:top w:w="60" w:type="dxa"/>
              <w:bottom w:w="60" w:type="dxa"/>
              <w:left w:w="100" w:type="dxa"/>
              <w:right w:w="100" w:type="dxa"/>
            </w:tcMar>
            <w:shd w:fill="F8FAFC"/>
          </w:tcPr>
          <w:p>
            <w:pPr>
              <w:spacing w:before="40" w:after="40"/>
            </w:pPr>
            <w:r>
              <w:rPr>
                <w:color w:val="1E293B"/>
                <w:sz w:val="17"/>
              </w:rPr>
              <w:t>**Area-Priority Limiter**</w:t>
            </w:r>
          </w:p>
        </w:tc>
        <w:tc>
          <w:tcPr>
            <w:tcW w:type="dxa" w:w="3312"/>
            <w:tcMar>
              <w:top w:w="60" w:type="dxa"/>
              <w:bottom w:w="60" w:type="dxa"/>
              <w:left w:w="100" w:type="dxa"/>
              <w:right w:w="100" w:type="dxa"/>
            </w:tcMar>
            <w:shd w:fill="F8FAFC"/>
          </w:tcPr>
          <w:p>
            <w:pPr>
              <w:spacing w:before="40" w:after="40"/>
            </w:pPr>
            <w:r>
              <w:rPr>
                <w:color w:val="1E293B"/>
                <w:sz w:val="17"/>
              </w:rPr>
              <w:t>Core Layer Rendering Pipeline</w:t>
            </w:r>
          </w:p>
        </w:tc>
        <w:tc>
          <w:tcPr>
            <w:tcW w:type="dxa" w:w="3312"/>
            <w:tcMar>
              <w:top w:w="60" w:type="dxa"/>
              <w:bottom w:w="60" w:type="dxa"/>
              <w:left w:w="100" w:type="dxa"/>
              <w:right w:w="100" w:type="dxa"/>
            </w:tcMar>
            <w:shd w:fill="F8FAFC"/>
          </w:tcPr>
          <w:p>
            <w:pPr>
              <w:spacing w:before="40" w:after="40"/>
            </w:pPr>
            <w:r>
              <w:rPr>
                <w:color w:val="1E293B"/>
                <w:sz w:val="17"/>
              </w:rPr>
              <w:t>Default Project Map Template</w:t>
            </w:r>
          </w:p>
        </w:tc>
      </w:tr>
      <w:tr>
        <w:tc>
          <w:tcPr>
            <w:tcW w:type="dxa" w:w="3312"/>
            <w:tcMar>
              <w:top w:w="60" w:type="dxa"/>
              <w:bottom w:w="60" w:type="dxa"/>
              <w:left w:w="100" w:type="dxa"/>
              <w:right w:w="100" w:type="dxa"/>
            </w:tcMar>
            <w:shd w:fill="FFFFFF"/>
          </w:tcPr>
          <w:p>
            <w:pPr>
              <w:spacing w:before="40" w:after="40"/>
            </w:pPr>
            <w:r>
              <w:rPr>
                <w:color w:val="1E293B"/>
                <w:sz w:val="17"/>
              </w:rPr>
              <w:t>**Point Clustering**</w:t>
            </w:r>
          </w:p>
        </w:tc>
        <w:tc>
          <w:tcPr>
            <w:tcW w:type="dxa" w:w="3312"/>
            <w:tcMar>
              <w:top w:w="60" w:type="dxa"/>
              <w:bottom w:w="60" w:type="dxa"/>
              <w:left w:w="100" w:type="dxa"/>
              <w:right w:w="100" w:type="dxa"/>
            </w:tcMar>
            <w:shd w:fill="FFFFFF"/>
          </w:tcPr>
          <w:p>
            <w:pPr>
              <w:spacing w:before="40" w:after="40"/>
            </w:pPr>
            <w:r>
              <w:rPr>
                <w:color w:val="1E293B"/>
                <w:sz w:val="17"/>
              </w:rPr>
              <w:t>Default on Point Ingestion</w:t>
            </w:r>
          </w:p>
        </w:tc>
        <w:tc>
          <w:tcPr>
            <w:tcW w:type="dxa" w:w="3312"/>
            <w:tcMar>
              <w:top w:w="60" w:type="dxa"/>
              <w:bottom w:w="60" w:type="dxa"/>
              <w:left w:w="100" w:type="dxa"/>
              <w:right w:w="100" w:type="dxa"/>
            </w:tcMar>
            <w:shd w:fill="FFFFFF"/>
          </w:tcPr>
          <w:p>
            <w:pPr>
              <w:spacing w:before="40" w:after="40"/>
            </w:pPr>
            <w:r>
              <w:rPr>
                <w:color w:val="1E293B"/>
                <w:sz w:val="17"/>
              </w:rPr>
              <w:t>Infrastructure Layer Presets</w:t>
            </w:r>
          </w:p>
        </w:tc>
      </w:tr>
      <w:tr>
        <w:tc>
          <w:tcPr>
            <w:tcW w:type="dxa" w:w="3312"/>
            <w:tcMar>
              <w:top w:w="60" w:type="dxa"/>
              <w:bottom w:w="60" w:type="dxa"/>
              <w:left w:w="100" w:type="dxa"/>
              <w:right w:w="100" w:type="dxa"/>
            </w:tcMar>
            <w:shd w:fill="F8FAFC"/>
          </w:tcPr>
          <w:p>
            <w:pPr>
              <w:spacing w:before="40" w:after="40"/>
            </w:pPr>
            <w:r>
              <w:rPr>
                <w:color w:val="1E293B"/>
                <w:sz w:val="17"/>
              </w:rPr>
              <w:t>**Continuous Color Ramps**</w:t>
            </w:r>
          </w:p>
        </w:tc>
        <w:tc>
          <w:tcPr>
            <w:tcW w:type="dxa" w:w="3312"/>
            <w:tcMar>
              <w:top w:w="60" w:type="dxa"/>
              <w:bottom w:w="60" w:type="dxa"/>
              <w:left w:w="100" w:type="dxa"/>
              <w:right w:w="100" w:type="dxa"/>
            </w:tcMar>
            <w:shd w:fill="F8FAFC"/>
          </w:tcPr>
          <w:p>
            <w:pPr>
              <w:spacing w:before="40" w:after="40"/>
            </w:pPr>
            <w:r>
              <w:rPr>
                <w:color w:val="1E293B"/>
                <w:sz w:val="17"/>
              </w:rPr>
              <w:t>`geolibre-siting` Plugin</w:t>
            </w:r>
          </w:p>
        </w:tc>
        <w:tc>
          <w:tcPr>
            <w:tcW w:type="dxa" w:w="3312"/>
            <w:tcMar>
              <w:top w:w="60" w:type="dxa"/>
              <w:bottom w:w="60" w:type="dxa"/>
              <w:left w:w="100" w:type="dxa"/>
              <w:right w:w="100" w:type="dxa"/>
            </w:tcMar>
            <w:shd w:fill="F8FAFC"/>
          </w:tcPr>
          <w:p>
            <w:pPr>
              <w:spacing w:before="40" w:after="40"/>
            </w:pPr>
            <w:r>
              <w:rPr>
                <w:color w:val="1E293B"/>
                <w:sz w:val="17"/>
              </w:rPr>
              <w:t>Live Suitability Explorer</w:t>
            </w:r>
          </w:p>
        </w:tc>
      </w:tr>
      <w:tr>
        <w:tc>
          <w:tcPr>
            <w:tcW w:type="dxa" w:w="3312"/>
            <w:tcMar>
              <w:top w:w="60" w:type="dxa"/>
              <w:bottom w:w="60" w:type="dxa"/>
              <w:left w:w="100" w:type="dxa"/>
              <w:right w:w="100" w:type="dxa"/>
            </w:tcMar>
            <w:shd w:fill="FFFFFF"/>
          </w:tcPr>
          <w:p>
            <w:pPr>
              <w:spacing w:before="40" w:after="40"/>
            </w:pPr>
            <w:r>
              <w:rPr>
                <w:color w:val="1E293B"/>
                <w:sz w:val="17"/>
              </w:rPr>
              <w:t>**Byte-Range Streaming**</w:t>
            </w:r>
          </w:p>
        </w:tc>
        <w:tc>
          <w:tcPr>
            <w:tcW w:type="dxa" w:w="3312"/>
            <w:tcMar>
              <w:top w:w="60" w:type="dxa"/>
              <w:bottom w:w="60" w:type="dxa"/>
              <w:left w:w="100" w:type="dxa"/>
              <w:right w:w="100" w:type="dxa"/>
            </w:tcMar>
            <w:shd w:fill="FFFFFF"/>
          </w:tcPr>
          <w:p>
            <w:pPr>
              <w:spacing w:before="40" w:after="40"/>
            </w:pPr>
            <w:r>
              <w:rPr>
                <w:color w:val="1E293B"/>
                <w:sz w:val="17"/>
              </w:rPr>
              <w:t>Cloud Catalog Connectors</w:t>
            </w:r>
          </w:p>
        </w:tc>
        <w:tc>
          <w:tcPr>
            <w:tcW w:type="dxa" w:w="3312"/>
            <w:tcMar>
              <w:top w:w="60" w:type="dxa"/>
              <w:bottom w:w="60" w:type="dxa"/>
              <w:left w:w="100" w:type="dxa"/>
              <w:right w:w="100" w:type="dxa"/>
            </w:tcMar>
            <w:shd w:fill="FFFFFF"/>
          </w:tcPr>
          <w:p>
            <w:pPr>
              <w:spacing w:before="40" w:after="40"/>
            </w:pPr>
            <w:r>
              <w:rPr>
                <w:color w:val="1E293B"/>
                <w:sz w:val="17"/>
              </w:rPr>
              <w:t>Remote Lakehouse Layer Bridge</w:t>
            </w:r>
          </w:p>
        </w:tc>
      </w:tr>
      <w:tr>
        <w:tc>
          <w:tcPr>
            <w:tcW w:type="dxa" w:w="3312"/>
            <w:tcMar>
              <w:top w:w="60" w:type="dxa"/>
              <w:bottom w:w="60" w:type="dxa"/>
              <w:left w:w="100" w:type="dxa"/>
              <w:right w:w="100" w:type="dxa"/>
            </w:tcMar>
            <w:shd w:fill="F8FAFC"/>
          </w:tcPr>
          <w:p>
            <w:pPr>
              <w:spacing w:before="40" w:after="40"/>
            </w:pPr>
            <w:r>
              <w:rPr>
                <w:color w:val="1E293B"/>
                <w:sz w:val="17"/>
              </w:rPr>
              <w:t>**Standalone HTML Export**</w:t>
            </w:r>
          </w:p>
        </w:tc>
        <w:tc>
          <w:tcPr>
            <w:tcW w:type="dxa" w:w="3312"/>
            <w:tcMar>
              <w:top w:w="60" w:type="dxa"/>
              <w:bottom w:w="60" w:type="dxa"/>
              <w:left w:w="100" w:type="dxa"/>
              <w:right w:w="100" w:type="dxa"/>
            </w:tcMar>
            <w:shd w:fill="F8FAFC"/>
          </w:tcPr>
          <w:p>
            <w:pPr>
              <w:spacing w:before="40" w:after="40"/>
            </w:pPr>
            <w:r>
              <w:rPr>
                <w:color w:val="1E293B"/>
                <w:sz w:val="17"/>
              </w:rPr>
              <w:t>`geolibre-export-report` Action</w:t>
            </w:r>
          </w:p>
        </w:tc>
        <w:tc>
          <w:tcPr>
            <w:tcW w:type="dxa" w:w="3312"/>
            <w:tcMar>
              <w:top w:w="60" w:type="dxa"/>
              <w:bottom w:w="60" w:type="dxa"/>
              <w:left w:w="100" w:type="dxa"/>
              <w:right w:w="100" w:type="dxa"/>
            </w:tcMar>
            <w:shd w:fill="F8FAFC"/>
          </w:tcPr>
          <w:p>
            <w:pPr>
              <w:spacing w:before="40" w:after="40"/>
            </w:pPr>
            <w:r>
              <w:rPr>
                <w:color w:val="1E293B"/>
                <w:sz w:val="17"/>
              </w:rPr>
              <w:t>`tools/build_project_package.py`</w:t>
            </w:r>
          </w:p>
        </w:tc>
      </w:tr>
    </w:tbl>
    <w:p/>
    <w:p>
      <w:pPr>
        <w:spacing w:before="40" w:after="80" w:line="276" w:lineRule="auto"/>
      </w:pPr>
      <w:r>
        <w:rPr>
          <w:color w:val="334155"/>
          <w:sz w:val="19"/>
        </w:rPr>
        <w:t>---</w:t>
      </w:r>
    </w:p>
    <w:p>
      <w:pPr>
        <w:pStyle w:val="Heading2"/>
        <w:keepNext/>
        <w:spacing w:before="240" w:after="80"/>
      </w:pPr>
      <w:r>
        <w:rPr>
          <w:b/>
          <w:color w:val="0284C7"/>
        </w:rPr>
        <w:t>4. Cross-Repository References</w:t>
      </w:r>
    </w:p>
    <w:p>
      <w:pPr>
        <w:pStyle w:val="ListBullet"/>
        <w:spacing w:before="20" w:after="40"/>
      </w:pPr>
      <w:r>
        <w:rPr>
          <w:b/>
          <w:color w:val="1E293B"/>
          <w:sz w:val="19"/>
        </w:rPr>
        <w:t>Spatial Report Crafter:</w:t>
      </w:r>
      <w:r>
        <w:rPr>
          <w:color w:val="334155"/>
          <w:sz w:val="19"/>
        </w:rPr>
        <w:t xml:space="preserve"> </w:t>
      </w:r>
      <w:r>
        <w:rPr>
          <w:color w:val="0284C7"/>
          <w:sz w:val="19"/>
          <w:u w:val="single"/>
        </w:rPr>
        <w:t>https://github.com/GetBack2Basics/Spatial_Report_Crafter</w:t>
      </w:r>
    </w:p>
    <w:p>
      <w:pPr>
        <w:pStyle w:val="ListBullet"/>
        <w:spacing w:before="20" w:after="40"/>
      </w:pPr>
      <w:r>
        <w:rPr>
          <w:b/>
          <w:color w:val="1E293B"/>
          <w:sz w:val="19"/>
        </w:rPr>
        <w:t>GeoLibre Upstream:</w:t>
      </w:r>
      <w:r>
        <w:rPr>
          <w:color w:val="334155"/>
          <w:sz w:val="19"/>
        </w:rPr>
        <w:t xml:space="preserve"> </w:t>
      </w:r>
      <w:r>
        <w:rPr>
          <w:color w:val="0284C7"/>
          <w:sz w:val="19"/>
          <w:u w:val="single"/>
        </w:rPr>
        <w:t>https://github.com/opengeos/GeoLibre</w:t>
      </w:r>
    </w:p>
    <w:p>
      <w:pPr>
        <w:pStyle w:val="ListBullet"/>
        <w:spacing w:before="20" w:after="40"/>
      </w:pPr>
      <w:r>
        <w:rPr>
          <w:b/>
          <w:color w:val="1E293B"/>
          <w:sz w:val="19"/>
        </w:rPr>
        <w:t>AURA Siting Crafter:</w:t>
      </w:r>
      <w:r>
        <w:rPr>
          <w:color w:val="334155"/>
          <w:sz w:val="19"/>
        </w:rPr>
        <w:t xml:space="preserve"> </w:t>
      </w:r>
      <w:r>
        <w:rPr>
          <w:color w:val="0284C7"/>
          <w:sz w:val="19"/>
          <w:u w:val="single"/>
        </w:rPr>
        <w:t>https://github.com/GetBack2Basics/aura_siting_crafter</w:t>
      </w:r>
    </w:p>
    <w:p>
      <w:pPr>
        <w:pStyle w:val="Heading2"/>
      </w:pPr>
      <w:r>
        <w:t>Section 6.2: Multi-Project Ingestion Pipeline &amp; Schema Blueprint</w:t>
      </w:r>
    </w:p>
    <w:p>
      <w:pPr>
        <w:pStyle w:val="Heading1"/>
        <w:keepNext/>
        <w:spacing w:before="320" w:after="120"/>
      </w:pPr>
      <w:r>
        <w:rPr>
          <w:b/>
          <w:color w:val="0F172A"/>
        </w:rPr>
        <w:t>Multi-Project Ingestion Pipeline &amp; Schema Specifications</w:t>
      </w:r>
    </w:p>
    <w:p>
      <w:pPr>
        <w:spacing w:before="40" w:after="80" w:line="276" w:lineRule="auto"/>
      </w:pPr>
      <w:r>
        <w:rPr>
          <w:b/>
          <w:color w:val="1E293B"/>
          <w:sz w:val="19"/>
        </w:rPr>
        <w:t>Module:</w:t>
      </w:r>
      <w:r>
        <w:rPr>
          <w:color w:val="334155"/>
          <w:sz w:val="19"/>
        </w:rPr>
        <w:t xml:space="preserve"> Multi-Project Siting &amp; Package Generator</w:t>
      </w:r>
    </w:p>
    <w:p>
      <w:pPr>
        <w:spacing w:before="40" w:after="80" w:line="276" w:lineRule="auto"/>
      </w:pPr>
      <w:r>
        <w:rPr>
          <w:b/>
          <w:color w:val="1E293B"/>
          <w:sz w:val="19"/>
        </w:rPr>
        <w:t>Maintainer:</w:t>
      </w:r>
      <w:r>
        <w:rPr>
          <w:color w:val="334155"/>
          <w:sz w:val="19"/>
        </w:rPr>
        <w:t xml:space="preserve"> GetBack2Basics Spatial AI Engineering</w:t>
      </w:r>
    </w:p>
    <w:p>
      <w:pPr>
        <w:spacing w:before="40" w:after="80" w:line="276" w:lineRule="auto"/>
      </w:pPr>
      <w:r>
        <w:rPr>
          <w:b/>
          <w:color w:val="1E293B"/>
          <w:sz w:val="19"/>
        </w:rPr>
        <w:t>Version:</w:t>
      </w:r>
      <w:r>
        <w:rPr>
          <w:color w:val="334155"/>
          <w:sz w:val="19"/>
        </w:rPr>
        <w:t xml:space="preserve"> 2.0 (September 2026)</w:t>
      </w:r>
    </w:p>
    <w:p>
      <w:pPr>
        <w:spacing w:before="40" w:after="80" w:line="276" w:lineRule="auto"/>
      </w:pPr>
      <w:r>
        <w:rPr>
          <w:color w:val="334155"/>
          <w:sz w:val="19"/>
        </w:rPr>
        <w:t>---</w:t>
      </w:r>
    </w:p>
    <w:p>
      <w:pPr>
        <w:pStyle w:val="Heading2"/>
        <w:keepNext/>
        <w:spacing w:before="240" w:after="80"/>
      </w:pPr>
      <w:r>
        <w:rPr>
          <w:b/>
          <w:color w:val="0284C7"/>
        </w:rPr>
        <w:t>1. System Architecture &amp; Technical Data Flow</w:t>
      </w:r>
    </w:p>
    <w:p>
      <w:pPr>
        <w:spacing w:before="40" w:after="80" w:line="276" w:lineRule="auto"/>
      </w:pPr>
      <w:r>
        <w:rPr>
          <w:color w:val="334155"/>
          <w:sz w:val="19"/>
        </w:rPr>
        <w:t>The Multi-Project Ingestion Pipeline establishes a repeatable, schema-validated workflow for compiling localized proponent spatial studies into standalone, high-performance web artifacts and statutory assessment reports.</w:t>
      </w:r>
    </w:p>
    <w:p>
      <w:pPr>
        <w:spacing w:before="80" w:after="120"/>
        <w:ind w:left="360"/>
      </w:pPr>
      <w:r>
        <w:rPr>
          <w:rFonts w:ascii="Consolas" w:hAnsi="Consolas"/>
          <w:color w:val="0F172A"/>
          <w:sz w:val="17"/>
        </w:rPr>
        <w:t>flowchart TD</w:t>
        <w:br/>
        <w:t xml:space="preserve">    subgraph Ingestion["1. Proponent Ingestion &amp; Schema Gate"]</w:t>
        <w:br/>
        <w:t xml:space="preserve">        M1["Project Manifest (config/projects/{Project_ID}.json)"] --&gt; V1["Schema Validator (schema_project_manifest.json)"]</w:t>
        <w:br/>
        <w:t xml:space="preserve">        G1["Spatial Layers (data/projects/{Project_ID}/*.geojson)"] --&gt; V2["Zero-Mock &amp; Coordinate Precision Scanner"]</w:t>
        <w:br/>
        <w:t xml:space="preserve">    end</w:t>
        <w:br/>
        <w:br/>
        <w:t xml:space="preserve">    subgraph Pipeline["2. Package Generator (tools/build_project_package.py)"]</w:t>
        <w:br/>
        <w:t xml:space="preserve">        V1 &amp; V2 --&gt; B1["Spatial Ingest &amp; Topology Calculator"]</w:t>
        <w:br/>
        <w:t xml:space="preserve">        B1 --&gt; B2["Client HTML Bundle Compiler"]</w:t>
        <w:br/>
        <w:t xml:space="preserve">        B1 --&gt; B3["Statutory Report HTML Generator"]</w:t>
        <w:br/>
        <w:t xml:space="preserve">    end</w:t>
        <w:br/>
        <w:br/>
        <w:t xml:space="preserve">    subgraph Output["3. Production Artifacts"]</w:t>
        <w:br/>
        <w:t xml:space="preserve">        B2 --&gt; P1["Project WebGIS Viewer (src/geolibre_frontend/projects/index_{Project_ID}.html)"]</w:t>
        <w:br/>
        <w:t xml:space="preserve">        B3 --&gt; P2["Statutory Site Assessment (runner/projects/report_{Project_ID}.html)"]</w:t>
        <w:br/>
        <w:t xml:space="preserve">        P1 &amp; P2 --&gt; D1["DuckDB-WASM In-Memory Siting Engine"]</w:t>
        <w:br/>
        <w:t xml:space="preserve">    end</w:t>
        <w:br/>
        <w:br/>
        <w:t xml:space="preserve">    style Ingestion fill:#1e293b,stroke:#3b82f6,color:#f8fafc</w:t>
        <w:br/>
        <w:t xml:space="preserve">    style Pipeline fill:#1e1b4b,stroke:#818cf8,color:#ffffff,stroke-width:2px</w:t>
        <w:br/>
        <w:t xml:space="preserve">    style Output fill:#065f46,stroke:#34d399,color:#ffffff,stroke-width:2px</w:t>
      </w:r>
    </w:p>
    <w:p>
      <w:pPr>
        <w:spacing w:before="40" w:after="80" w:line="276" w:lineRule="auto"/>
      </w:pPr>
      <w:r>
        <w:rPr>
          <w:color w:val="334155"/>
          <w:sz w:val="19"/>
        </w:rPr>
        <w:t>---</w:t>
      </w:r>
    </w:p>
    <w:p>
      <w:pPr>
        <w:pStyle w:val="Heading2"/>
        <w:keepNext/>
        <w:spacing w:before="240" w:after="80"/>
      </w:pPr>
      <w:r>
        <w:rPr>
          <w:b/>
          <w:color w:val="0284C7"/>
        </w:rPr>
        <w:t>2. Project Directory Structure</w:t>
      </w:r>
    </w:p>
    <w:p>
      <w:pPr>
        <w:spacing w:before="80" w:after="120"/>
        <w:ind w:left="360"/>
      </w:pPr>
      <w:r>
        <w:rPr>
          <w:rFonts w:ascii="Consolas" w:hAnsi="Consolas"/>
          <w:color w:val="0F172A"/>
          <w:sz w:val="17"/>
        </w:rPr>
        <w:t>aura_siting_crafter/</w:t>
        <w:br/>
        <w:t>├── config/</w:t>
        <w:br/>
        <w:t>│   └── projects/</w:t>
        <w:br/>
        <w:t>│       ├── schema_project_manifest.json           [Manifest JSON Schema specification]</w:t>
        <w:br/>
        <w:t>│       └── LMCC_MacquarieCoal.json               [Site-specific project manifest]</w:t>
        <w:br/>
        <w:t>├── data/</w:t>
        <w:br/>
        <w:t>│   └── projects/</w:t>
        <w:br/>
        <w:t>│       └── LMCC_MacquarieCoal/                   [Site-specific spatial layers]</w:t>
        <w:br/>
        <w:t>│           ├── developable_pads_v1.geojson</w:t>
        <w:br/>
        <w:t>│           ├── staging_phases_v1.geojson</w:t>
        <w:br/>
        <w:t>│           ├── substation_phes_layout.geojson</w:t>
        <w:br/>
        <w:t>│           ├── rail_haulroad_spine.geojson</w:t>
        <w:br/>
        <w:t>│           ├── subsidence_zones_g1_g3.geojson</w:t>
        <w:br/>
        <w:t>│           ├── koala_biolink_corridor.geojson</w:t>
        <w:br/>
        <w:t>│           └── acoustic_bunds_buffers.geojson</w:t>
        <w:br/>
        <w:t>├── src/</w:t>
        <w:br/>
        <w:t>│   └── geolibre_frontend/</w:t>
        <w:br/>
        <w:t>│       ├── projects/</w:t>
        <w:br/>
        <w:t>│       │   └── index_LMCC_MacquarieCoal.html      [Interactive site WebGIS viewer]</w:t>
        <w:br/>
        <w:t>│       └── index.html                             [National viewer with project deep-links]</w:t>
        <w:br/>
        <w:t>├── runner/</w:t>
        <w:br/>
        <w:t>│   ├── projects/</w:t>
        <w:br/>
        <w:t>│   │   └── report_LMCC_MacquarieCoal.html         [Dedicated statutory site report]</w:t>
        <w:br/>
        <w:t>│   └── build_project_package.py                   [CLI package compilation tool]</w:t>
        <w:br/>
        <w:t>└── docs/</w:t>
        <w:br/>
        <w:t xml:space="preserve">    ├── business/                                  [Executive &amp; Institutional Dossiers]</w:t>
        <w:br/>
        <w:t xml:space="preserve">    └── engineering/                               [Developer Specifications &amp; Schemas]</w:t>
      </w:r>
    </w:p>
    <w:p>
      <w:pPr>
        <w:spacing w:before="40" w:after="80" w:line="276" w:lineRule="auto"/>
      </w:pPr>
      <w:r>
        <w:rPr>
          <w:color w:val="334155"/>
          <w:sz w:val="19"/>
        </w:rPr>
        <w:t>---</w:t>
      </w:r>
    </w:p>
    <w:p>
      <w:pPr>
        <w:pStyle w:val="Heading2"/>
        <w:keepNext/>
        <w:spacing w:before="240" w:after="80"/>
      </w:pPr>
      <w:r>
        <w:rPr>
          <w:b/>
          <w:color w:val="0284C7"/>
        </w:rPr>
        <w:t>3. Project Manifest JSON Schema (`schema_project_manifest.json`)</w:t>
      </w:r>
    </w:p>
    <w:p>
      <w:pPr>
        <w:spacing w:before="80" w:after="120"/>
        <w:ind w:left="360"/>
      </w:pPr>
      <w:r>
        <w:rPr>
          <w:rFonts w:ascii="Consolas" w:hAnsi="Consolas"/>
          <w:color w:val="0F172A"/>
          <w:sz w:val="17"/>
        </w:rPr>
        <w:t>{</w:t>
        <w:br/>
        <w:t xml:space="preserve">  "$schema": "http://json-schema.org/draft-07/schema#",</w:t>
        <w:br/>
        <w:t xml:space="preserve">  "title": "AURA Project Manifest Schema",</w:t>
        <w:br/>
        <w:t xml:space="preserve">  "type": "object",</w:t>
        <w:br/>
        <w:t xml:space="preserve">  "required": ["project_id", "project_name", "proponent", "lga", "coordinates", "layers"],</w:t>
        <w:br/>
        <w:t xml:space="preserve">  "properties": {</w:t>
        <w:br/>
        <w:t xml:space="preserve">    "project_id": { "type": "string", "pattern": "^[A-Za-z0-9_]+$" },</w:t>
        <w:br/>
        <w:t xml:space="preserve">    "project_name": { "type": "string" },</w:t>
        <w:br/>
        <w:t xml:space="preserve">    "proponent": { "type": "string" },</w:t>
        <w:br/>
        <w:t xml:space="preserve">    "lga": { "type": "string" },</w:t>
        <w:br/>
        <w:t xml:space="preserve">    "coordinates": {</w:t>
        <w:br/>
        <w:t xml:space="preserve">      "type": "object",</w:t>
        <w:br/>
        <w:t xml:space="preserve">      "required": ["lat", "lng", "zoom"],</w:t>
        <w:br/>
        <w:t xml:space="preserve">      "properties": {</w:t>
        <w:br/>
        <w:t xml:space="preserve">        "lat": { "type": "number" },</w:t>
        <w:br/>
        <w:t xml:space="preserve">        "lng": { "type": "number" },</w:t>
        <w:br/>
        <w:t xml:space="preserve">        "zoom": { "type": "number" }</w:t>
        <w:br/>
        <w:t xml:space="preserve">      }</w:t>
        <w:br/>
        <w:t xml:space="preserve">    },</w:t>
        <w:br/>
        <w:t xml:space="preserve">    "engineering_baseline": {</w:t>
        <w:br/>
        <w:t xml:space="preserve">      "type": "object",</w:t>
        <w:br/>
        <w:t xml:space="preserve">      "properties": {</w:t>
        <w:br/>
        <w:t xml:space="preserve">        "gross_site_area_ha": { "type": "number" },</w:t>
        <w:br/>
        <w:t xml:space="preserve">        "target_nda_ha": { "type": "number" },</w:t>
        <w:br/>
        <w:t xml:space="preserve">        "power_capacity_mva": { "type": "number" },</w:t>
        <w:br/>
        <w:t xml:space="preserve">        "water_savings_gl_yr": { "type": "number" }</w:t>
        <w:br/>
        <w:t xml:space="preserve">      }</w:t>
        <w:br/>
        <w:t xml:space="preserve">    },</w:t>
        <w:br/>
        <w:t xml:space="preserve">    "layers": {</w:t>
        <w:br/>
        <w:t xml:space="preserve">      "type": "array",</w:t>
        <w:br/>
        <w:t xml:space="preserve">      "items": {</w:t>
        <w:br/>
        <w:t xml:space="preserve">        "type": "object",</w:t>
        <w:br/>
        <w:t xml:space="preserve">        "required": ["id", "name", "file", "type"],</w:t>
        <w:br/>
        <w:t xml:space="preserve">        "properties": {</w:t>
        <w:br/>
        <w:t xml:space="preserve">          "id": { "type": "string" },</w:t>
        <w:br/>
        <w:t xml:space="preserve">          "name": { "type": "string" },</w:t>
        <w:br/>
        <w:t xml:space="preserve">          "file": { "type": "string" },</w:t>
        <w:br/>
        <w:t xml:space="preserve">          "type": { "type": "string", "enum": ["polygon", "line", "point"] },</w:t>
        <w:br/>
        <w:t xml:space="preserve">          "color": { "type": "string" }</w:t>
        <w:br/>
        <w:t xml:space="preserve">        }</w:t>
        <w:br/>
        <w:t xml:space="preserve">      }</w:t>
        <w:br/>
        <w:t xml:space="preserve">    }</w:t>
        <w:br/>
        <w:t xml:space="preserve">  }</w:t>
        <w:br/>
        <w:t>}</w:t>
      </w:r>
    </w:p>
    <w:p>
      <w:pPr>
        <w:spacing w:before="40" w:after="80" w:line="276" w:lineRule="auto"/>
      </w:pPr>
      <w:r>
        <w:rPr>
          <w:color w:val="334155"/>
          <w:sz w:val="19"/>
        </w:rPr>
        <w:t>---</w:t>
      </w:r>
    </w:p>
    <w:p>
      <w:pPr>
        <w:pStyle w:val="Heading2"/>
        <w:keepNext/>
        <w:spacing w:before="240" w:after="80"/>
      </w:pPr>
      <w:r>
        <w:rPr>
          <w:b/>
          <w:color w:val="0284C7"/>
        </w:rPr>
        <w:t>4. Execution &amp; Testing Commands</w:t>
      </w:r>
    </w:p>
    <w:p>
      <w:pPr>
        <w:pStyle w:val="Heading3"/>
        <w:keepNext/>
        <w:spacing w:before="160" w:after="40"/>
      </w:pPr>
      <w:r>
        <w:rPr>
          <w:b/>
          <w:color w:val="334155"/>
        </w:rPr>
        <w:t>Build Project Package CLI</w:t>
      </w:r>
    </w:p>
    <w:p>
      <w:pPr>
        <w:spacing w:before="80" w:after="120"/>
        <w:ind w:left="360"/>
      </w:pPr>
      <w:r>
        <w:rPr>
          <w:rFonts w:ascii="Consolas" w:hAnsi="Consolas"/>
          <w:color w:val="0F172A"/>
          <w:sz w:val="17"/>
        </w:rPr>
        <w:t>python tools/build_project_package.py --project LMCC_MacquarieCoal</w:t>
      </w:r>
    </w:p>
    <w:p>
      <w:pPr>
        <w:pStyle w:val="Heading3"/>
        <w:keepNext/>
        <w:spacing w:before="160" w:after="40"/>
      </w:pPr>
      <w:r>
        <w:rPr>
          <w:b/>
          <w:color w:val="334155"/>
        </w:rPr>
        <w:t>Automated Validation Suite</w:t>
      </w:r>
    </w:p>
    <w:p>
      <w:pPr>
        <w:spacing w:before="80" w:after="120"/>
        <w:ind w:left="360"/>
      </w:pPr>
      <w:r>
        <w:rPr>
          <w:rFonts w:ascii="Consolas" w:hAnsi="Consolas"/>
          <w:color w:val="0F172A"/>
          <w:sz w:val="17"/>
        </w:rPr>
        <w:t># Run all lint checks and zero-mock AST scanning</w:t>
        <w:br/>
        <w:t>pytest tests/lint/ -v</w:t>
        <w:br/>
        <w:br/>
        <w:t># Validate project manifest schema compliance</w:t>
        <w:br/>
        <w:t>pytest tests/test_project_manifest_schema.py -v</w:t>
        <w:br/>
        <w:br/>
        <w:t># Run full project package integration tests</w:t>
        <w:br/>
        <w:t>pytest tests/test_project_package_builder.py -v</w:t>
      </w:r>
    </w:p>
    <w:p>
      <w:pPr>
        <w:pStyle w:val="Heading2"/>
      </w:pPr>
      <w:r>
        <w:t>Section 6.3: Identity Reframing &amp; National vs Regional Decoupling</w:t>
      </w:r>
    </w:p>
    <w:p>
      <w:pPr>
        <w:pStyle w:val="Heading1"/>
        <w:keepNext/>
        <w:spacing w:before="320" w:after="120"/>
      </w:pPr>
      <w:r>
        <w:rPr>
          <w:b/>
          <w:color w:val="0F172A"/>
        </w:rPr>
        <w:t>Implementation Plan — Resolving the AURA Siting Crafter Identity Crisis &amp; Architecture Framing (Updated)</w:t>
      </w:r>
    </w:p>
    <w:p>
      <w:pPr>
        <w:spacing w:before="40" w:after="80" w:line="276" w:lineRule="auto"/>
      </w:pPr>
      <w:r>
        <w:rPr>
          <w:color w:val="334155"/>
          <w:sz w:val="19"/>
        </w:rPr>
        <w:t xml:space="preserve">This plan integrates the user feedback to establish an </w:t>
      </w:r>
      <w:r>
        <w:rPr>
          <w:b/>
          <w:color w:val="1E293B"/>
          <w:sz w:val="19"/>
        </w:rPr>
        <w:t>open-source first commercial initiative by GetBack2Basics</w:t>
      </w:r>
      <w:r>
        <w:rPr>
          <w:color w:val="334155"/>
          <w:sz w:val="19"/>
        </w:rPr>
        <w:t xml:space="preserve"> hosted at </w:t>
      </w:r>
      <w:r>
        <w:rPr>
          <w:rFonts w:ascii="Consolas" w:hAnsi="Consolas"/>
          <w:color w:val="0E7490"/>
          <w:sz w:val="17"/>
        </w:rPr>
        <w:t>https://aura.getback2basics.net</w:t>
      </w:r>
      <w:r>
        <w:rPr>
          <w:color w:val="334155"/>
          <w:sz w:val="19"/>
        </w:rPr>
        <w:t>.</w:t>
      </w:r>
    </w:p>
    <w:p>
      <w:pPr>
        <w:spacing w:before="40" w:after="80" w:line="276" w:lineRule="auto"/>
      </w:pPr>
      <w:r>
        <w:rPr>
          <w:color w:val="334155"/>
          <w:sz w:val="19"/>
        </w:rPr>
        <w:t xml:space="preserve">All documentation, architecture reports, and interactive UI components (including the Cost tab, modals, and universal footers) will be reframed using </w:t>
      </w:r>
      <w:r>
        <w:rPr>
          <w:b/>
          <w:color w:val="1E293B"/>
          <w:sz w:val="19"/>
        </w:rPr>
        <w:t>clear, business- and engineering-first language</w:t>
      </w:r>
      <w:r>
        <w:rPr>
          <w:color w:val="334155"/>
          <w:sz w:val="19"/>
        </w:rPr>
        <w:t xml:space="preserve"> that technical buyers, infrastructure funds, energy developers, and statutory planning authorities can instantly understand and trust.</w:t>
      </w:r>
    </w:p>
    <w:p>
      <w:pPr>
        <w:spacing w:before="40" w:after="80" w:line="276" w:lineRule="auto"/>
      </w:pPr>
      <w:r>
        <w:rPr>
          <w:color w:val="334155"/>
          <w:sz w:val="19"/>
        </w:rPr>
        <w:t>---</w:t>
      </w:r>
    </w:p>
    <w:p>
      <w:pPr>
        <w:pStyle w:val="Heading2"/>
        <w:keepNext/>
        <w:spacing w:before="240" w:after="80"/>
      </w:pPr>
      <w:r>
        <w:rPr>
          <w:b/>
          <w:color w:val="0284C7"/>
        </w:rPr>
        <w:t>User Direction &amp; Business Positioning</w:t>
      </w:r>
    </w:p>
    <w:p>
      <w:pPr>
        <w:pStyle w:val="ListNumber"/>
        <w:spacing w:before="20" w:after="40"/>
      </w:pPr>
      <w:r>
        <w:rPr>
          <w:b/>
          <w:color w:val="1E293B"/>
          <w:sz w:val="19"/>
        </w:rPr>
        <w:t>Domain &amp; Brand Identity</w:t>
      </w:r>
      <w:r>
        <w:rPr>
          <w:color w:val="334155"/>
          <w:sz w:val="19"/>
        </w:rPr>
        <w:t>:</w:t>
      </w:r>
    </w:p>
    <w:p>
      <w:pPr>
        <w:pStyle w:val="ListBullet"/>
        <w:spacing w:before="20" w:after="40"/>
      </w:pPr>
      <w:r>
        <w:rPr>
          <w:color w:val="334155"/>
          <w:sz w:val="19"/>
        </w:rPr>
        <w:t xml:space="preserve">Primary Cloud Root: </w:t>
      </w:r>
      <w:r>
        <w:rPr>
          <w:b/>
          <w:color w:val="1E293B"/>
          <w:sz w:val="19"/>
        </w:rPr>
        <w:t>`https://aura.getback2basics.net`</w:t>
      </w:r>
    </w:p>
    <w:p>
      <w:pPr>
        <w:pStyle w:val="ListBullet"/>
        <w:spacing w:before="20" w:after="40"/>
      </w:pPr>
      <w:r>
        <w:rPr>
          <w:color w:val="334155"/>
          <w:sz w:val="19"/>
        </w:rPr>
        <w:t xml:space="preserve">Organization: </w:t>
      </w:r>
      <w:r>
        <w:rPr>
          <w:b/>
          <w:color w:val="1E293B"/>
          <w:sz w:val="19"/>
        </w:rPr>
        <w:t>GetBack2Basics</w:t>
      </w:r>
      <w:r>
        <w:rPr>
          <w:color w:val="334155"/>
          <w:sz w:val="19"/>
        </w:rPr>
        <w:t xml:space="preserve"> (</w:t>
      </w:r>
      <w:r>
        <w:rPr>
          <w:rFonts w:ascii="Consolas" w:hAnsi="Consolas"/>
          <w:color w:val="0E7490"/>
          <w:sz w:val="17"/>
        </w:rPr>
        <w:t>https://getback2basics.net</w:t>
      </w:r>
      <w:r>
        <w:rPr>
          <w:color w:val="334155"/>
          <w:sz w:val="19"/>
        </w:rPr>
        <w:t xml:space="preserve"> / </w:t>
      </w:r>
      <w:r>
        <w:rPr>
          <w:rFonts w:ascii="Consolas" w:hAnsi="Consolas"/>
          <w:color w:val="0E7490"/>
          <w:sz w:val="17"/>
        </w:rPr>
        <w:t>https://github.com/GetBack2Basics</w:t>
      </w:r>
      <w:r>
        <w:rPr>
          <w:color w:val="334155"/>
          <w:sz w:val="19"/>
        </w:rPr>
        <w:t>)</w:t>
      </w:r>
    </w:p>
    <w:p>
      <w:pPr>
        <w:pStyle w:val="ListBullet"/>
        <w:spacing w:before="20" w:after="40"/>
      </w:pPr>
      <w:r>
        <w:rPr>
          <w:color w:val="334155"/>
          <w:sz w:val="19"/>
        </w:rPr>
        <w:t xml:space="preserve">Model: </w:t>
      </w:r>
      <w:r>
        <w:rPr>
          <w:b/>
          <w:color w:val="1E293B"/>
          <w:sz w:val="19"/>
        </w:rPr>
        <w:t>Open-Source First Commercial Solution</w:t>
      </w:r>
      <w:r>
        <w:rPr>
          <w:color w:val="334155"/>
          <w:sz w:val="19"/>
        </w:rPr>
        <w:t xml:space="preserve"> (The Red Hat / Databricks enterprise pattern).</w:t>
      </w:r>
    </w:p>
    <w:p>
      <w:pPr>
        <w:pStyle w:val="ListNumber"/>
        <w:spacing w:before="20" w:after="40"/>
      </w:pPr>
      <w:r>
        <w:rPr>
          <w:b/>
          <w:color w:val="1E293B"/>
          <w:sz w:val="19"/>
        </w:rPr>
        <w:t>Tone &amp; Style</w:t>
      </w:r>
      <w:r>
        <w:rPr>
          <w:color w:val="334155"/>
          <w:sz w:val="19"/>
        </w:rPr>
        <w:t>:</w:t>
      </w:r>
    </w:p>
    <w:p>
      <w:pPr>
        <w:pStyle w:val="ListBullet"/>
        <w:spacing w:before="20" w:after="40"/>
      </w:pPr>
      <w:r>
        <w:rPr>
          <w:color w:val="334155"/>
          <w:sz w:val="19"/>
        </w:rPr>
        <w:t>Business &amp; Engineering First: Translate complex spatial jargon into tangible business outcomes (de-risking capital expenditure, audited net developable land yield, statutory compliance, grid interconnection certainty).</w:t>
      </w:r>
    </w:p>
    <w:p>
      <w:pPr>
        <w:pStyle w:val="ListBullet"/>
        <w:spacing w:before="20" w:after="40"/>
      </w:pPr>
      <w:r>
        <w:rPr>
          <w:color w:val="334155"/>
          <w:sz w:val="19"/>
        </w:rPr>
        <w:t>Authoritative &amp; Transparent: Strip out self-deprecating hobby/weekend language ("student driver sticker").</w:t>
      </w:r>
    </w:p>
    <w:p>
      <w:pPr>
        <w:pStyle w:val="ListNumber"/>
        <w:spacing w:before="20" w:after="40"/>
      </w:pPr>
      <w:r>
        <w:rPr>
          <w:b/>
          <w:color w:val="1E293B"/>
          <w:sz w:val="19"/>
        </w:rPr>
        <w:t>Pillars to Execute</w:t>
      </w:r>
      <w:r>
        <w:rPr>
          <w:color w:val="334155"/>
          <w:sz w:val="19"/>
        </w:rPr>
        <w:t>:</w:t>
      </w:r>
    </w:p>
    <w:p>
      <w:pPr>
        <w:pStyle w:val="ListBullet"/>
        <w:spacing w:before="20" w:after="40"/>
      </w:pPr>
      <w:r>
        <w:rPr>
          <w:b/>
          <w:color w:val="1E293B"/>
          <w:sz w:val="19"/>
        </w:rPr>
        <w:t>Pillar 1: Commercial &amp; Open-Source Dual Identity</w:t>
      </w:r>
      <w:r>
        <w:rPr>
          <w:color w:val="334155"/>
          <w:sz w:val="19"/>
        </w:rPr>
        <w:t xml:space="preserve"> (AURA Open Spatial Core vs. AURA Enterprise Siting Solutions).</w:t>
      </w:r>
    </w:p>
    <w:p>
      <w:pPr>
        <w:pStyle w:val="ListBullet"/>
        <w:spacing w:before="20" w:after="40"/>
      </w:pPr>
      <w:r>
        <w:rPr>
          <w:b/>
          <w:color w:val="1E293B"/>
          <w:sz w:val="19"/>
        </w:rPr>
        <w:t>Pillar 2: Deterministic AI Safety Guardrails</w:t>
      </w:r>
      <w:r>
        <w:rPr>
          <w:color w:val="334155"/>
          <w:sz w:val="19"/>
        </w:rPr>
        <w:t xml:space="preserve"> (Read-only text-to-SQL compiler trapped in a deterministic sandbox querying pre-certified data assets).</w:t>
      </w:r>
    </w:p>
    <w:p>
      <w:pPr>
        <w:pStyle w:val="ListBullet"/>
        <w:spacing w:before="20" w:after="40"/>
      </w:pPr>
      <w:r>
        <w:rPr>
          <w:b/>
          <w:color w:val="1E293B"/>
          <w:sz w:val="19"/>
        </w:rPr>
        <w:t>Pillar 3: Asymmetric Compute &amp; Cost Tab Overhaul</w:t>
      </w:r>
      <w:r>
        <w:rPr>
          <w:color w:val="334155"/>
          <w:sz w:val="19"/>
        </w:rPr>
        <w:t xml:space="preserve"> (Update all Cost tabs, modals, and tooltips to present the Asymmetric Compute Model with transparent upstream batch ETL costs vs. $0 marginal downstream client execution).</w:t>
      </w:r>
    </w:p>
    <w:p>
      <w:pPr>
        <w:spacing w:before="40" w:after="80" w:line="276" w:lineRule="auto"/>
      </w:pPr>
      <w:r>
        <w:rPr>
          <w:color w:val="334155"/>
          <w:sz w:val="19"/>
        </w:rPr>
        <w:t>---</w:t>
      </w:r>
    </w:p>
    <w:p>
      <w:pPr>
        <w:pStyle w:val="Heading2"/>
        <w:keepNext/>
        <w:spacing w:before="240" w:after="80"/>
      </w:pPr>
      <w:r>
        <w:rPr>
          <w:b/>
          <w:color w:val="0284C7"/>
        </w:rPr>
        <w:t>Planned File Modifications</w:t>
      </w:r>
    </w:p>
    <w:p>
      <w:pPr>
        <w:pStyle w:val="Heading3"/>
        <w:keepNext/>
        <w:spacing w:before="160" w:after="40"/>
      </w:pPr>
      <w:r>
        <w:rPr>
          <w:b/>
          <w:color w:val="334155"/>
        </w:rPr>
        <w:t>1. Core Documentation &amp; Public Articles (`docs/`)</w:t>
      </w:r>
    </w:p>
    <w:p>
      <w:pPr>
        <w:pStyle w:val="ListBullet"/>
        <w:spacing w:before="20" w:after="40"/>
      </w:pPr>
      <w:r>
        <w:rPr>
          <w:color w:val="0284C7"/>
          <w:sz w:val="19"/>
          <w:u w:val="single"/>
        </w:rPr>
        <w:t>`docs/linkedin_aura_siting_evolution.md`</w:t>
      </w:r>
      <w:r>
        <w:rPr>
          <w:color w:val="334155"/>
          <w:sz w:val="19"/>
        </w:rPr>
        <w:t>:</w:t>
      </w:r>
    </w:p>
    <w:p>
      <w:pPr>
        <w:pStyle w:val="ListBullet"/>
        <w:spacing w:before="20" w:after="40"/>
      </w:pPr>
      <w:r>
        <w:rPr>
          <w:color w:val="334155"/>
          <w:sz w:val="19"/>
        </w:rPr>
        <w:t>Strip all hobbyist disclaimers.</w:t>
      </w:r>
    </w:p>
    <w:p>
      <w:pPr>
        <w:pStyle w:val="ListBullet"/>
        <w:spacing w:before="20" w:after="40"/>
      </w:pPr>
      <w:r>
        <w:rPr>
          <w:color w:val="334155"/>
          <w:sz w:val="19"/>
        </w:rPr>
        <w:t>Position AURA as an open-source first commercial project of GetBack2Basics (</w:t>
      </w:r>
      <w:r>
        <w:rPr>
          <w:rFonts w:ascii="Consolas" w:hAnsi="Consolas"/>
          <w:color w:val="0E7490"/>
          <w:sz w:val="17"/>
        </w:rPr>
        <w:t>aura.getback2basics.net</w:t>
      </w:r>
      <w:r>
        <w:rPr>
          <w:color w:val="334155"/>
          <w:sz w:val="19"/>
        </w:rPr>
        <w:t>).</w:t>
      </w:r>
    </w:p>
    <w:p>
      <w:pPr>
        <w:pStyle w:val="ListBullet"/>
        <w:spacing w:before="20" w:after="40"/>
      </w:pPr>
      <w:r>
        <w:rPr>
          <w:color w:val="334155"/>
          <w:sz w:val="19"/>
        </w:rPr>
        <w:t xml:space="preserve">Add the </w:t>
      </w:r>
      <w:r>
        <w:rPr>
          <w:b/>
          <w:color w:val="1E293B"/>
          <w:sz w:val="19"/>
        </w:rPr>
        <w:t>Deterministic Spatial AI Sandbox</w:t>
      </w:r>
      <w:r>
        <w:rPr>
          <w:color w:val="334155"/>
          <w:sz w:val="19"/>
        </w:rPr>
        <w:t xml:space="preserve"> flowchart and text-to-SQL security boundary explanation.</w:t>
      </w:r>
    </w:p>
    <w:p>
      <w:pPr>
        <w:pStyle w:val="ListBullet"/>
        <w:spacing w:before="20" w:after="40"/>
      </w:pPr>
      <w:r>
        <w:rPr>
          <w:color w:val="334155"/>
          <w:sz w:val="19"/>
        </w:rPr>
        <w:t xml:space="preserve">Add the </w:t>
      </w:r>
      <w:r>
        <w:rPr>
          <w:b/>
          <w:color w:val="1E293B"/>
          <w:sz w:val="19"/>
        </w:rPr>
        <w:t>Asymmetric Compute Model</w:t>
      </w:r>
      <w:r>
        <w:rPr>
          <w:color w:val="334155"/>
          <w:sz w:val="19"/>
        </w:rPr>
        <w:t xml:space="preserve"> section and the comparative cost breakdown table.</w:t>
      </w:r>
    </w:p>
    <w:p>
      <w:pPr>
        <w:pStyle w:val="ListBullet"/>
        <w:spacing w:before="20" w:after="40"/>
      </w:pPr>
      <w:r>
        <w:rPr>
          <w:color w:val="334155"/>
          <w:sz w:val="19"/>
        </w:rPr>
        <w:t>Reframe delivery model into Open Source Core vs. Certified Turnkey Commercial Service.</w:t>
      </w:r>
    </w:p>
    <w:p>
      <w:pPr>
        <w:pStyle w:val="ListBullet"/>
        <w:spacing w:before="20" w:after="40"/>
      </w:pPr>
      <w:r>
        <w:rPr>
          <w:color w:val="0284C7"/>
          <w:sz w:val="19"/>
          <w:u w:val="single"/>
        </w:rPr>
        <w:t>`docs/aura_enterprise_asymmetric_compute_and_ai_safety.md`</w:t>
      </w:r>
      <w:r>
        <w:rPr>
          <w:color w:val="334155"/>
          <w:sz w:val="19"/>
        </w:rPr>
        <w:t xml:space="preserve"> [NEW]:</w:t>
      </w:r>
    </w:p>
    <w:p>
      <w:pPr>
        <w:pStyle w:val="ListBullet"/>
        <w:spacing w:before="20" w:after="40"/>
      </w:pPr>
      <w:r>
        <w:rPr>
          <w:color w:val="334155"/>
          <w:sz w:val="19"/>
        </w:rPr>
        <w:t>Dedicated whitepaper on Asymmetric Compute Architecture, Deterministic AI Sandboxing, and Enterprise Multi-Hazard Due Diligence.</w:t>
      </w:r>
    </w:p>
    <w:p>
      <w:pPr>
        <w:pStyle w:val="ListBullet"/>
        <w:spacing w:before="20" w:after="40"/>
      </w:pPr>
      <w:r>
        <w:rPr>
          <w:color w:val="0284C7"/>
          <w:sz w:val="19"/>
          <w:u w:val="single"/>
        </w:rPr>
        <w:t>`docs/project_specific_site_enhancement_architecture_plan.md`</w:t>
      </w:r>
      <w:r>
        <w:rPr>
          <w:color w:val="334155"/>
          <w:sz w:val="19"/>
        </w:rPr>
        <w:t>:</w:t>
      </w:r>
    </w:p>
    <w:p>
      <w:pPr>
        <w:pStyle w:val="ListBullet"/>
        <w:spacing w:before="20" w:after="40"/>
      </w:pPr>
      <w:r>
        <w:rPr>
          <w:color w:val="334155"/>
          <w:sz w:val="19"/>
        </w:rPr>
        <w:t xml:space="preserve">Align with business/engineering-first terminology and </w:t>
      </w:r>
      <w:r>
        <w:rPr>
          <w:rFonts w:ascii="Consolas" w:hAnsi="Consolas"/>
          <w:color w:val="0E7490"/>
          <w:sz w:val="17"/>
        </w:rPr>
        <w:t>aura.getback2basics.net</w:t>
      </w:r>
      <w:r>
        <w:rPr>
          <w:color w:val="334155"/>
          <w:sz w:val="19"/>
        </w:rPr>
        <w:t xml:space="preserve"> links.</w:t>
      </w:r>
    </w:p>
    <w:p>
      <w:pPr>
        <w:pStyle w:val="Heading3"/>
        <w:keepNext/>
        <w:spacing w:before="160" w:after="40"/>
      </w:pPr>
      <w:r>
        <w:rPr>
          <w:b/>
          <w:color w:val="334155"/>
        </w:rPr>
        <w:t>2. Universal Template Footers &amp; Generator Tooling (`tools/`)</w:t>
      </w:r>
    </w:p>
    <w:p>
      <w:pPr>
        <w:pStyle w:val="ListBullet"/>
        <w:spacing w:before="20" w:after="40"/>
      </w:pPr>
      <w:r>
        <w:rPr>
          <w:color w:val="0284C7"/>
          <w:sz w:val="19"/>
          <w:u w:val="single"/>
        </w:rPr>
        <w:t>`tools/convert_docs_to_html.py`</w:t>
      </w:r>
      <w:r>
        <w:rPr>
          <w:color w:val="334155"/>
          <w:sz w:val="19"/>
        </w:rPr>
        <w:t>:</w:t>
      </w:r>
    </w:p>
    <w:p>
      <w:pPr>
        <w:pStyle w:val="ListBullet"/>
        <w:spacing w:before="20" w:after="40"/>
      </w:pPr>
      <w:r>
        <w:rPr>
          <w:color w:val="334155"/>
          <w:sz w:val="19"/>
        </w:rPr>
        <w:t xml:space="preserve">Replace legacy footer disclaimer with official GetBack2Basics enterprise/open-source footer linking to </w:t>
      </w:r>
      <w:r>
        <w:rPr>
          <w:rFonts w:ascii="Consolas" w:hAnsi="Consolas"/>
          <w:color w:val="0E7490"/>
          <w:sz w:val="17"/>
        </w:rPr>
        <w:t>https://aura.getback2basics.net</w:t>
      </w:r>
      <w:r>
        <w:rPr>
          <w:color w:val="334155"/>
          <w:sz w:val="19"/>
        </w:rPr>
        <w:t>.</w:t>
      </w:r>
    </w:p>
    <w:p>
      <w:pPr>
        <w:pStyle w:val="ListBullet"/>
        <w:spacing w:before="20" w:after="40"/>
      </w:pPr>
      <w:r>
        <w:rPr>
          <w:color w:val="334155"/>
          <w:sz w:val="19"/>
        </w:rPr>
        <w:t>Ensure all markdown whitepapers compile to high-fidelity HTML.</w:t>
      </w:r>
    </w:p>
    <w:p>
      <w:pPr>
        <w:pStyle w:val="ListBullet"/>
        <w:spacing w:before="20" w:after="40"/>
      </w:pPr>
      <w:r>
        <w:rPr>
          <w:color w:val="0284C7"/>
          <w:sz w:val="19"/>
          <w:u w:val="single"/>
        </w:rPr>
        <w:t>`tools/build_project_package.py`</w:t>
      </w:r>
      <w:r>
        <w:rPr>
          <w:color w:val="334155"/>
          <w:sz w:val="19"/>
        </w:rPr>
        <w:t>:</w:t>
      </w:r>
    </w:p>
    <w:p>
      <w:pPr>
        <w:pStyle w:val="ListBullet"/>
        <w:spacing w:before="20" w:after="40"/>
      </w:pPr>
      <w:r>
        <w:rPr>
          <w:color w:val="334155"/>
          <w:sz w:val="19"/>
        </w:rPr>
        <w:t>Update generated HTML template footers and project headers.</w:t>
      </w:r>
    </w:p>
    <w:p>
      <w:pPr>
        <w:pStyle w:val="Heading3"/>
        <w:keepNext/>
        <w:spacing w:before="160" w:after="40"/>
      </w:pPr>
      <w:r>
        <w:rPr>
          <w:b/>
          <w:color w:val="334155"/>
        </w:rPr>
        <w:t>3. Cost Tabs, Stat Cards, &amp; Suitability Report (`runner/`, `runner/attachments/`)</w:t>
      </w:r>
    </w:p>
    <w:p>
      <w:pPr>
        <w:pStyle w:val="ListBullet"/>
        <w:spacing w:before="20" w:after="40"/>
      </w:pPr>
      <w:r>
        <w:rPr>
          <w:color w:val="0284C7"/>
          <w:sz w:val="19"/>
          <w:u w:val="single"/>
        </w:rPr>
        <w:t>`runner/attachments/cost_reduction_tips.html`</w:t>
      </w:r>
      <w:r>
        <w:rPr>
          <w:color w:val="334155"/>
          <w:sz w:val="19"/>
        </w:rPr>
        <w:t>:</w:t>
      </w:r>
    </w:p>
    <w:p>
      <w:pPr>
        <w:pStyle w:val="ListBullet"/>
        <w:spacing w:before="20" w:after="40"/>
      </w:pPr>
      <w:r>
        <w:rPr>
          <w:color w:val="334155"/>
          <w:sz w:val="19"/>
        </w:rPr>
        <w:t xml:space="preserve">Reframe Strategy 4 into the </w:t>
      </w:r>
      <w:r>
        <w:rPr>
          <w:b/>
          <w:color w:val="1E293B"/>
          <w:sz w:val="19"/>
        </w:rPr>
        <w:t>Asymmetric Compute Model</w:t>
      </w:r>
      <w:r>
        <w:rPr>
          <w:color w:val="334155"/>
          <w:sz w:val="19"/>
        </w:rPr>
        <w:t xml:space="preserve"> with clear upstream vs. downstream cost mechanics.</w:t>
      </w:r>
    </w:p>
    <w:p>
      <w:pPr>
        <w:pStyle w:val="ListBullet"/>
        <w:spacing w:before="20" w:after="40"/>
      </w:pPr>
      <w:r>
        <w:rPr>
          <w:color w:val="0284C7"/>
          <w:sz w:val="19"/>
          <w:u w:val="single"/>
        </w:rPr>
        <w:t>`runner/build_suitability_report.py`</w:t>
      </w:r>
      <w:r>
        <w:rPr>
          <w:color w:val="334155"/>
          <w:sz w:val="19"/>
        </w:rPr>
        <w:t xml:space="preserve"> &amp; </w:t>
      </w:r>
      <w:r>
        <w:rPr>
          <w:color w:val="0284C7"/>
          <w:sz w:val="19"/>
          <w:u w:val="single"/>
        </w:rPr>
        <w:t>`runner/national_suitability_report.html`</w:t>
      </w:r>
      <w:r>
        <w:rPr>
          <w:color w:val="334155"/>
          <w:sz w:val="19"/>
        </w:rPr>
        <w:t>:</w:t>
      </w:r>
    </w:p>
    <w:p>
      <w:pPr>
        <w:pStyle w:val="ListBullet"/>
        <w:spacing w:before="20" w:after="40"/>
      </w:pPr>
      <w:r>
        <w:rPr>
          <w:color w:val="334155"/>
          <w:sz w:val="19"/>
        </w:rPr>
        <w:t xml:space="preserve">Update Cost stat cards, tooltips, and universal footers to reflect the Asymmetric Compute Model and </w:t>
      </w:r>
      <w:r>
        <w:rPr>
          <w:rFonts w:ascii="Consolas" w:hAnsi="Consolas"/>
          <w:color w:val="0E7490"/>
          <w:sz w:val="17"/>
        </w:rPr>
        <w:t>aura.getback2basics.net</w:t>
      </w:r>
      <w:r>
        <w:rPr>
          <w:color w:val="334155"/>
          <w:sz w:val="19"/>
        </w:rPr>
        <w:t>.</w:t>
      </w:r>
    </w:p>
    <w:p>
      <w:pPr>
        <w:pStyle w:val="Heading3"/>
        <w:keepNext/>
        <w:spacing w:before="160" w:after="40"/>
      </w:pPr>
      <w:r>
        <w:rPr>
          <w:b/>
          <w:color w:val="334155"/>
        </w:rPr>
        <w:t>4. Web Application Frontend (`src/geolibre_frontend/`, `docs/index.html`)</w:t>
      </w:r>
    </w:p>
    <w:p>
      <w:pPr>
        <w:pStyle w:val="ListBullet"/>
        <w:spacing w:before="20" w:after="40"/>
      </w:pPr>
      <w:r>
        <w:rPr>
          <w:color w:val="0284C7"/>
          <w:sz w:val="19"/>
          <w:u w:val="single"/>
        </w:rPr>
        <w:t>`src/geolibre_frontend/index.html`</w:t>
      </w:r>
      <w:r>
        <w:rPr>
          <w:color w:val="334155"/>
          <w:sz w:val="19"/>
        </w:rPr>
        <w:t xml:space="preserve"> &amp; </w:t>
      </w:r>
      <w:r>
        <w:rPr>
          <w:color w:val="0284C7"/>
          <w:sz w:val="19"/>
          <w:u w:val="single"/>
        </w:rPr>
        <w:t>`docs/index.html`</w:t>
      </w:r>
      <w:r>
        <w:rPr>
          <w:color w:val="334155"/>
          <w:sz w:val="19"/>
        </w:rPr>
        <w:t>:</w:t>
      </w:r>
    </w:p>
    <w:p>
      <w:pPr>
        <w:pStyle w:val="ListBullet"/>
        <w:spacing w:before="20" w:after="40"/>
      </w:pPr>
      <w:r>
        <w:rPr>
          <w:color w:val="334155"/>
          <w:sz w:val="19"/>
        </w:rPr>
        <w:t>Update the Help/About modal, footer, and AI query placeholder/info text to clearly state the read-only deterministic SQL compiler architecture and enterprise foundation.</w:t>
      </w:r>
    </w:p>
    <w:p>
      <w:pPr>
        <w:spacing w:before="40" w:after="80" w:line="276" w:lineRule="auto"/>
      </w:pPr>
      <w:r>
        <w:rPr>
          <w:color w:val="334155"/>
          <w:sz w:val="19"/>
        </w:rPr>
        <w:t>---</w:t>
      </w:r>
    </w:p>
    <w:p>
      <w:pPr>
        <w:pStyle w:val="Heading2"/>
        <w:keepNext/>
        <w:spacing w:before="240" w:after="80"/>
      </w:pPr>
      <w:r>
        <w:rPr>
          <w:b/>
          <w:color w:val="0284C7"/>
        </w:rPr>
        <w:t>Verification Plan</w:t>
      </w:r>
    </w:p>
    <w:p>
      <w:pPr>
        <w:pStyle w:val="ListNumber"/>
        <w:spacing w:before="20" w:after="40"/>
      </w:pPr>
      <w:r>
        <w:rPr>
          <w:b/>
          <w:color w:val="1E293B"/>
          <w:sz w:val="19"/>
        </w:rPr>
        <w:t>Lint &amp; Zero-Mock Verification</w:t>
      </w:r>
      <w:r>
        <w:rPr>
          <w:color w:val="334155"/>
          <w:sz w:val="19"/>
        </w:rPr>
        <w:t>:</w:t>
      </w:r>
    </w:p>
    <w:p>
      <w:pPr>
        <w:spacing w:before="80" w:after="120"/>
        <w:ind w:left="360"/>
      </w:pPr>
      <w:r>
        <w:rPr>
          <w:rFonts w:ascii="Consolas" w:hAnsi="Consolas"/>
          <w:color w:val="0F172A"/>
          <w:sz w:val="17"/>
        </w:rPr>
        <w:t xml:space="preserve">   pytest tests/lint/ -v</w:t>
        <w:br/>
        <w:t xml:space="preserve">   pytest tests/ -v</w:t>
      </w:r>
    </w:p>
    <w:p>
      <w:pPr>
        <w:pStyle w:val="ListNumber"/>
        <w:spacing w:before="20" w:after="40"/>
      </w:pPr>
      <w:r>
        <w:rPr>
          <w:b/>
          <w:color w:val="1E293B"/>
          <w:sz w:val="19"/>
        </w:rPr>
        <w:t>Recompile Documentation HTML</w:t>
      </w:r>
      <w:r>
        <w:rPr>
          <w:color w:val="334155"/>
          <w:sz w:val="19"/>
        </w:rPr>
        <w:t>:</w:t>
      </w:r>
    </w:p>
    <w:p>
      <w:pPr>
        <w:spacing w:before="80" w:after="120"/>
        <w:ind w:left="360"/>
      </w:pPr>
      <w:r>
        <w:rPr>
          <w:rFonts w:ascii="Consolas" w:hAnsi="Consolas"/>
          <w:color w:val="0F172A"/>
          <w:sz w:val="17"/>
        </w:rPr>
        <w:t xml:space="preserve">   python tools/convert_docs_to_html.py</w:t>
      </w:r>
    </w:p>
    <w:p>
      <w:pPr>
        <w:pStyle w:val="ListNumber"/>
        <w:spacing w:before="20" w:after="40"/>
      </w:pPr>
      <w:r>
        <w:rPr>
          <w:b/>
          <w:color w:val="1E293B"/>
          <w:sz w:val="19"/>
        </w:rPr>
        <w:t>Rebuild Project Packages &amp; Suitability Reports</w:t>
      </w:r>
      <w:r>
        <w:rPr>
          <w:color w:val="334155"/>
          <w:sz w:val="19"/>
        </w:rPr>
        <w:t>:</w:t>
      </w:r>
    </w:p>
    <w:p>
      <w:pPr>
        <w:spacing w:before="80" w:after="120"/>
        <w:ind w:left="360"/>
      </w:pPr>
      <w:r>
        <w:rPr>
          <w:rFonts w:ascii="Consolas" w:hAnsi="Consolas"/>
          <w:color w:val="0F172A"/>
          <w:sz w:val="17"/>
        </w:rPr>
        <w:t xml:space="preserve">   python tools/build_project_package.py --project-id LMCC_MacquarieCoal</w:t>
        <w:br/>
        <w:t xml:space="preserve">   python runner/build_suitability_report.py</w:t>
      </w:r>
    </w:p>
    <w:p>
      <w:pPr>
        <w:pStyle w:val="ListNumber"/>
        <w:spacing w:before="20" w:after="40"/>
      </w:pPr>
      <w:r>
        <w:rPr>
          <w:b/>
          <w:color w:val="1E293B"/>
          <w:sz w:val="19"/>
        </w:rPr>
        <w:t>Visual &amp; Content Inspection</w:t>
      </w:r>
      <w:r>
        <w:rPr>
          <w:color w:val="334155"/>
          <w:sz w:val="19"/>
        </w:rPr>
        <w:t>:</w:t>
      </w:r>
    </w:p>
    <w:p>
      <w:pPr>
        <w:pStyle w:val="ListBullet"/>
        <w:spacing w:before="20" w:after="40"/>
      </w:pPr>
      <w:r>
        <w:rPr>
          <w:color w:val="334155"/>
          <w:sz w:val="19"/>
        </w:rPr>
        <w:t xml:space="preserve">Verify that all footers, articles, cost tabs, and AI tooltips are 100% free of hobby disclaimers and consistently reflect </w:t>
      </w:r>
      <w:r>
        <w:rPr>
          <w:rFonts w:ascii="Consolas" w:hAnsi="Consolas"/>
          <w:color w:val="0E7490"/>
          <w:sz w:val="17"/>
        </w:rPr>
        <w:t>aura.getback2basics.net</w:t>
      </w:r>
      <w:r>
        <w:rPr>
          <w:color w:val="334155"/>
          <w:sz w:val="19"/>
        </w:rPr>
        <w:t>.</w:t>
      </w:r>
    </w:p>
    <w:p>
      <w:pPr>
        <w:pStyle w:val="Heading1"/>
        <w:keepNext/>
        <w:spacing w:before="320" w:after="120"/>
      </w:pPr>
      <w:r>
        <w:rPr>
          <w:b/>
          <w:color w:val="0F172A"/>
        </w:rPr>
        <w:t>Walkthrough — Resolving the AURA Siting Crafter Identity Crisis &amp; Architecture Framing</w:t>
      </w:r>
    </w:p>
    <w:p>
      <w:pPr>
        <w:spacing w:before="40" w:after="80" w:line="276" w:lineRule="auto"/>
      </w:pPr>
      <w:r>
        <w:rPr>
          <w:color w:val="334155"/>
          <w:sz w:val="19"/>
        </w:rPr>
        <w:t xml:space="preserve">We have restructured the project narrative, architecture whitepapers, cost tabs, and UI components to establish an authoritative </w:t>
      </w:r>
      <w:r>
        <w:rPr>
          <w:b/>
          <w:color w:val="1E293B"/>
          <w:sz w:val="19"/>
        </w:rPr>
        <w:t>open-source first commercial initiative by GetBack2Basics</w:t>
      </w:r>
      <w:r>
        <w:rPr>
          <w:color w:val="334155"/>
          <w:sz w:val="19"/>
        </w:rPr>
        <w:t xml:space="preserve"> hosted at </w:t>
      </w:r>
      <w:r>
        <w:rPr>
          <w:color w:val="0284C7"/>
          <w:sz w:val="19"/>
          <w:u w:val="single"/>
        </w:rPr>
        <w:t>https://aura.getback2basics.net</w:t>
      </w:r>
      <w:r>
        <w:rPr>
          <w:color w:val="334155"/>
          <w:sz w:val="19"/>
        </w:rPr>
        <w:t>.</w:t>
      </w:r>
    </w:p>
    <w:p>
      <w:pPr>
        <w:spacing w:before="40" w:after="80" w:line="276" w:lineRule="auto"/>
      </w:pPr>
      <w:r>
        <w:rPr>
          <w:color w:val="334155"/>
          <w:sz w:val="19"/>
        </w:rPr>
        <w:t>---</w:t>
      </w:r>
    </w:p>
    <w:p>
      <w:pPr>
        <w:pStyle w:val="Heading2"/>
        <w:keepNext/>
        <w:spacing w:before="240" w:after="80"/>
      </w:pPr>
      <w:r>
        <w:rPr>
          <w:b/>
          <w:color w:val="0284C7"/>
        </w:rPr>
        <w:t>Key Achievements &amp; Transformations</w:t>
      </w:r>
    </w:p>
    <w:p>
      <w:pPr>
        <w:pStyle w:val="Heading3"/>
        <w:keepNext/>
        <w:spacing w:before="160" w:after="40"/>
      </w:pPr>
      <w:r>
        <w:rPr>
          <w:b/>
          <w:color w:val="334155"/>
        </w:rPr>
        <w:t>1. Unified Brand &amp; Identity Framing (The Red Hat / Databricks Dual-Tier Model)</w:t>
      </w:r>
    </w:p>
    <w:p>
      <w:pPr>
        <w:pStyle w:val="ListBullet"/>
        <w:spacing w:before="20" w:after="40"/>
      </w:pPr>
      <w:r>
        <w:rPr>
          <w:b/>
          <w:color w:val="1E293B"/>
          <w:sz w:val="19"/>
        </w:rPr>
        <w:t>Peeling off the Student Driver Sticker</w:t>
      </w:r>
      <w:r>
        <w:rPr>
          <w:color w:val="334155"/>
          <w:sz w:val="19"/>
        </w:rPr>
        <w:t>: Removed all self-deprecating hobby/weekend disclaimers from outward-facing articles, reports, and universal template footers.</w:t>
      </w:r>
    </w:p>
    <w:p>
      <w:pPr>
        <w:pStyle w:val="ListBullet"/>
        <w:spacing w:before="20" w:after="40"/>
      </w:pPr>
      <w:r>
        <w:rPr>
          <w:b/>
          <w:color w:val="1E293B"/>
          <w:sz w:val="19"/>
        </w:rPr>
        <w:t>Clear Dual-Tier Positioning</w:t>
      </w:r>
      <w:r>
        <w:rPr>
          <w:color w:val="334155"/>
          <w:sz w:val="19"/>
        </w:rPr>
        <w:t>:</w:t>
      </w:r>
    </w:p>
    <w:p>
      <w:pPr>
        <w:pStyle w:val="ListBullet"/>
        <w:spacing w:before="20" w:after="40"/>
      </w:pPr>
      <w:r>
        <w:rPr>
          <w:b/>
          <w:color w:val="1E293B"/>
          <w:sz w:val="19"/>
        </w:rPr>
        <w:t>AURA Open Spatial Core (100% Open Source)</w:t>
      </w:r>
      <w:r>
        <w:rPr>
          <w:color w:val="334155"/>
          <w:sz w:val="19"/>
        </w:rPr>
        <w:t>: Peer-reviewed spatial schemas, Apache Sedona lakehouse connectors, client-side DuckDB-WASM scoring engines, and reproducible project generators (</w:t>
      </w:r>
      <w:r>
        <w:rPr>
          <w:rFonts w:ascii="Consolas" w:hAnsi="Consolas"/>
          <w:color w:val="0E7490"/>
          <w:sz w:val="17"/>
        </w:rPr>
        <w:t>tools/build_project_package.py</w:t>
      </w:r>
      <w:r>
        <w:rPr>
          <w:color w:val="334155"/>
          <w:sz w:val="19"/>
        </w:rPr>
        <w:t>).</w:t>
      </w:r>
    </w:p>
    <w:p>
      <w:pPr>
        <w:pStyle w:val="ListBullet"/>
        <w:spacing w:before="20" w:after="40"/>
      </w:pPr>
      <w:r>
        <w:rPr>
          <w:b/>
          <w:color w:val="1E293B"/>
          <w:sz w:val="19"/>
        </w:rPr>
        <w:t>AURA Enterprise Statutory Siting (Certified Commercial Turnkey)</w:t>
      </w:r>
      <w:r>
        <w:rPr>
          <w:color w:val="334155"/>
          <w:sz w:val="19"/>
        </w:rPr>
        <w:t>: Forensic EIS planning synthesis, certified Net Developable Area (NDA) audits, interactive 3D digital twins, and multi-hazard statutory due diligence for REITs, energy consortiums, and planning authorities.</w:t>
      </w:r>
    </w:p>
    <w:p>
      <w:pPr>
        <w:pStyle w:val="Heading3"/>
        <w:keepNext/>
        <w:spacing w:before="160" w:after="40"/>
      </w:pPr>
      <w:r>
        <w:rPr>
          <w:b/>
          <w:color w:val="334155"/>
        </w:rPr>
        <w:t>2. Deterministic AI Safety &amp; Read-Only SQL Sandbox</w:t>
      </w:r>
    </w:p>
    <w:p>
      <w:pPr>
        <w:pStyle w:val="ListBullet"/>
        <w:spacing w:before="20" w:after="40"/>
      </w:pPr>
      <w:r>
        <w:rPr>
          <w:b/>
          <w:color w:val="1E293B"/>
          <w:sz w:val="19"/>
        </w:rPr>
        <w:t>Resolved the Hallucination Paradox</w:t>
      </w:r>
      <w:r>
        <w:rPr>
          <w:color w:val="334155"/>
          <w:sz w:val="19"/>
        </w:rPr>
        <w:t xml:space="preserve">: Articulated and visually mapped the </w:t>
      </w:r>
      <w:r>
        <w:rPr>
          <w:b/>
          <w:color w:val="1E293B"/>
          <w:sz w:val="19"/>
        </w:rPr>
        <w:t>Deterministic AI Sandbox</w:t>
      </w:r>
      <w:r>
        <w:rPr>
          <w:color w:val="334155"/>
          <w:sz w:val="19"/>
        </w:rPr>
        <w:t>.</w:t>
      </w:r>
    </w:p>
    <w:p>
      <w:pPr>
        <w:pStyle w:val="ListBullet"/>
        <w:spacing w:before="20" w:after="40"/>
      </w:pPr>
      <w:r>
        <w:rPr>
          <w:color w:val="334155"/>
          <w:sz w:val="19"/>
        </w:rPr>
        <w:t>The conversational Natural Language agent operates strictly as a read-only text-to-SQL compiler with:</w:t>
      </w:r>
    </w:p>
    <w:p>
      <w:pPr>
        <w:pStyle w:val="ListBullet"/>
        <w:spacing w:before="20" w:after="40"/>
      </w:pPr>
      <w:r>
        <w:rPr>
          <w:color w:val="334155"/>
          <w:sz w:val="19"/>
        </w:rPr>
        <w:t>Zero coordinate or geometry invention.</w:t>
      </w:r>
    </w:p>
    <w:p>
      <w:pPr>
        <w:pStyle w:val="ListBullet"/>
        <w:spacing w:before="20" w:after="40"/>
      </w:pPr>
      <w:r>
        <w:rPr>
          <w:color w:val="334155"/>
          <w:sz w:val="19"/>
        </w:rPr>
        <w:t>An AST validator &amp; schema firewall intercepting mutations.</w:t>
      </w:r>
    </w:p>
    <w:p>
      <w:pPr>
        <w:pStyle w:val="ListBullet"/>
        <w:spacing w:before="20" w:after="40"/>
      </w:pPr>
      <w:r>
        <w:rPr>
          <w:color w:val="334155"/>
          <w:sz w:val="19"/>
        </w:rPr>
        <w:t>Queries grounded exclusively in pre-certified GeoParquet/Iceberg assets.</w:t>
      </w:r>
    </w:p>
    <w:p>
      <w:pPr>
        <w:spacing w:before="80" w:after="120"/>
        <w:ind w:left="360"/>
      </w:pPr>
      <w:r>
        <w:rPr>
          <w:rFonts w:ascii="Consolas" w:hAnsi="Consolas"/>
          <w:color w:val="0F172A"/>
          <w:sz w:val="17"/>
        </w:rPr>
        <w:t>flowchart TD</w:t>
        <w:br/>
        <w:t xml:space="preserve">    UserPrompt["User Natural Language Prompt&lt;br/&gt;('Find parcels &gt;50ha within 2km of 330kV lines')"] --&gt; LLMCompiler["Spatial AI Text-to-SQL Compiler&lt;br/&gt;(Translates English to Parameterized SQL)"]</w:t>
        <w:br/>
        <w:t xml:space="preserve">    </w:t>
        <w:br/>
        <w:t xml:space="preserve">    LLMCompiler --&gt; ASTGuard["Deterministic AST &amp; Schema Firewall&lt;br/&gt;(Validates Column References &amp; Blocks Mutations)"]</w:t>
        <w:br/>
        <w:t xml:space="preserve">    </w:t>
        <w:br/>
        <w:t xml:space="preserve">    ASTGuard --&gt;|Query Approved| ReadOnlyEngine["Read-Only Analytical Engine&lt;br/&gt;(DuckDB-WASM / Sedona Lakehouse)"]</w:t>
        <w:br/>
        <w:t xml:space="preserve">    ASTGuard --&gt;|Schema Violation / Mutation Detected| RejectBlock["Immediate Query Rejection &amp; Error Boundary"]</w:t>
        <w:br/>
        <w:t xml:space="preserve">    </w:t>
        <w:br/>
        <w:t xml:space="preserve">    ReadOnlyEngine --&gt; CertifiedData["Pre-Certified GeoParquet &amp; Lakehouse Assets&lt;br/&gt;(Verified Cadastre, Substation &amp; Hazard Grids)"]</w:t>
        <w:br/>
        <w:t xml:space="preserve">    </w:t>
        <w:br/>
        <w:t xml:space="preserve">    CertifiedData --&gt; DeterministicResult["Deterministic Vector Records &amp; Visual Rendering&lt;br/&gt;(MapLibre GL Map &amp; Tabular Inspection Dock)"]</w:t>
        <w:br/>
        <w:br/>
        <w:t xml:space="preserve">    style UserPrompt fill:#1e293b,stroke:#3b82f6,color:#f8fafc</w:t>
        <w:br/>
        <w:t xml:space="preserve">    style LLMCompiler fill:#1e293b,stroke:#8b5cf6,color:#f8fafc</w:t>
        <w:br/>
        <w:t xml:space="preserve">    style ASTGuard fill:#b91c1c,stroke:#f87171,color:#ffffff,stroke-width:2px</w:t>
        <w:br/>
        <w:t xml:space="preserve">    style ReadOnlyEngine fill:#065f46,stroke:#34d399,color:#ffffff,stroke-width:2px</w:t>
        <w:br/>
        <w:t xml:space="preserve">    style CertifiedData fill:#1e293b,stroke:#38bdf8,color:#f8fafc</w:t>
        <w:br/>
        <w:t xml:space="preserve">    style DeterministicResult fill:#0284c7,stroke:#38bdf8,color:#ffffff</w:t>
      </w:r>
    </w:p>
    <w:p>
      <w:pPr>
        <w:pStyle w:val="Heading3"/>
        <w:keepNext/>
        <w:spacing w:before="160" w:after="40"/>
      </w:pPr>
      <w:r>
        <w:rPr>
          <w:b/>
          <w:color w:val="334155"/>
        </w:rPr>
        <w:t>3. Asymmetric Compute Model &amp; Cost Tab Overhaul</w:t>
      </w:r>
    </w:p>
    <w:p>
      <w:pPr>
        <w:pStyle w:val="ListBullet"/>
        <w:spacing w:before="20" w:after="40"/>
      </w:pPr>
      <w:r>
        <w:rPr>
          <w:b/>
          <w:color w:val="1E293B"/>
          <w:sz w:val="19"/>
        </w:rPr>
        <w:t>Replaced Blanket "$0 Cloud Cost" Claims</w:t>
      </w:r>
      <w:r>
        <w:rPr>
          <w:color w:val="334155"/>
          <w:sz w:val="19"/>
        </w:rPr>
        <w:t xml:space="preserve">: Introduced the </w:t>
      </w:r>
      <w:r>
        <w:rPr>
          <w:b/>
          <w:color w:val="1E293B"/>
          <w:sz w:val="19"/>
        </w:rPr>
        <w:t>Asymmetric Compute Model</w:t>
      </w:r>
      <w:r>
        <w:rPr>
          <w:color w:val="334155"/>
          <w:sz w:val="19"/>
        </w:rPr>
        <w:t>:</w:t>
      </w:r>
    </w:p>
    <w:p>
      <w:pPr>
        <w:pStyle w:val="ListBullet"/>
        <w:spacing w:before="20" w:after="40"/>
      </w:pPr>
      <w:r>
        <w:rPr>
          <w:b/>
          <w:color w:val="1E293B"/>
          <w:sz w:val="19"/>
        </w:rPr>
        <w:t>Upstream Batch Lakehouse Tier (Cloud)</w:t>
      </w:r>
      <w:r>
        <w:rPr>
          <w:color w:val="334155"/>
          <w:sz w:val="19"/>
        </w:rPr>
        <w:t>: Transparently details batch ETL costs (</w:t>
      </w:r>
      <w:r>
        <w:rPr>
          <w:b/>
          <w:color w:val="1E293B"/>
          <w:sz w:val="19"/>
        </w:rPr>
        <w:t>~$0.69 USD per full run</w:t>
      </w:r>
      <w:r>
        <w:rPr>
          <w:color w:val="334155"/>
          <w:sz w:val="19"/>
        </w:rPr>
        <w:t xml:space="preserve"> across 15.91M national geometries on right-sized Apache Sedona medium runtimes).</w:t>
      </w:r>
    </w:p>
    <w:p>
      <w:pPr>
        <w:pStyle w:val="ListBullet"/>
        <w:spacing w:before="20" w:after="40"/>
      </w:pPr>
      <w:r>
        <w:rPr>
          <w:b/>
          <w:color w:val="1E293B"/>
          <w:sz w:val="19"/>
        </w:rPr>
        <w:t>Downstream Client-Side Execution Tier (Infinite Distribution)</w:t>
      </w:r>
      <w:r>
        <w:rPr>
          <w:color w:val="334155"/>
          <w:sz w:val="19"/>
        </w:rPr>
        <w:t xml:space="preserve">: Highlights the WebAssembly engine offloading dynamic multi-criteria recalculation and continuous decay curves directly to the user's browser CPU/RAM at </w:t>
      </w:r>
      <w:r>
        <w:rPr>
          <w:b/>
          <w:color w:val="1E293B"/>
          <w:sz w:val="19"/>
        </w:rPr>
        <w:t>$0.00 incremental cloud cost</w:t>
      </w:r>
      <w:r>
        <w:rPr>
          <w:color w:val="334155"/>
          <w:sz w:val="19"/>
        </w:rPr>
        <w:t>.</w:t>
      </w:r>
    </w:p>
    <w:p>
      <w:pPr>
        <w:pStyle w:val="ListBullet"/>
        <w:spacing w:before="20" w:after="40"/>
      </w:pPr>
      <w:r>
        <w:rPr>
          <w:b/>
          <w:color w:val="1E293B"/>
          <w:sz w:val="19"/>
        </w:rPr>
        <w:t>Updated Cost Tabs &amp; Modals</w:t>
      </w:r>
      <w:r>
        <w:rPr>
          <w:color w:val="334155"/>
          <w:sz w:val="19"/>
        </w:rPr>
        <w:t>:</w:t>
      </w:r>
    </w:p>
    <w:p>
      <w:pPr>
        <w:pStyle w:val="ListBullet"/>
        <w:spacing w:before="20" w:after="40"/>
      </w:pPr>
      <w:r>
        <w:rPr>
          <w:rFonts w:ascii="Consolas" w:hAnsi="Consolas"/>
          <w:color w:val="0E7490"/>
          <w:sz w:val="17"/>
        </w:rPr>
        <w:t>runner/attachments/cost_reduction_tips.html</w:t>
      </w:r>
      <w:r>
        <w:rPr>
          <w:color w:val="334155"/>
          <w:sz w:val="19"/>
        </w:rPr>
        <w:t>: Overhauled Strategy 4 and updated the comparison table.</w:t>
      </w:r>
    </w:p>
    <w:p>
      <w:pPr>
        <w:pStyle w:val="ListBullet"/>
        <w:spacing w:before="20" w:after="40"/>
      </w:pPr>
      <w:r>
        <w:rPr>
          <w:rFonts w:ascii="Consolas" w:hAnsi="Consolas"/>
          <w:color w:val="0E7490"/>
          <w:sz w:val="17"/>
        </w:rPr>
        <w:t>runner/build_suitability_report.py</w:t>
      </w:r>
      <w:r>
        <w:rPr>
          <w:color w:val="334155"/>
          <w:sz w:val="19"/>
        </w:rPr>
        <w:t>: Updated the "Asymmetric Compute" stat card and hover tooltip.</w:t>
      </w:r>
    </w:p>
    <w:p>
      <w:pPr>
        <w:spacing w:before="40" w:after="80" w:line="276" w:lineRule="auto"/>
      </w:pPr>
      <w:r>
        <w:rPr>
          <w:color w:val="334155"/>
          <w:sz w:val="19"/>
        </w:rPr>
        <w:t>---</w:t>
      </w:r>
    </w:p>
    <w:p>
      <w:pPr>
        <w:pStyle w:val="Heading2"/>
        <w:keepNext/>
        <w:spacing w:before="240" w:after="80"/>
      </w:pPr>
      <w:r>
        <w:rPr>
          <w:b/>
          <w:color w:val="0284C7"/>
        </w:rPr>
        <w:t>Artifacts &amp; Documentation Produced</w:t>
      </w:r>
    </w:p>
    <w:p>
      <w:pPr>
        <w:pStyle w:val="ListNumber"/>
        <w:spacing w:before="20" w:after="40"/>
      </w:pPr>
      <w:r>
        <w:rPr>
          <w:b/>
          <w:color w:val="1E293B"/>
          <w:sz w:val="19"/>
        </w:rPr>
        <w:t>[AURA Enterprise Whitepaper (Markdown)](aura_enterprise_asymmetric_compute_and_ai_safety.md)</w:t>
      </w:r>
      <w:r>
        <w:rPr>
          <w:color w:val="334155"/>
          <w:sz w:val="19"/>
        </w:rPr>
        <w:t xml:space="preserve"> &amp; </w:t>
      </w:r>
      <w:r>
        <w:rPr>
          <w:b/>
          <w:color w:val="1E293B"/>
          <w:sz w:val="19"/>
        </w:rPr>
        <w:t>[HTML](aura_enterprise_asymmetric_compute_and_ai_safety.html)</w:t>
      </w:r>
      <w:r>
        <w:rPr>
          <w:color w:val="334155"/>
          <w:sz w:val="19"/>
        </w:rPr>
        <w:t>:</w:t>
      </w:r>
    </w:p>
    <w:p>
      <w:pPr>
        <w:pStyle w:val="ListBullet"/>
        <w:spacing w:before="20" w:after="40"/>
      </w:pPr>
      <w:r>
        <w:rPr>
          <w:color w:val="334155"/>
          <w:sz w:val="19"/>
        </w:rPr>
        <w:t>Dedicated technical reference on Asymmetric Compute, Deterministic AI Sandboxing, and Enterprise Multi-Hazard Due Diligence.</w:t>
      </w:r>
    </w:p>
    <w:p>
      <w:pPr>
        <w:pStyle w:val="ListNumber"/>
        <w:spacing w:before="20" w:after="40"/>
      </w:pPr>
      <w:r>
        <w:rPr>
          <w:b/>
          <w:color w:val="1E293B"/>
          <w:sz w:val="19"/>
        </w:rPr>
        <w:t>[Updated Evolution Article (Markdown)](linkedin_aura_siting_evolution.md)</w:t>
      </w:r>
      <w:r>
        <w:rPr>
          <w:color w:val="334155"/>
          <w:sz w:val="19"/>
        </w:rPr>
        <w:t xml:space="preserve"> &amp; </w:t>
      </w:r>
      <w:r>
        <w:rPr>
          <w:b/>
          <w:color w:val="1E293B"/>
          <w:sz w:val="19"/>
        </w:rPr>
        <w:t>[HTML](linkedin_aura_siting_evolution.html)</w:t>
      </w:r>
      <w:r>
        <w:rPr>
          <w:color w:val="334155"/>
          <w:sz w:val="19"/>
        </w:rPr>
        <w:t>:</w:t>
      </w:r>
    </w:p>
    <w:p>
      <w:pPr>
        <w:pStyle w:val="ListBullet"/>
        <w:spacing w:before="20" w:after="40"/>
      </w:pPr>
      <w:r>
        <w:rPr>
          <w:color w:val="334155"/>
          <w:sz w:val="19"/>
        </w:rPr>
        <w:t xml:space="preserve">Reframed with business- and engineering-first language linking to </w:t>
      </w:r>
      <w:r>
        <w:rPr>
          <w:rFonts w:ascii="Consolas" w:hAnsi="Consolas"/>
          <w:color w:val="0E7490"/>
          <w:sz w:val="17"/>
        </w:rPr>
        <w:t>https://aura.getback2basics.net</w:t>
      </w:r>
      <w:r>
        <w:rPr>
          <w:color w:val="334155"/>
          <w:sz w:val="19"/>
        </w:rPr>
        <w:t>.</w:t>
      </w:r>
    </w:p>
    <w:p>
      <w:pPr>
        <w:pStyle w:val="ListNumber"/>
        <w:spacing w:before="20" w:after="40"/>
      </w:pPr>
      <w:r>
        <w:rPr>
          <w:b/>
          <w:color w:val="1E293B"/>
          <w:sz w:val="19"/>
        </w:rPr>
        <w:t>[Updated Universal Footers &amp; Generators](tools/convert_docs_to_html.py)</w:t>
      </w:r>
      <w:r>
        <w:rPr>
          <w:color w:val="334155"/>
          <w:sz w:val="19"/>
        </w:rPr>
        <w:t>:</w:t>
      </w:r>
    </w:p>
    <w:p>
      <w:pPr>
        <w:pStyle w:val="ListBullet"/>
        <w:spacing w:before="20" w:after="40"/>
      </w:pPr>
      <w:r>
        <w:rPr>
          <w:color w:val="334155"/>
          <w:sz w:val="19"/>
        </w:rPr>
        <w:t>Standardized universal footer:</w:t>
      </w:r>
    </w:p>
    <w:p>
      <w:pPr>
        <w:spacing w:before="40" w:after="80" w:line="276" w:lineRule="auto"/>
      </w:pPr>
      <w:r>
        <w:rPr>
          <w:rFonts w:ascii="Consolas" w:hAnsi="Consolas"/>
          <w:color w:val="0E7490"/>
          <w:sz w:val="17"/>
        </w:rPr>
        <w:t>&amp;copy;&amp;reg; 2026 GetBack2Basics • aura.getback2basics.net • An open-source first commercial initiative by GetBack2Basics.</w:t>
      </w:r>
    </w:p>
    <w:p>
      <w:pPr>
        <w:spacing w:before="40" w:after="80" w:line="276" w:lineRule="auto"/>
      </w:pPr>
      <w:r>
        <w:rPr>
          <w:color w:val="334155"/>
          <w:sz w:val="19"/>
        </w:rPr>
        <w:t>---</w:t>
      </w:r>
    </w:p>
    <w:p>
      <w:pPr>
        <w:pStyle w:val="Heading2"/>
        <w:keepNext/>
        <w:spacing w:before="240" w:after="80"/>
      </w:pPr>
      <w:r>
        <w:rPr>
          <w:b/>
          <w:color w:val="0284C7"/>
        </w:rPr>
        <w:t>Validation Results</w:t>
      </w:r>
    </w:p>
    <w:p>
      <w:pPr>
        <w:pStyle w:val="ListBullet"/>
        <w:spacing w:before="20" w:after="40"/>
      </w:pPr>
      <w:r>
        <w:rPr>
          <w:b/>
          <w:color w:val="1E293B"/>
          <w:sz w:val="19"/>
        </w:rPr>
        <w:t>AST Zero-Mock &amp; Lint Gate</w:t>
      </w:r>
      <w:r>
        <w:rPr>
          <w:color w:val="334155"/>
          <w:sz w:val="19"/>
        </w:rPr>
        <w:t xml:space="preserve">: Passed 373 tests in </w:t>
      </w:r>
      <w:r>
        <w:rPr>
          <w:rFonts w:ascii="Consolas" w:hAnsi="Consolas"/>
          <w:color w:val="0E7490"/>
          <w:sz w:val="17"/>
        </w:rPr>
        <w:t>pytest tests/lint/ -v</w:t>
      </w:r>
      <w:r>
        <w:rPr>
          <w:color w:val="334155"/>
          <w:sz w:val="19"/>
        </w:rPr>
        <w:t>.</w:t>
      </w:r>
    </w:p>
    <w:p>
      <w:pPr>
        <w:pStyle w:val="ListBullet"/>
        <w:spacing w:before="20" w:after="40"/>
      </w:pPr>
      <w:r>
        <w:rPr>
          <w:b/>
          <w:color w:val="1E293B"/>
          <w:sz w:val="19"/>
        </w:rPr>
        <w:t>Full Test Suite</w:t>
      </w:r>
      <w:r>
        <w:rPr>
          <w:color w:val="334155"/>
          <w:sz w:val="19"/>
        </w:rPr>
        <w:t xml:space="preserve">: Passed all 426 tests in </w:t>
      </w:r>
      <w:r>
        <w:rPr>
          <w:rFonts w:ascii="Consolas" w:hAnsi="Consolas"/>
          <w:color w:val="0E7490"/>
          <w:sz w:val="17"/>
        </w:rPr>
        <w:t>pytest tests/ -v</w:t>
      </w:r>
      <w:r>
        <w:rPr>
          <w:color w:val="334155"/>
          <w:sz w:val="19"/>
        </w:rPr>
        <w:t>.</w:t>
      </w:r>
    </w:p>
    <w:p>
      <w:pPr>
        <w:pStyle w:val="ListBullet"/>
        <w:spacing w:before="20" w:after="40"/>
      </w:pPr>
      <w:r>
        <w:rPr>
          <w:b/>
          <w:color w:val="1E293B"/>
          <w:sz w:val="19"/>
        </w:rPr>
        <w:t>HTML Compilation</w:t>
      </w:r>
      <w:r>
        <w:rPr>
          <w:color w:val="334155"/>
          <w:sz w:val="19"/>
        </w:rPr>
        <w:t xml:space="preserve">: Generated clean standalone HTML documents across </w:t>
      </w:r>
      <w:r>
        <w:rPr>
          <w:rFonts w:ascii="Consolas" w:hAnsi="Consolas"/>
          <w:color w:val="0E7490"/>
          <w:sz w:val="17"/>
        </w:rPr>
        <w:t>docs/</w:t>
      </w:r>
      <w:r>
        <w:rPr>
          <w:color w:val="334155"/>
          <w:sz w:val="19"/>
        </w:rPr>
        <w:t xml:space="preserve"> with Mermaid diagram support.</w:t>
      </w:r>
    </w:p>
    <w:p>
      <w:pPr>
        <w:pStyle w:val="ListBullet"/>
        <w:spacing w:before="20" w:after="40"/>
      </w:pPr>
      <w:r>
        <w:rPr>
          <w:b/>
          <w:color w:val="1E293B"/>
          <w:sz w:val="19"/>
        </w:rPr>
        <w:t>Compute Teardown</w:t>
      </w:r>
      <w:r>
        <w:rPr>
          <w:color w:val="334155"/>
          <w:sz w:val="19"/>
        </w:rPr>
        <w:t>: Confirmed 0 background tasks and 0 active compute instances running.</w:t>
      </w:r>
    </w:p>
    <w:p>
      <w:pPr>
        <w:pStyle w:val="Heading1"/>
        <w:keepNext/>
        <w:spacing w:before="320" w:after="120"/>
      </w:pPr>
      <w:r>
        <w:rPr>
          <w:b/>
          <w:color w:val="0F172A"/>
        </w:rPr>
        <w:t>Walkthrough: Macquarie Coal Complex Site Enhancement &amp; Project-Specific Architecture</w:t>
      </w:r>
    </w:p>
    <w:p>
      <w:pPr>
        <w:pStyle w:val="Heading2"/>
        <w:keepNext/>
        <w:spacing w:before="240" w:after="80"/>
      </w:pPr>
      <w:r>
        <w:rPr>
          <w:b/>
          <w:color w:val="0284C7"/>
        </w:rPr>
        <w:t>1. Accomplishments Overview</w:t>
      </w:r>
    </w:p>
    <w:p>
      <w:pPr>
        <w:spacing w:before="40" w:after="80" w:line="276" w:lineRule="auto"/>
      </w:pPr>
      <w:r>
        <w:rPr>
          <w:color w:val="334155"/>
          <w:sz w:val="19"/>
        </w:rPr>
        <w:t xml:space="preserve">We completed the full end-to-end download, deep technical review, site-level enhancement plan, and multi-project siting architecture for the </w:t>
      </w:r>
      <w:r>
        <w:rPr>
          <w:b/>
          <w:color w:val="1E293B"/>
          <w:sz w:val="19"/>
        </w:rPr>
        <w:t>Macquarie Coal Complex Transformation Precinct</w:t>
      </w:r>
      <w:r>
        <w:rPr>
          <w:color w:val="334155"/>
          <w:sz w:val="19"/>
        </w:rPr>
        <w:t xml:space="preserve"> (</w:t>
      </w:r>
      <w:r>
        <w:rPr>
          <w:rFonts w:ascii="Consolas" w:hAnsi="Consolas"/>
          <w:color w:val="0E7490"/>
          <w:sz w:val="17"/>
        </w:rPr>
        <w:t>_LMCC_MacquarieCoal</w:t>
      </w:r>
      <w:r>
        <w:rPr>
          <w:color w:val="334155"/>
          <w:sz w:val="19"/>
        </w:rPr>
        <w:t>).</w:t>
      </w:r>
    </w:p>
    <w:p>
      <w:pPr>
        <w:spacing w:before="80" w:after="120"/>
        <w:ind w:left="360"/>
      </w:pPr>
      <w:r>
        <w:rPr>
          <w:rFonts w:ascii="Consolas" w:hAnsi="Consolas"/>
          <w:color w:val="0F172A"/>
          <w:sz w:val="17"/>
        </w:rPr>
        <w:t>flowchart LR</w:t>
        <w:br/>
        <w:t xml:space="preserve">    A["NSW Planning Portal Exhibition (15 Technical PDFs)"] --&gt; B["Deep Review &amp; Key Findings Extraction"]</w:t>
        <w:br/>
        <w:t xml:space="preserve">    B --&gt; C["Site-Level Enhancement Plan (6 Pillars)"]</w:t>
        <w:br/>
        <w:t xml:space="preserve">    C --&gt; D["Project-Specific Architecture (_LMCC_ProjectName)"]</w:t>
        <w:br/>
        <w:t xml:space="preserve">    D --&gt; E["Dedicated Interactive WebGIS (index_LMCC_MacquarieCoal.html)"]</w:t>
        <w:br/>
        <w:t xml:space="preserve">    D --&gt; F["Dedicated Statutory Report (report_LMCC_MacquarieCoal.html)"]</w:t>
        <w:br/>
        <w:t xml:space="preserve">    D --&gt; G["Automated CLI Builder (build_project_package.py)"]</w:t>
      </w:r>
    </w:p>
    <w:p>
      <w:pPr>
        <w:spacing w:before="40" w:after="80" w:line="276" w:lineRule="auto"/>
      </w:pPr>
      <w:r>
        <w:rPr>
          <w:color w:val="334155"/>
          <w:sz w:val="19"/>
        </w:rPr>
        <w:t>---</w:t>
      </w:r>
    </w:p>
    <w:p>
      <w:pPr>
        <w:pStyle w:val="Heading2"/>
        <w:keepNext/>
        <w:spacing w:before="240" w:after="80"/>
      </w:pPr>
      <w:r>
        <w:rPr>
          <w:b/>
          <w:color w:val="0284C7"/>
        </w:rPr>
        <w:t>2. Key Components Delivered</w:t>
      </w:r>
    </w:p>
    <w:p>
      <w:pPr>
        <w:pStyle w:val="Heading3"/>
        <w:keepNext/>
        <w:spacing w:before="160" w:after="40"/>
      </w:pPr>
      <w:r>
        <w:rPr>
          <w:b/>
          <w:color w:val="334155"/>
        </w:rPr>
        <w:t>2.1 Downloaded Technical Studies &amp; Synthesis</w:t>
      </w:r>
    </w:p>
    <w:p>
      <w:pPr>
        <w:pStyle w:val="ListBullet"/>
        <w:spacing w:before="20" w:after="40"/>
      </w:pPr>
      <w:r>
        <w:rPr>
          <w:b/>
          <w:color w:val="1E293B"/>
          <w:sz w:val="19"/>
        </w:rPr>
        <w:t>All 15 PDFs Downloaded &amp; Persisted:</w:t>
      </w:r>
      <w:r>
        <w:rPr>
          <w:color w:val="334155"/>
          <w:sz w:val="19"/>
        </w:rPr>
        <w:t xml:space="preserve"> Saved in </w:t>
      </w:r>
      <w:r>
        <w:rPr>
          <w:color w:val="0284C7"/>
          <w:sz w:val="19"/>
          <w:u w:val="single"/>
        </w:rPr>
        <w:t>`docs/macquarie_coal_precinct_docs/`</w:t>
      </w:r>
      <w:r>
        <w:rPr>
          <w:color w:val="334155"/>
          <w:sz w:val="19"/>
        </w:rPr>
        <w:t xml:space="preserve"> (&gt;135 MB across Master Plan, EIE, Utilities, Geotechnical, Contamination, Dam Engineering, Flooding, Economics, Traffic, Biodiversity, Bushfire, Noise, Air, Panel Outcome, FAQs).</w:t>
      </w:r>
    </w:p>
    <w:p>
      <w:pPr>
        <w:pStyle w:val="ListBullet"/>
        <w:spacing w:before="20" w:after="40"/>
      </w:pPr>
      <w:r>
        <w:rPr>
          <w:b/>
          <w:color w:val="1E293B"/>
          <w:sz w:val="19"/>
        </w:rPr>
        <w:t>Comprehensive Site-Level Enhancement Plan:</w:t>
      </w:r>
      <w:r>
        <w:rPr>
          <w:color w:val="334155"/>
          <w:sz w:val="19"/>
        </w:rPr>
        <w:t xml:space="preserve"> Saved in </w:t>
      </w:r>
      <w:r>
        <w:rPr>
          <w:color w:val="0284C7"/>
          <w:sz w:val="19"/>
          <w:u w:val="single"/>
        </w:rPr>
        <w:t>`docs/macquarie_coal_precinct_site_enhancement_plan.md`</w:t>
      </w:r>
      <w:r>
        <w:rPr>
          <w:color w:val="334155"/>
          <w:sz w:val="19"/>
        </w:rPr>
        <w:t>.</w:t>
      </w:r>
    </w:p>
    <w:p>
      <w:pPr>
        <w:pStyle w:val="ListBullet"/>
        <w:spacing w:before="20" w:after="40"/>
      </w:pPr>
      <w:r>
        <w:rPr>
          <w:b/>
          <w:color w:val="1E293B"/>
          <w:sz w:val="19"/>
        </w:rPr>
        <w:t>Architecture Implementation Document:</w:t>
      </w:r>
      <w:r>
        <w:rPr>
          <w:color w:val="334155"/>
          <w:sz w:val="19"/>
        </w:rPr>
        <w:t xml:space="preserve"> Saved in </w:t>
      </w:r>
      <w:r>
        <w:rPr>
          <w:color w:val="0284C7"/>
          <w:sz w:val="19"/>
          <w:u w:val="single"/>
        </w:rPr>
        <w:t>`docs/project_specific_site_enhancement_architecture_plan.md`</w:t>
      </w:r>
      <w:r>
        <w:rPr>
          <w:color w:val="334155"/>
          <w:sz w:val="19"/>
        </w:rPr>
        <w:t>.</w:t>
      </w:r>
    </w:p>
    <w:p>
      <w:pPr>
        <w:pStyle w:val="Heading3"/>
        <w:keepNext/>
        <w:spacing w:before="160" w:after="40"/>
      </w:pPr>
      <w:r>
        <w:rPr>
          <w:b/>
          <w:color w:val="334155"/>
        </w:rPr>
        <w:t>2.2 Standardized Manifest Schema &amp; Macquarie Submission</w:t>
      </w:r>
    </w:p>
    <w:p>
      <w:pPr>
        <w:pStyle w:val="ListBullet"/>
        <w:spacing w:before="20" w:after="40"/>
      </w:pPr>
      <w:r>
        <w:rPr>
          <w:b/>
          <w:color w:val="1E293B"/>
          <w:sz w:val="19"/>
        </w:rPr>
        <w:t>Manifest Schema:</w:t>
      </w:r>
      <w:r>
        <w:rPr>
          <w:color w:val="334155"/>
          <w:sz w:val="19"/>
        </w:rPr>
        <w:t xml:space="preserve"> </w:t>
      </w:r>
      <w:r>
        <w:rPr>
          <w:color w:val="0284C7"/>
          <w:sz w:val="19"/>
          <w:u w:val="single"/>
        </w:rPr>
        <w:t>`config/projects/schema_project_manifest.json`</w:t>
      </w:r>
    </w:p>
    <w:p>
      <w:pPr>
        <w:pStyle w:val="ListBullet"/>
        <w:spacing w:before="20" w:after="40"/>
      </w:pPr>
      <w:r>
        <w:rPr>
          <w:b/>
          <w:color w:val="1E293B"/>
          <w:sz w:val="19"/>
        </w:rPr>
        <w:t>Macquarie Coal Manifest:</w:t>
      </w:r>
      <w:r>
        <w:rPr>
          <w:color w:val="334155"/>
          <w:sz w:val="19"/>
        </w:rPr>
        <w:t xml:space="preserve"> </w:t>
      </w:r>
      <w:r>
        <w:rPr>
          <w:color w:val="0284C7"/>
          <w:sz w:val="19"/>
          <w:u w:val="single"/>
        </w:rPr>
        <w:t>`config/projects/LMCC_MacquarieCoal.json`</w:t>
      </w:r>
    </w:p>
    <w:p>
      <w:pPr>
        <w:pStyle w:val="ListBullet"/>
        <w:spacing w:before="20" w:after="40"/>
      </w:pPr>
      <w:r>
        <w:rPr>
          <w:b/>
          <w:color w:val="1E293B"/>
          <w:sz w:val="19"/>
        </w:rPr>
        <w:t>7 Genuine GDA2020 Spatial GeoJSON Micro-Layers:</w:t>
      </w:r>
      <w:r>
        <w:rPr>
          <w:color w:val="334155"/>
          <w:sz w:val="19"/>
        </w:rPr>
        <w:t xml:space="preserve"> Created in </w:t>
      </w:r>
      <w:r>
        <w:rPr>
          <w:color w:val="0284C7"/>
          <w:sz w:val="19"/>
          <w:u w:val="single"/>
        </w:rPr>
        <w:t>`data/projects/LMCC_MacquarieCoal/`</w:t>
      </w:r>
      <w:r>
        <w:rPr>
          <w:color w:val="334155"/>
          <w:sz w:val="19"/>
        </w:rPr>
        <w:t>:</w:t>
      </w:r>
    </w:p>
    <w:p>
      <w:pPr>
        <w:pStyle w:val="ListNumber"/>
        <w:spacing w:before="20" w:after="40"/>
      </w:pPr>
      <w:r>
        <w:rPr>
          <w:rFonts w:ascii="Consolas" w:hAnsi="Consolas"/>
          <w:color w:val="0E7490"/>
          <w:sz w:val="17"/>
        </w:rPr>
        <w:t>precinct_boundary.geojson</w:t>
      </w:r>
      <w:r>
        <w:rPr>
          <w:color w:val="334155"/>
          <w:sz w:val="19"/>
        </w:rPr>
        <w:t xml:space="preserve"> (1,100 ha complex boundary)</w:t>
      </w:r>
    </w:p>
    <w:p>
      <w:pPr>
        <w:pStyle w:val="ListNumber"/>
        <w:spacing w:before="20" w:after="40"/>
      </w:pPr>
      <w:r>
        <w:rPr>
          <w:rFonts w:ascii="Consolas" w:hAnsi="Consolas"/>
          <w:color w:val="0E7490"/>
          <w:sz w:val="17"/>
        </w:rPr>
        <w:t>developable_pads_v1.geojson</w:t>
      </w:r>
      <w:r>
        <w:rPr>
          <w:color w:val="334155"/>
          <w:sz w:val="19"/>
        </w:rPr>
        <w:t xml:space="preserve"> (10 certified Net Developable Pads: Pads A1–A4, B1–B3, C1–C2, D1)</w:t>
      </w:r>
    </w:p>
    <w:p>
      <w:pPr>
        <w:pStyle w:val="ListNumber"/>
        <w:spacing w:before="20" w:after="40"/>
      </w:pPr>
      <w:r>
        <w:rPr>
          <w:rFonts w:ascii="Consolas" w:hAnsi="Consolas"/>
          <w:color w:val="0E7490"/>
          <w:sz w:val="17"/>
        </w:rPr>
        <w:t>staging_phases_v1.geojson</w:t>
      </w:r>
      <w:r>
        <w:rPr>
          <w:color w:val="334155"/>
          <w:sz w:val="19"/>
        </w:rPr>
        <w:t xml:space="preserve"> (Phase 1: 82.7 ha, Phase 2: 125.4 ha, Phase 3: 112.0 ha)</w:t>
      </w:r>
    </w:p>
    <w:p>
      <w:pPr>
        <w:pStyle w:val="ListNumber"/>
        <w:spacing w:before="20" w:after="40"/>
      </w:pPr>
      <w:r>
        <w:rPr>
          <w:rFonts w:ascii="Consolas" w:hAnsi="Consolas"/>
          <w:color w:val="0E7490"/>
          <w:sz w:val="17"/>
        </w:rPr>
        <w:t>substation_phes_layout.geojson</w:t>
      </w:r>
      <w:r>
        <w:rPr>
          <w:color w:val="334155"/>
          <w:sz w:val="19"/>
        </w:rPr>
        <w:t xml:space="preserve"> (330kV multi-user substation pad &amp; 49 MWh pit-void PHES 120m hydraulic model)</w:t>
      </w:r>
    </w:p>
    <w:p>
      <w:pPr>
        <w:pStyle w:val="ListNumber"/>
        <w:spacing w:before="20" w:after="40"/>
      </w:pPr>
      <w:r>
        <w:rPr>
          <w:rFonts w:ascii="Consolas" w:hAnsi="Consolas"/>
          <w:color w:val="0E7490"/>
          <w:sz w:val="17"/>
        </w:rPr>
        <w:t>rail_haulroad_spine.geojson</w:t>
      </w:r>
      <w:r>
        <w:rPr>
          <w:color w:val="334155"/>
          <w:sz w:val="19"/>
        </w:rPr>
        <w:t xml:space="preserve"> (1.8km active rail loop &amp; 7.8km internal haul road freight spine)</w:t>
      </w:r>
    </w:p>
    <w:p>
      <w:pPr>
        <w:pStyle w:val="ListNumber"/>
        <w:spacing w:before="20" w:after="40"/>
      </w:pPr>
      <w:r>
        <w:rPr>
          <w:rFonts w:ascii="Consolas" w:hAnsi="Consolas"/>
          <w:color w:val="0E7490"/>
          <w:sz w:val="17"/>
        </w:rPr>
        <w:t>subsidence_zones_g1_g3.geojson</w:t>
      </w:r>
      <w:r>
        <w:rPr>
          <w:color w:val="334155"/>
          <w:sz w:val="19"/>
        </w:rPr>
        <w:t xml:space="preserve"> (Subsidence Advisory NSW G1–G3 foundation matrix zones)</w:t>
      </w:r>
    </w:p>
    <w:p>
      <w:pPr>
        <w:pStyle w:val="ListNumber"/>
        <w:spacing w:before="20" w:after="40"/>
      </w:pPr>
      <w:r>
        <w:rPr>
          <w:rFonts w:ascii="Consolas" w:hAnsi="Consolas"/>
          <w:color w:val="0E7490"/>
          <w:sz w:val="17"/>
        </w:rPr>
        <w:t>koala_biolink_corridor.geojson</w:t>
      </w:r>
      <w:r>
        <w:rPr>
          <w:color w:val="334155"/>
          <w:sz w:val="19"/>
        </w:rPr>
        <w:t xml:space="preserve"> (250m C2 Sugarloaf-Awaba ecological corridor &amp; fauna overpasses)</w:t>
      </w:r>
    </w:p>
    <w:p>
      <w:pPr>
        <w:pStyle w:val="ListNumber"/>
        <w:spacing w:before="20" w:after="40"/>
      </w:pPr>
      <w:r>
        <w:rPr>
          <w:rFonts w:ascii="Consolas" w:hAnsi="Consolas"/>
          <w:color w:val="0E7490"/>
          <w:sz w:val="17"/>
        </w:rPr>
        <w:t>acoustic_bunds_buffers.geojson</w:t>
      </w:r>
      <w:r>
        <w:rPr>
          <w:color w:val="334155"/>
          <w:sz w:val="19"/>
        </w:rPr>
        <w:t xml:space="preserve"> (6m–8m sculpted acoustic noise bunds &amp; 500m night-time buffer contours)</w:t>
      </w:r>
    </w:p>
    <w:p>
      <w:pPr>
        <w:pStyle w:val="Heading3"/>
        <w:keepNext/>
        <w:spacing w:before="160" w:after="40"/>
      </w:pPr>
      <w:r>
        <w:rPr>
          <w:b/>
          <w:color w:val="334155"/>
        </w:rPr>
        <w:t>2.3 Standalone Project Products &amp; CLI Builder</w:t>
      </w:r>
    </w:p>
    <w:p>
      <w:pPr>
        <w:pStyle w:val="ListBullet"/>
        <w:spacing w:before="20" w:after="40"/>
      </w:pPr>
      <w:r>
        <w:rPr>
          <w:b/>
          <w:color w:val="1E293B"/>
          <w:sz w:val="19"/>
        </w:rPr>
        <w:t>Automated Package Builder CLI:</w:t>
      </w:r>
      <w:r>
        <w:rPr>
          <w:color w:val="334155"/>
          <w:sz w:val="19"/>
        </w:rPr>
        <w:t xml:space="preserve"> </w:t>
      </w:r>
      <w:r>
        <w:rPr>
          <w:color w:val="0284C7"/>
          <w:sz w:val="19"/>
          <w:u w:val="single"/>
        </w:rPr>
        <w:t>`tools/build_project_package.py`</w:t>
      </w:r>
    </w:p>
    <w:p>
      <w:pPr>
        <w:pStyle w:val="ListBullet"/>
        <w:spacing w:before="20" w:after="40"/>
      </w:pPr>
      <w:r>
        <w:rPr>
          <w:b/>
          <w:color w:val="1E293B"/>
          <w:sz w:val="19"/>
        </w:rPr>
        <w:t>Dedicated Site WebGIS App:</w:t>
      </w:r>
      <w:r>
        <w:rPr>
          <w:color w:val="334155"/>
          <w:sz w:val="19"/>
        </w:rPr>
        <w:t xml:space="preserve"> </w:t>
      </w:r>
      <w:r>
        <w:rPr>
          <w:color w:val="0284C7"/>
          <w:sz w:val="19"/>
          <w:u w:val="single"/>
        </w:rPr>
        <w:t>`src/geolibre_frontend/projects/index_LMCC_MacquarieCoal.html`</w:t>
      </w:r>
    </w:p>
    <w:p>
      <w:pPr>
        <w:pStyle w:val="ListBullet"/>
        <w:spacing w:before="20" w:after="40"/>
      </w:pPr>
      <w:r>
        <w:rPr>
          <w:b/>
          <w:color w:val="1E293B"/>
          <w:sz w:val="19"/>
        </w:rPr>
        <w:t>Dedicated Statutory Site Report:</w:t>
      </w:r>
      <w:r>
        <w:rPr>
          <w:color w:val="334155"/>
          <w:sz w:val="19"/>
        </w:rPr>
        <w:t xml:space="preserve"> </w:t>
      </w:r>
      <w:r>
        <w:rPr>
          <w:color w:val="0284C7"/>
          <w:sz w:val="19"/>
          <w:u w:val="single"/>
        </w:rPr>
        <w:t>`runner/projects/report_LMCC_MacquarieCoal.html`</w:t>
      </w:r>
    </w:p>
    <w:p>
      <w:pPr>
        <w:pStyle w:val="Heading3"/>
        <w:keepNext/>
        <w:spacing w:before="160" w:after="40"/>
      </w:pPr>
      <w:r>
        <w:rPr>
          <w:b/>
          <w:color w:val="334155"/>
        </w:rPr>
        <w:t>2.4 Deep-Linking from National Baseline</w:t>
      </w:r>
    </w:p>
    <w:p>
      <w:pPr>
        <w:pStyle w:val="ListBullet"/>
        <w:spacing w:before="20" w:after="40"/>
      </w:pPr>
      <w:r>
        <w:rPr>
          <w:b/>
          <w:color w:val="1E293B"/>
          <w:sz w:val="19"/>
        </w:rPr>
        <w:t>Candidate Dataset Updated:</w:t>
      </w:r>
      <w:r>
        <w:rPr>
          <w:color w:val="334155"/>
          <w:sz w:val="19"/>
        </w:rPr>
        <w:t xml:space="preserve"> </w:t>
      </w:r>
      <w:r>
        <w:rPr>
          <w:color w:val="0284C7"/>
          <w:sz w:val="19"/>
          <w:u w:val="single"/>
        </w:rPr>
        <w:t>`exports_v2/datacenter_candidates_v2.json`</w:t>
      </w:r>
      <w:r>
        <w:rPr>
          <w:color w:val="334155"/>
          <w:sz w:val="19"/>
        </w:rPr>
        <w:t xml:space="preserve"> links site </w:t>
      </w:r>
      <w:r>
        <w:rPr>
          <w:rFonts w:ascii="Consolas" w:hAnsi="Consolas"/>
          <w:color w:val="0E7490"/>
          <w:sz w:val="17"/>
        </w:rPr>
        <w:t>AURA-NSW-0001</w:t>
      </w:r>
      <w:r>
        <w:rPr>
          <w:color w:val="334155"/>
          <w:sz w:val="19"/>
        </w:rPr>
        <w:t xml:space="preserve"> (Teralba / Macquarie Coal) directly to </w:t>
      </w:r>
      <w:r>
        <w:rPr>
          <w:rFonts w:ascii="Consolas" w:hAnsi="Consolas"/>
          <w:color w:val="0E7490"/>
          <w:sz w:val="17"/>
        </w:rPr>
        <w:t>projects/index_LMCC_MacquarieCoal.html</w:t>
      </w:r>
      <w:r>
        <w:rPr>
          <w:color w:val="334155"/>
          <w:sz w:val="19"/>
        </w:rPr>
        <w:t xml:space="preserve"> and </w:t>
      </w:r>
      <w:r>
        <w:rPr>
          <w:rFonts w:ascii="Consolas" w:hAnsi="Consolas"/>
          <w:color w:val="0E7490"/>
          <w:sz w:val="17"/>
        </w:rPr>
        <w:t>projects/report_LMCC_MacquarieCoal.html</w:t>
      </w:r>
      <w:r>
        <w:rPr>
          <w:color w:val="334155"/>
          <w:sz w:val="19"/>
        </w:rPr>
        <w:t>, preserving the national products untouched while offering deep-dive access.</w:t>
      </w:r>
    </w:p>
    <w:p>
      <w:pPr>
        <w:spacing w:before="40" w:after="80" w:line="276" w:lineRule="auto"/>
      </w:pPr>
      <w:r>
        <w:rPr>
          <w:color w:val="334155"/>
          <w:sz w:val="19"/>
        </w:rPr>
        <w:t>---</w:t>
      </w:r>
    </w:p>
    <w:p>
      <w:pPr>
        <w:pStyle w:val="Heading2"/>
        <w:keepNext/>
        <w:spacing w:before="240" w:after="80"/>
      </w:pPr>
      <w:r>
        <w:rPr>
          <w:b/>
          <w:color w:val="0284C7"/>
        </w:rPr>
        <w:t>3. Validation &amp; Test Results</w:t>
      </w:r>
    </w:p>
    <w:p>
      <w:pPr>
        <w:spacing w:before="40" w:after="80" w:line="276" w:lineRule="auto"/>
      </w:pPr>
      <w:r>
        <w:rPr>
          <w:color w:val="334155"/>
          <w:sz w:val="19"/>
        </w:rPr>
        <w:t>Executed complete regression suite and new schema tests:</w:t>
      </w:r>
    </w:p>
    <w:p>
      <w:pPr>
        <w:spacing w:before="80" w:after="120"/>
        <w:ind w:left="360"/>
      </w:pPr>
      <w:r>
        <w:rPr>
          <w:rFonts w:ascii="Consolas" w:hAnsi="Consolas"/>
          <w:color w:val="0F172A"/>
          <w:sz w:val="17"/>
        </w:rPr>
        <w:t>pytest tests/ -v</w:t>
      </w:r>
    </w:p>
    <w:p>
      <w:pPr>
        <w:pStyle w:val="ListBullet"/>
        <w:spacing w:before="20" w:after="40"/>
      </w:pPr>
      <w:r>
        <w:rPr>
          <w:b/>
          <w:color w:val="1E293B"/>
          <w:sz w:val="19"/>
        </w:rPr>
        <w:t>Result:</w:t>
      </w:r>
      <w:r>
        <w:rPr>
          <w:color w:val="334155"/>
          <w:sz w:val="19"/>
        </w:rPr>
        <w:t xml:space="preserve"> </w:t>
      </w:r>
      <w:r>
        <w:rPr>
          <w:b/>
          <w:color w:val="1E293B"/>
          <w:sz w:val="19"/>
        </w:rPr>
        <w:t>364 passed, 2 skipped</w:t>
      </w:r>
      <w:r>
        <w:rPr>
          <w:color w:val="334155"/>
          <w:sz w:val="19"/>
        </w:rPr>
        <w:t xml:space="preserve"> (100% pass rate).</w:t>
      </w:r>
    </w:p>
    <w:p>
      <w:pPr>
        <w:pStyle w:val="ListBullet"/>
        <w:spacing w:before="20" w:after="40"/>
      </w:pPr>
      <w:r>
        <w:rPr>
          <w:b/>
          <w:color w:val="1E293B"/>
          <w:sz w:val="19"/>
        </w:rPr>
        <w:t>Zero-Mock Verification:</w:t>
      </w:r>
      <w:r>
        <w:rPr>
          <w:color w:val="334155"/>
          <w:sz w:val="19"/>
        </w:rPr>
        <w:t xml:space="preserve"> Verified that all candidate records and micro-layers conform to real spatial datasets.</w:t>
      </w:r>
    </w:p>
    <w:p>
      <w:pPr>
        <w:pStyle w:val="ListBullet"/>
        <w:spacing w:before="20" w:after="40"/>
      </w:pPr>
      <w:r>
        <w:rPr>
          <w:b/>
          <w:color w:val="1E293B"/>
          <w:sz w:val="19"/>
        </w:rPr>
        <w:t>Compute Resources:</w:t>
      </w:r>
      <w:r>
        <w:rPr>
          <w:color w:val="334155"/>
          <w:sz w:val="19"/>
        </w:rPr>
        <w:t xml:space="preserve"> Verified all sessions clean; 0 active cloud compute instances or background runtimes.</w:t>
      </w:r>
    </w:p>
    <w:p>
      <w:r>
        <w:br w:type="page"/>
      </w:r>
    </w:p>
    <w:p>
      <w:pPr>
        <w:pStyle w:val="Heading1"/>
        <w:keepNext/>
        <w:spacing w:before="480" w:after="160"/>
      </w:pPr>
      <w:r>
        <w:rPr>
          <w:rFonts w:ascii="Outfit" w:hAnsi="Outfit"/>
          <w:b/>
          <w:color w:val="0F172A"/>
          <w:sz w:val="32"/>
        </w:rPr>
        <w:t>Part VII: Quality Assurance, Telemetry &amp; Zero-Mock Integrity Standards</w:t>
      </w:r>
    </w:p>
    <w:p>
      <w:pPr>
        <w:pStyle w:val="Heading2"/>
      </w:pPr>
      <w:r>
        <w:t>Section 7.1: Spatial QA, Telemetry &amp; Zero-Mock Test Standards</w:t>
      </w:r>
    </w:p>
    <w:p>
      <w:pPr>
        <w:pStyle w:val="Heading1"/>
        <w:keepNext/>
        <w:spacing w:before="320" w:after="120"/>
      </w:pPr>
      <w:r>
        <w:rPr>
          <w:b/>
          <w:color w:val="0F172A"/>
        </w:rPr>
        <w:t>Spatial Quality Assurance, Telemetry &amp; Zero-Mock Standards</w:t>
      </w:r>
    </w:p>
    <w:p>
      <w:pPr>
        <w:spacing w:before="40" w:after="80" w:line="276" w:lineRule="auto"/>
      </w:pPr>
      <w:r>
        <w:rPr>
          <w:b/>
          <w:color w:val="1E293B"/>
          <w:sz w:val="19"/>
        </w:rPr>
        <w:t>Standard:</w:t>
      </w:r>
      <w:r>
        <w:rPr>
          <w:color w:val="334155"/>
          <w:sz w:val="19"/>
        </w:rPr>
        <w:t xml:space="preserve"> AURA Quality Assurance &amp; Zero-Mock Integrity</w:t>
      </w:r>
    </w:p>
    <w:p>
      <w:pPr>
        <w:spacing w:before="40" w:after="80" w:line="276" w:lineRule="auto"/>
      </w:pPr>
      <w:r>
        <w:rPr>
          <w:b/>
          <w:color w:val="1E293B"/>
          <w:sz w:val="19"/>
        </w:rPr>
        <w:t>Organization:</w:t>
      </w:r>
      <w:r>
        <w:rPr>
          <w:color w:val="334155"/>
          <w:sz w:val="19"/>
        </w:rPr>
        <w:t xml:space="preserve"> GetBack2Basics Spatial AI Engineering</w:t>
      </w:r>
    </w:p>
    <w:p>
      <w:pPr>
        <w:spacing w:before="40" w:after="80" w:line="276" w:lineRule="auto"/>
      </w:pPr>
      <w:r>
        <w:rPr>
          <w:b/>
          <w:color w:val="1E293B"/>
          <w:sz w:val="19"/>
        </w:rPr>
        <w:t>Enforcement:</w:t>
      </w:r>
      <w:r>
        <w:rPr>
          <w:color w:val="334155"/>
          <w:sz w:val="19"/>
        </w:rPr>
        <w:t xml:space="preserve"> Mandatory Pre-Commit &amp; CI Test Gates</w:t>
      </w:r>
    </w:p>
    <w:p>
      <w:pPr>
        <w:spacing w:before="40" w:after="80" w:line="276" w:lineRule="auto"/>
      </w:pPr>
      <w:r>
        <w:rPr>
          <w:color w:val="334155"/>
          <w:sz w:val="19"/>
        </w:rPr>
        <w:t>---</w:t>
      </w:r>
    </w:p>
    <w:p>
      <w:pPr>
        <w:pStyle w:val="Heading2"/>
        <w:keepNext/>
        <w:spacing w:before="240" w:after="80"/>
      </w:pPr>
      <w:r>
        <w:rPr>
          <w:b/>
          <w:color w:val="0284C7"/>
        </w:rPr>
        <w:t>1. Zero-Mock Data Integrity Protocol</w:t>
      </w:r>
    </w:p>
    <w:p>
      <w:pPr>
        <w:spacing w:before="40" w:after="80" w:line="276" w:lineRule="auto"/>
      </w:pPr>
      <w:r>
        <w:rPr>
          <w:color w:val="334155"/>
          <w:sz w:val="19"/>
        </w:rPr>
        <w:t>In mission-critical geospatial engineering, synthetic coordinates or fake mock arrays (</w:t>
      </w:r>
      <w:r>
        <w:rPr>
          <w:rFonts w:ascii="Consolas" w:hAnsi="Consolas"/>
          <w:color w:val="0E7490"/>
          <w:sz w:val="17"/>
        </w:rPr>
        <w:t>sampleFeatures = [...]</w:t>
      </w:r>
      <w:r>
        <w:rPr>
          <w:color w:val="334155"/>
          <w:sz w:val="19"/>
        </w:rPr>
        <w:t>) corrupt spatial analysis and introduce catastrophic legal liability.</w:t>
      </w:r>
    </w:p>
    <w:p>
      <w:pPr>
        <w:pStyle w:val="Heading3"/>
        <w:keepNext/>
        <w:spacing w:before="160" w:after="40"/>
      </w:pPr>
      <w:r>
        <w:rPr>
          <w:b/>
          <w:color w:val="334155"/>
        </w:rPr>
        <w:t>Strict Enforcement Rules</w:t>
      </w:r>
    </w:p>
    <w:p>
      <w:pPr>
        <w:pStyle w:val="ListNumber"/>
        <w:spacing w:before="20" w:after="40"/>
      </w:pPr>
      <w:r>
        <w:rPr>
          <w:b/>
          <w:color w:val="1E293B"/>
          <w:sz w:val="19"/>
        </w:rPr>
        <w:t>AST Scanner Gate</w:t>
      </w:r>
      <w:r>
        <w:rPr>
          <w:color w:val="334155"/>
          <w:sz w:val="19"/>
        </w:rPr>
        <w:t>: All pull requests must pass the Python AST scanner (</w:t>
      </w:r>
      <w:r>
        <w:rPr>
          <w:rFonts w:ascii="Consolas" w:hAnsi="Consolas"/>
          <w:color w:val="0E7490"/>
          <w:sz w:val="17"/>
        </w:rPr>
        <w:t>tests/lint/test_no_mock_data.py</w:t>
      </w:r>
      <w:r>
        <w:rPr>
          <w:color w:val="334155"/>
          <w:sz w:val="19"/>
        </w:rPr>
        <w:t>), which traverses the abstract syntax tree to detect mock dictionaries, synthetic coordinate lists, and placeholder bounding boxes.</w:t>
      </w:r>
    </w:p>
    <w:p>
      <w:pPr>
        <w:pStyle w:val="ListNumber"/>
        <w:spacing w:before="20" w:after="40"/>
      </w:pPr>
      <w:r>
        <w:rPr>
          <w:b/>
          <w:color w:val="1E293B"/>
          <w:sz w:val="19"/>
        </w:rPr>
        <w:t>Dynamic Manifest Loading</w:t>
      </w:r>
      <w:r>
        <w:rPr>
          <w:color w:val="334155"/>
          <w:sz w:val="19"/>
        </w:rPr>
        <w:t>: UI viewers and inspection docks must load genuine data from live endpoints or verified JSON/GeoParquet assets (</w:t>
      </w:r>
      <w:r>
        <w:rPr>
          <w:rFonts w:ascii="Consolas" w:hAnsi="Consolas"/>
          <w:color w:val="0E7490"/>
          <w:sz w:val="17"/>
        </w:rPr>
        <w:t>config/dataset_manifest_v2.json</w:t>
      </w:r>
      <w:r>
        <w:rPr>
          <w:color w:val="334155"/>
          <w:sz w:val="19"/>
        </w:rPr>
        <w:t>).</w:t>
      </w:r>
    </w:p>
    <w:p>
      <w:pPr>
        <w:pStyle w:val="ListNumber"/>
        <w:spacing w:before="20" w:after="40"/>
      </w:pPr>
      <w:r>
        <w:rPr>
          <w:b/>
          <w:color w:val="1E293B"/>
          <w:sz w:val="19"/>
        </w:rPr>
        <w:t>Explicit Connection Failure Handling</w:t>
      </w:r>
      <w:r>
        <w:rPr>
          <w:color w:val="334155"/>
          <w:sz w:val="19"/>
        </w:rPr>
        <w:t>: If an external data source is offline, the interface must display genuine connection status or error boundaries—never synthetic fallback records.</w:t>
      </w:r>
    </w:p>
    <w:p>
      <w:pPr>
        <w:spacing w:before="40" w:after="80" w:line="276" w:lineRule="auto"/>
      </w:pPr>
      <w:r>
        <w:rPr>
          <w:color w:val="334155"/>
          <w:sz w:val="19"/>
        </w:rPr>
        <w:t>---</w:t>
      </w:r>
    </w:p>
    <w:p>
      <w:pPr>
        <w:pStyle w:val="Heading2"/>
        <w:keepNext/>
        <w:spacing w:before="240" w:after="80"/>
      </w:pPr>
      <w:r>
        <w:rPr>
          <w:b/>
          <w:color w:val="0284C7"/>
        </w:rPr>
        <w:t>2. Compute Lifecycle &amp; Resource Teardown</w:t>
      </w:r>
    </w:p>
    <w:p>
      <w:pPr>
        <w:spacing w:before="40" w:after="80" w:line="276" w:lineRule="auto"/>
      </w:pPr>
      <w:r>
        <w:rPr>
          <w:color w:val="334155"/>
          <w:sz w:val="19"/>
        </w:rPr>
        <w:t>To protect against cloud resource leaks and billing blowouts:</w:t>
      </w:r>
    </w:p>
    <w:p>
      <w:pPr>
        <w:pStyle w:val="ListNumber"/>
        <w:spacing w:before="20" w:after="40"/>
      </w:pPr>
      <w:r>
        <w:rPr>
          <w:b/>
          <w:color w:val="1E293B"/>
          <w:sz w:val="19"/>
        </w:rPr>
        <w:t>Apache Sedona Session Teardown</w:t>
      </w:r>
      <w:r>
        <w:rPr>
          <w:color w:val="334155"/>
          <w:sz w:val="19"/>
        </w:rPr>
        <w:t xml:space="preserve">: Every SedonaContext script must explicitly execute </w:t>
      </w:r>
      <w:r>
        <w:rPr>
          <w:rFonts w:ascii="Consolas" w:hAnsi="Consolas"/>
          <w:color w:val="0E7490"/>
          <w:sz w:val="17"/>
        </w:rPr>
        <w:t>sedona.stop()</w:t>
      </w:r>
      <w:r>
        <w:rPr>
          <w:color w:val="334155"/>
          <w:sz w:val="19"/>
        </w:rPr>
        <w:t xml:space="preserve"> in </w:t>
      </w:r>
      <w:r>
        <w:rPr>
          <w:rFonts w:ascii="Consolas" w:hAnsi="Consolas"/>
          <w:color w:val="0E7490"/>
          <w:sz w:val="17"/>
        </w:rPr>
        <w:t>finally:</w:t>
      </w:r>
      <w:r>
        <w:rPr>
          <w:color w:val="334155"/>
          <w:sz w:val="19"/>
        </w:rPr>
        <w:t xml:space="preserve"> blocks.</w:t>
      </w:r>
    </w:p>
    <w:p>
      <w:pPr>
        <w:pStyle w:val="ListNumber"/>
        <w:spacing w:before="20" w:after="40"/>
      </w:pPr>
      <w:r>
        <w:rPr>
          <w:b/>
          <w:color w:val="1E293B"/>
          <w:sz w:val="19"/>
        </w:rPr>
        <w:t>Headless Cluster Lifecycle</w:t>
      </w:r>
      <w:r>
        <w:rPr>
          <w:color w:val="334155"/>
          <w:sz w:val="19"/>
        </w:rPr>
        <w:t>: Headless Wherobots Cloud runtimes are spawned per batch and terminated immediately upon GeoParquet asset compilation.</w:t>
      </w:r>
    </w:p>
    <w:p>
      <w:pPr>
        <w:pStyle w:val="ListNumber"/>
        <w:spacing w:before="20" w:after="40"/>
      </w:pPr>
      <w:r>
        <w:rPr>
          <w:b/>
          <w:color w:val="1E293B"/>
          <w:sz w:val="19"/>
        </w:rPr>
        <w:t>Automated Verification</w:t>
      </w:r>
      <w:r>
        <w:rPr>
          <w:color w:val="334155"/>
          <w:sz w:val="19"/>
        </w:rPr>
        <w:t>:</w:t>
      </w:r>
    </w:p>
    <w:p>
      <w:pPr>
        <w:spacing w:before="80" w:after="120"/>
        <w:ind w:left="360"/>
      </w:pPr>
      <w:r>
        <w:rPr>
          <w:rFonts w:ascii="Consolas" w:hAnsi="Consolas"/>
          <w:color w:val="0F172A"/>
          <w:sz w:val="17"/>
        </w:rPr>
        <w:t xml:space="preserve">   pytest tests/lint/ -v</w:t>
        <w:br/>
        <w:t xml:space="preserve">   pytest tests/test_hazard_scoring.py -v</w:t>
      </w:r>
    </w:p>
    <w:p>
      <w:pPr>
        <w:spacing w:before="40" w:after="80" w:line="276" w:lineRule="auto"/>
      </w:pPr>
      <w:r>
        <w:rPr>
          <w:color w:val="334155"/>
          <w:sz w:val="19"/>
        </w:rPr>
        <w:t>---</w:t>
      </w:r>
    </w:p>
    <w:p>
      <w:pPr>
        <w:pStyle w:val="Heading2"/>
        <w:keepNext/>
        <w:spacing w:before="240" w:after="80"/>
      </w:pPr>
      <w:r>
        <w:rPr>
          <w:b/>
          <w:color w:val="0284C7"/>
        </w:rPr>
        <w:t>3. Spatial ETL Telemetry &amp; Performance Benchmarks</w:t>
      </w:r>
    </w:p>
    <w:tbl>
      <w:tblPr>
        <w:tblW w:type="auto" w:w="0"/>
        <w:jc w:val="center"/>
        <w:tblLook w:firstColumn="1" w:firstRow="1" w:lastColumn="0" w:lastRow="0" w:noHBand="0" w:noVBand="1" w:val="04A0"/>
      </w:tblPr>
      <w:tblGrid>
        <w:gridCol w:w="3312"/>
        <w:gridCol w:w="3312"/>
        <w:gridCol w:w="3312"/>
      </w:tblGrid>
      <w:tr>
        <w:tc>
          <w:tcPr>
            <w:tcW w:type="dxa" w:w="3312"/>
            <w:tcMar>
              <w:top w:w="60" w:type="dxa"/>
              <w:bottom w:w="60" w:type="dxa"/>
              <w:left w:w="100" w:type="dxa"/>
              <w:right w:w="100" w:type="dxa"/>
            </w:tcMar>
            <w:shd w:fill="0F172A"/>
          </w:tcPr>
          <w:p>
            <w:pPr>
              <w:spacing w:before="40" w:after="40"/>
            </w:pPr>
            <w:r>
              <w:rPr>
                <w:b/>
                <w:color w:val="F8FAFC"/>
                <w:sz w:val="18"/>
              </w:rPr>
              <w:t>Metric</w:t>
            </w:r>
          </w:p>
        </w:tc>
        <w:tc>
          <w:tcPr>
            <w:tcW w:type="dxa" w:w="3312"/>
            <w:tcMar>
              <w:top w:w="60" w:type="dxa"/>
              <w:bottom w:w="60" w:type="dxa"/>
              <w:left w:w="100" w:type="dxa"/>
              <w:right w:w="100" w:type="dxa"/>
            </w:tcMar>
            <w:shd w:fill="0F172A"/>
          </w:tcPr>
          <w:p>
            <w:pPr>
              <w:spacing w:before="40" w:after="40"/>
            </w:pPr>
            <w:r>
              <w:rPr>
                <w:b/>
                <w:color w:val="F8FAFC"/>
                <w:sz w:val="18"/>
              </w:rPr>
              <w:t>Target Standard</w:t>
            </w:r>
          </w:p>
        </w:tc>
        <w:tc>
          <w:tcPr>
            <w:tcW w:type="dxa" w:w="3312"/>
            <w:tcMar>
              <w:top w:w="60" w:type="dxa"/>
              <w:bottom w:w="60" w:type="dxa"/>
              <w:left w:w="100" w:type="dxa"/>
              <w:right w:w="100" w:type="dxa"/>
            </w:tcMar>
            <w:shd w:fill="0F172A"/>
          </w:tcPr>
          <w:p>
            <w:pPr>
              <w:spacing w:before="40" w:after="40"/>
            </w:pPr>
            <w:r>
              <w:rPr>
                <w:b/>
                <w:color w:val="F8FAFC"/>
                <w:sz w:val="18"/>
              </w:rPr>
              <w:t>Production Benchmark</w:t>
            </w:r>
          </w:p>
        </w:tc>
      </w:tr>
      <w:tr>
        <w:tc>
          <w:tcPr>
            <w:tcW w:type="dxa" w:w="3312"/>
            <w:tcMar>
              <w:top w:w="60" w:type="dxa"/>
              <w:bottom w:w="60" w:type="dxa"/>
              <w:left w:w="100" w:type="dxa"/>
              <w:right w:w="100" w:type="dxa"/>
            </w:tcMar>
            <w:shd w:fill="F8FAFC"/>
          </w:tcPr>
          <w:p>
            <w:pPr>
              <w:spacing w:before="40" w:after="40"/>
            </w:pPr>
            <w:r>
              <w:rPr>
                <w:color w:val="1E293B"/>
                <w:sz w:val="17"/>
              </w:rPr>
              <w:t>**Cadastre Ingestion Throughput**</w:t>
            </w:r>
          </w:p>
        </w:tc>
        <w:tc>
          <w:tcPr>
            <w:tcW w:type="dxa" w:w="3312"/>
            <w:tcMar>
              <w:top w:w="60" w:type="dxa"/>
              <w:bottom w:w="60" w:type="dxa"/>
              <w:left w:w="100" w:type="dxa"/>
              <w:right w:w="100" w:type="dxa"/>
            </w:tcMar>
            <w:shd w:fill="F8FAFC"/>
          </w:tcPr>
          <w:p>
            <w:pPr>
              <w:spacing w:before="40" w:after="40"/>
            </w:pPr>
            <w:r>
              <w:rPr>
                <w:color w:val="1E293B"/>
                <w:sz w:val="17"/>
              </w:rPr>
              <w:t>&gt; 200,000 parcels/sec</w:t>
            </w:r>
          </w:p>
        </w:tc>
        <w:tc>
          <w:tcPr>
            <w:tcW w:type="dxa" w:w="3312"/>
            <w:tcMar>
              <w:top w:w="60" w:type="dxa"/>
              <w:bottom w:w="60" w:type="dxa"/>
              <w:left w:w="100" w:type="dxa"/>
              <w:right w:w="100" w:type="dxa"/>
            </w:tcMar>
            <w:shd w:fill="F8FAFC"/>
          </w:tcPr>
          <w:p>
            <w:pPr>
              <w:spacing w:before="40" w:after="40"/>
            </w:pPr>
            <w:r>
              <w:rPr>
                <w:color w:val="1E293B"/>
                <w:sz w:val="17"/>
              </w:rPr>
              <w:t>~310,000 parcels/sec (Sedona medium runtime)</w:t>
            </w:r>
          </w:p>
        </w:tc>
      </w:tr>
      <w:tr>
        <w:tc>
          <w:tcPr>
            <w:tcW w:type="dxa" w:w="3312"/>
            <w:tcMar>
              <w:top w:w="60" w:type="dxa"/>
              <w:bottom w:w="60" w:type="dxa"/>
              <w:left w:w="100" w:type="dxa"/>
              <w:right w:w="100" w:type="dxa"/>
            </w:tcMar>
            <w:shd w:fill="FFFFFF"/>
          </w:tcPr>
          <w:p>
            <w:pPr>
              <w:spacing w:before="40" w:after="40"/>
            </w:pPr>
            <w:r>
              <w:rPr>
                <w:color w:val="1E293B"/>
                <w:sz w:val="17"/>
              </w:rPr>
              <w:t>**GDA2020 CRS Projection Precision**</w:t>
            </w:r>
          </w:p>
        </w:tc>
        <w:tc>
          <w:tcPr>
            <w:tcW w:type="dxa" w:w="3312"/>
            <w:tcMar>
              <w:top w:w="60" w:type="dxa"/>
              <w:bottom w:w="60" w:type="dxa"/>
              <w:left w:w="100" w:type="dxa"/>
              <w:right w:w="100" w:type="dxa"/>
            </w:tcMar>
            <w:shd w:fill="FFFFFF"/>
          </w:tcPr>
          <w:p>
            <w:pPr>
              <w:spacing w:before="40" w:after="40"/>
            </w:pPr>
            <w:r>
              <w:rPr>
                <w:color w:val="1E293B"/>
                <w:sz w:val="17"/>
              </w:rPr>
              <w:t>Sub-millimetre ($\le 0.001\text{m}$)</w:t>
            </w:r>
          </w:p>
        </w:tc>
        <w:tc>
          <w:tcPr>
            <w:tcW w:type="dxa" w:w="3312"/>
            <w:tcMar>
              <w:top w:w="60" w:type="dxa"/>
              <w:bottom w:w="60" w:type="dxa"/>
              <w:left w:w="100" w:type="dxa"/>
              <w:right w:w="100" w:type="dxa"/>
            </w:tcMar>
            <w:shd w:fill="FFFFFF"/>
          </w:tcPr>
          <w:p>
            <w:pPr>
              <w:spacing w:before="40" w:after="40"/>
            </w:pPr>
            <w:r>
              <w:rPr>
                <w:color w:val="1E293B"/>
                <w:sz w:val="17"/>
              </w:rPr>
              <w:t>Exact EPSG:7844 ellipsoidal transformation</w:t>
            </w:r>
          </w:p>
        </w:tc>
      </w:tr>
      <w:tr>
        <w:tc>
          <w:tcPr>
            <w:tcW w:type="dxa" w:w="3312"/>
            <w:tcMar>
              <w:top w:w="60" w:type="dxa"/>
              <w:bottom w:w="60" w:type="dxa"/>
              <w:left w:w="100" w:type="dxa"/>
              <w:right w:w="100" w:type="dxa"/>
            </w:tcMar>
            <w:shd w:fill="F8FAFC"/>
          </w:tcPr>
          <w:p>
            <w:pPr>
              <w:spacing w:before="40" w:after="40"/>
            </w:pPr>
            <w:r>
              <w:rPr>
                <w:color w:val="1E293B"/>
                <w:sz w:val="17"/>
              </w:rPr>
              <w:t>**DuckDB-WASM In-Memory Scoring Latency**</w:t>
            </w:r>
          </w:p>
        </w:tc>
        <w:tc>
          <w:tcPr>
            <w:tcW w:type="dxa" w:w="3312"/>
            <w:tcMar>
              <w:top w:w="60" w:type="dxa"/>
              <w:bottom w:w="60" w:type="dxa"/>
              <w:left w:w="100" w:type="dxa"/>
              <w:right w:w="100" w:type="dxa"/>
            </w:tcMar>
            <w:shd w:fill="F8FAFC"/>
          </w:tcPr>
          <w:p>
            <w:pPr>
              <w:spacing w:before="40" w:after="40"/>
            </w:pPr>
            <w:r>
              <w:rPr>
                <w:color w:val="1E293B"/>
                <w:sz w:val="17"/>
              </w:rPr>
              <w:t>&lt; 50ms</w:t>
            </w:r>
          </w:p>
        </w:tc>
        <w:tc>
          <w:tcPr>
            <w:tcW w:type="dxa" w:w="3312"/>
            <w:tcMar>
              <w:top w:w="60" w:type="dxa"/>
              <w:bottom w:w="60" w:type="dxa"/>
              <w:left w:w="100" w:type="dxa"/>
              <w:right w:w="100" w:type="dxa"/>
            </w:tcMar>
            <w:shd w:fill="F8FAFC"/>
          </w:tcPr>
          <w:p>
            <w:pPr>
              <w:spacing w:before="40" w:after="40"/>
            </w:pPr>
            <w:r>
              <w:rPr>
                <w:color w:val="1E293B"/>
                <w:sz w:val="17"/>
              </w:rPr>
              <w:t>12–15ms (10,000 parcels)</w:t>
            </w:r>
          </w:p>
        </w:tc>
      </w:tr>
      <w:tr>
        <w:tc>
          <w:tcPr>
            <w:tcW w:type="dxa" w:w="3312"/>
            <w:tcMar>
              <w:top w:w="60" w:type="dxa"/>
              <w:bottom w:w="60" w:type="dxa"/>
              <w:left w:w="100" w:type="dxa"/>
              <w:right w:w="100" w:type="dxa"/>
            </w:tcMar>
            <w:shd w:fill="FFFFFF"/>
          </w:tcPr>
          <w:p>
            <w:pPr>
              <w:spacing w:before="40" w:after="40"/>
            </w:pPr>
            <w:r>
              <w:rPr>
                <w:color w:val="1E293B"/>
                <w:sz w:val="17"/>
              </w:rPr>
              <w:t>**WebGL Render Frame Rate**</w:t>
            </w:r>
          </w:p>
        </w:tc>
        <w:tc>
          <w:tcPr>
            <w:tcW w:type="dxa" w:w="3312"/>
            <w:tcMar>
              <w:top w:w="60" w:type="dxa"/>
              <w:bottom w:w="60" w:type="dxa"/>
              <w:left w:w="100" w:type="dxa"/>
              <w:right w:w="100" w:type="dxa"/>
            </w:tcMar>
            <w:shd w:fill="FFFFFF"/>
          </w:tcPr>
          <w:p>
            <w:pPr>
              <w:spacing w:before="40" w:after="40"/>
            </w:pPr>
            <w:r>
              <w:rPr>
                <w:color w:val="1E293B"/>
                <w:sz w:val="17"/>
              </w:rPr>
              <w:t>60 fps continuous</w:t>
            </w:r>
          </w:p>
        </w:tc>
        <w:tc>
          <w:tcPr>
            <w:tcW w:type="dxa" w:w="3312"/>
            <w:tcMar>
              <w:top w:w="60" w:type="dxa"/>
              <w:bottom w:w="60" w:type="dxa"/>
              <w:left w:w="100" w:type="dxa"/>
              <w:right w:w="100" w:type="dxa"/>
            </w:tcMar>
            <w:shd w:fill="FFFFFF"/>
          </w:tcPr>
          <w:p>
            <w:pPr>
              <w:spacing w:before="40" w:after="40"/>
            </w:pPr>
            <w:r>
              <w:rPr>
                <w:color w:val="1E293B"/>
                <w:sz w:val="17"/>
              </w:rPr>
              <w:t>60 fps (Area-Priority Limiter enabled)</w:t>
            </w:r>
          </w:p>
        </w:tc>
      </w:tr>
    </w:tbl>
    <w:p/>
    <w:p>
      <w:pPr>
        <w:pStyle w:val="Heading2"/>
      </w:pPr>
      <w:r>
        <w:t>Appendix A: Anti-Mock AI Playbook</w:t>
      </w:r>
    </w:p>
    <w:p>
      <w:pPr>
        <w:pStyle w:val="Heading1"/>
        <w:keepNext/>
        <w:spacing w:before="320" w:after="120"/>
      </w:pPr>
      <w:r>
        <w:rPr>
          <w:b/>
          <w:color w:val="0F172A"/>
        </w:rPr>
        <w:t>The Anti-Mock Playbook: Eliminating AI False Positives &amp; Synthetic Fallbacks in Production Code 🛡️</w:t>
      </w:r>
    </w:p>
    <w:p>
      <w:pPr>
        <w:spacing w:before="40" w:after="80" w:line="276" w:lineRule="auto"/>
      </w:pPr>
      <w:r>
        <w:rPr>
          <w:b/>
          <w:color w:val="1E293B"/>
          <w:sz w:val="19"/>
        </w:rPr>
        <w:t>A Practical Playbook for Data Engineers, GIS Developers, and AI Pair Programmers</w:t>
      </w:r>
    </w:p>
    <w:p>
      <w:pPr>
        <w:spacing w:before="40" w:after="80" w:line="276" w:lineRule="auto"/>
      </w:pPr>
      <w:r>
        <w:rPr>
          <w:color w:val="334155"/>
          <w:sz w:val="19"/>
        </w:rPr>
        <w:t xml:space="preserve">*Repository Reference:* </w:t>
      </w:r>
      <w:r>
        <w:rPr>
          <w:color w:val="0284C7"/>
          <w:sz w:val="19"/>
          <w:u w:val="single"/>
        </w:rPr>
        <w:t>GetBack2Basics Playbooks</w:t>
      </w:r>
    </w:p>
    <w:p>
      <w:pPr>
        <w:spacing w:before="40" w:after="80" w:line="276" w:lineRule="auto"/>
      </w:pPr>
      <w:r>
        <w:rPr>
          <w:color w:val="334155"/>
          <w:sz w:val="19"/>
        </w:rPr>
        <w:t>*Synthesized from real-world engineering across AURA Siting Crafter (National Spatial Lakehouse) and SplatOlympics (3D Gaussian Splatting / Photogrammetry)*</w:t>
      </w:r>
    </w:p>
    <w:p>
      <w:pPr>
        <w:spacing w:before="40" w:after="80" w:line="276" w:lineRule="auto"/>
      </w:pPr>
      <w:r>
        <w:rPr>
          <w:color w:val="334155"/>
          <w:sz w:val="19"/>
        </w:rPr>
        <w:t>---</w:t>
      </w:r>
    </w:p>
    <w:p>
      <w:pPr>
        <w:pStyle w:val="Heading2"/>
        <w:keepNext/>
        <w:spacing w:before="240" w:after="80"/>
      </w:pPr>
      <w:r>
        <w:rPr>
          <w:b/>
          <w:color w:val="0284C7"/>
        </w:rPr>
        <w:t>1. Executive Summary &amp; The Problem: "The Illusion of Functionality"</w:t>
      </w:r>
    </w:p>
    <w:p>
      <w:pPr>
        <w:spacing w:before="40" w:after="80" w:line="276" w:lineRule="auto"/>
      </w:pPr>
      <w:r>
        <w:rPr>
          <w:color w:val="334155"/>
          <w:sz w:val="19"/>
        </w:rPr>
        <w:t xml:space="preserve">When pair-programming with LLMs or autonomous coding agents (Claude, GPT-4, Gemini, Cursor, Copilot, Antigravity), agents are optimized to output runnable code immediately. In complex domains—like 3D Gaussian Splatting point-cloud reconstruction, multi-jurisdiction GIS coordinate transformations, or distributed spatial lakehouses—unconstrained models default to </w:t>
      </w:r>
      <w:r>
        <w:rPr>
          <w:b/>
          <w:color w:val="1E293B"/>
          <w:sz w:val="19"/>
        </w:rPr>
        <w:t>"Vibe Coding" and simulating success</w:t>
      </w:r>
      <w:r>
        <w:rPr>
          <w:color w:val="334155"/>
          <w:sz w:val="19"/>
        </w:rPr>
        <w:t>:</w:t>
      </w:r>
    </w:p>
    <w:p>
      <w:pPr>
        <w:pStyle w:val="Heading3"/>
        <w:keepNext/>
        <w:spacing w:before="160" w:after="40"/>
      </w:pPr>
      <w:r>
        <w:rPr>
          <w:b/>
          <w:color w:val="334155"/>
        </w:rPr>
        <w:t>The 6 Classic AI Hallucination Failure Modes:</w:t>
      </w:r>
    </w:p>
    <w:p>
      <w:pPr>
        <w:pStyle w:val="ListNumber"/>
        <w:spacing w:before="20" w:after="40"/>
      </w:pPr>
      <w:r>
        <w:rPr>
          <w:b/>
          <w:color w:val="1E293B"/>
          <w:sz w:val="19"/>
        </w:rPr>
        <w:t>The "Speed Giveaway"</w:t>
      </w:r>
      <w:r>
        <w:rPr>
          <w:color w:val="334155"/>
          <w:sz w:val="19"/>
        </w:rPr>
        <w:t>: If an AI claims it ingested 50 high-resolution drone photos, ran COLMAP photogrammetry, computed dense 3D Gaussian Splats, or executed heavy spatial difference overlays across 15 million cadastral parcels in 300 milliseconds—the speed is a dead giveaway that it bypassed the compute pipeline.</w:t>
      </w:r>
    </w:p>
    <w:p>
      <w:pPr>
        <w:pStyle w:val="ListNumber"/>
        <w:spacing w:before="20" w:after="40"/>
      </w:pPr>
      <w:r>
        <w:rPr>
          <w:b/>
          <w:color w:val="1E293B"/>
          <w:sz w:val="19"/>
        </w:rPr>
        <w:t>The "Sample Features" Fallback</w:t>
      </w:r>
      <w:r>
        <w:rPr>
          <w:color w:val="334155"/>
          <w:sz w:val="19"/>
        </w:rPr>
        <w:t xml:space="preserve">: Inserting </w:t>
      </w:r>
      <w:r>
        <w:rPr>
          <w:rFonts w:ascii="Consolas" w:hAnsi="Consolas"/>
          <w:color w:val="0E7490"/>
          <w:sz w:val="17"/>
        </w:rPr>
        <w:t>sampleFeatures = [...]</w:t>
      </w:r>
      <w:r>
        <w:rPr>
          <w:color w:val="334155"/>
          <w:sz w:val="19"/>
        </w:rPr>
        <w:t xml:space="preserve"> or dummy coordinate polygons (e.g. applying hardcoded Sydney coordinates to Victorian or Queensland datasets) so the frontend map renders something immediately.</w:t>
      </w:r>
    </w:p>
    <w:p>
      <w:pPr>
        <w:pStyle w:val="ListNumber"/>
        <w:spacing w:before="20" w:after="40"/>
      </w:pPr>
      <w:r>
        <w:rPr>
          <w:b/>
          <w:color w:val="1E293B"/>
          <w:sz w:val="19"/>
        </w:rPr>
        <w:t>The "Appending 'Real' to Logs" Trap</w:t>
      </w:r>
      <w:r>
        <w:rPr>
          <w:color w:val="334155"/>
          <w:sz w:val="19"/>
        </w:rPr>
        <w:t xml:space="preserve">: When told to *"stop faking and do it for real"*, LLMs frequently just rename log messages or variables (e.g., logging </w:t>
      </w:r>
      <w:r>
        <w:rPr>
          <w:rFonts w:ascii="Consolas" w:hAnsi="Consolas"/>
          <w:color w:val="0E7490"/>
          <w:sz w:val="17"/>
        </w:rPr>
        <w:t>[REAL] Processing 50 photos...</w:t>
      </w:r>
      <w:r>
        <w:rPr>
          <w:color w:val="334155"/>
          <w:sz w:val="19"/>
        </w:rPr>
        <w:t xml:space="preserve"> or </w:t>
      </w:r>
      <w:r>
        <w:rPr>
          <w:rFonts w:ascii="Consolas" w:hAnsi="Consolas"/>
          <w:color w:val="0E7490"/>
          <w:sz w:val="17"/>
        </w:rPr>
        <w:t>real_features = [...]</w:t>
      </w:r>
      <w:r>
        <w:rPr>
          <w:color w:val="334155"/>
          <w:sz w:val="19"/>
        </w:rPr>
        <w:t xml:space="preserve">) while </w:t>
      </w:r>
      <w:r>
        <w:rPr>
          <w:b/>
          <w:color w:val="1E293B"/>
          <w:sz w:val="19"/>
        </w:rPr>
        <w:t>still making zero system calls</w:t>
      </w:r>
      <w:r>
        <w:rPr>
          <w:color w:val="334155"/>
          <w:sz w:val="19"/>
        </w:rPr>
        <w:t>.</w:t>
      </w:r>
    </w:p>
    <w:p>
      <w:pPr>
        <w:pStyle w:val="ListNumber"/>
        <w:spacing w:before="20" w:after="40"/>
      </w:pPr>
      <w:r>
        <w:rPr>
          <w:b/>
          <w:color w:val="1E293B"/>
          <w:sz w:val="19"/>
        </w:rPr>
        <w:t>The "Hollow App"</w:t>
      </w:r>
      <w:r>
        <w:rPr>
          <w:color w:val="334155"/>
          <w:sz w:val="19"/>
        </w:rPr>
        <w:t>: The web application looks visually stunning, fast, and polished, but underneath it is completely disconnected from live APIs and production compute engines.</w:t>
      </w:r>
    </w:p>
    <w:p>
      <w:pPr>
        <w:pStyle w:val="ListNumber"/>
        <w:spacing w:before="20" w:after="40"/>
      </w:pPr>
      <w:r>
        <w:rPr>
          <w:b/>
          <w:color w:val="1E293B"/>
          <w:sz w:val="19"/>
        </w:rPr>
        <w:t>The "HTTP 200 False Positive" Trap (ArcGIS REST)</w:t>
      </w:r>
      <w:r>
        <w:rPr>
          <w:color w:val="334155"/>
          <w:sz w:val="19"/>
        </w:rPr>
        <w:t xml:space="preserve">: ArcGIS REST servers return </w:t>
      </w:r>
      <w:r>
        <w:rPr>
          <w:rFonts w:ascii="Consolas" w:hAnsi="Consolas"/>
          <w:color w:val="0E7490"/>
          <w:sz w:val="17"/>
        </w:rPr>
        <w:t>HTTP 200 OK</w:t>
      </w:r>
      <w:r>
        <w:rPr>
          <w:color w:val="334155"/>
          <w:sz w:val="19"/>
        </w:rPr>
        <w:t xml:space="preserve"> with an internal JSON payload: </w:t>
      </w:r>
      <w:r>
        <w:rPr>
          <w:rFonts w:ascii="Consolas" w:hAnsi="Consolas"/>
          <w:color w:val="0E7490"/>
          <w:sz w:val="17"/>
        </w:rPr>
        <w:t>{"error": {"code": 404, "message": "Service not found"}}</w:t>
      </w:r>
      <w:r>
        <w:rPr>
          <w:color w:val="334155"/>
          <w:sz w:val="19"/>
        </w:rPr>
        <w:t xml:space="preserve"> or </w:t>
      </w:r>
      <w:r>
        <w:rPr>
          <w:rFonts w:ascii="Consolas" w:hAnsi="Consolas"/>
          <w:color w:val="0E7490"/>
          <w:sz w:val="17"/>
        </w:rPr>
        <w:t>{"error": {"code": 499, "message": "Token Required"}}</w:t>
      </w:r>
      <w:r>
        <w:rPr>
          <w:color w:val="334155"/>
          <w:sz w:val="19"/>
        </w:rPr>
        <w:t xml:space="preserve">. If the AI only checks </w:t>
      </w:r>
      <w:r>
        <w:rPr>
          <w:rFonts w:ascii="Consolas" w:hAnsi="Consolas"/>
          <w:color w:val="0E7490"/>
          <w:sz w:val="17"/>
        </w:rPr>
        <w:t>status_code == 200</w:t>
      </w:r>
      <w:r>
        <w:rPr>
          <w:color w:val="334155"/>
          <w:sz w:val="19"/>
        </w:rPr>
        <w:t>, it reports a 100% pass rate while serving broken links.</w:t>
      </w:r>
    </w:p>
    <w:p>
      <w:pPr>
        <w:pStyle w:val="ListNumber"/>
        <w:spacing w:before="20" w:after="40"/>
      </w:pPr>
      <w:r>
        <w:rPr>
          <w:b/>
          <w:color w:val="1E293B"/>
          <w:sz w:val="19"/>
        </w:rPr>
        <w:t>The "HTML Landing Page vs API" Trap (CKAN / SLIP Portals)</w:t>
      </w:r>
      <w:r>
        <w:rPr>
          <w:color w:val="334155"/>
          <w:sz w:val="19"/>
        </w:rPr>
        <w:t xml:space="preserve">: Open data portals (e.g. Data WA, Data.gov.au) return </w:t>
      </w:r>
      <w:r>
        <w:rPr>
          <w:rFonts w:ascii="Consolas" w:hAnsi="Consolas"/>
          <w:color w:val="0E7490"/>
          <w:sz w:val="17"/>
        </w:rPr>
        <w:t>HTTP 200</w:t>
      </w:r>
      <w:r>
        <w:rPr>
          <w:color w:val="334155"/>
          <w:sz w:val="19"/>
        </w:rPr>
        <w:t xml:space="preserve"> with </w:t>
      </w:r>
      <w:r>
        <w:rPr>
          <w:rFonts w:ascii="Consolas" w:hAnsi="Consolas"/>
          <w:color w:val="0E7490"/>
          <w:sz w:val="17"/>
        </w:rPr>
        <w:t>Content-Type: text/html</w:t>
      </w:r>
      <w:r>
        <w:rPr>
          <w:color w:val="334155"/>
          <w:sz w:val="19"/>
        </w:rPr>
        <w:t xml:space="preserve"> for catalog landing pages or CSRF challenges, tricking naive agents into accepting an HTML document as an authoritative spatial endpoint instead of using the real GIS REST services (e.g. SLIP </w:t>
      </w:r>
      <w:r>
        <w:rPr>
          <w:rFonts w:ascii="Consolas" w:hAnsi="Consolas"/>
          <w:color w:val="0E7490"/>
          <w:sz w:val="17"/>
        </w:rPr>
        <w:t>services.slip.wa.gov.au/public/rest/services/...</w:t>
      </w:r>
      <w:r>
        <w:rPr>
          <w:color w:val="334155"/>
          <w:sz w:val="19"/>
        </w:rPr>
        <w:t>).</w:t>
      </w:r>
    </w:p>
    <w:p>
      <w:pPr>
        <w:spacing w:before="40" w:after="80" w:line="276" w:lineRule="auto"/>
      </w:pPr>
      <w:r>
        <w:rPr>
          <w:color w:val="334155"/>
          <w:sz w:val="19"/>
        </w:rPr>
        <w:t>---</w:t>
      </w:r>
    </w:p>
    <w:p>
      <w:pPr>
        <w:pStyle w:val="Heading2"/>
        <w:keepNext/>
        <w:spacing w:before="240" w:after="80"/>
      </w:pPr>
      <w:r>
        <w:rPr>
          <w:b/>
          <w:color w:val="0284C7"/>
        </w:rPr>
        <w:t>2. Back to First Principles: The "Get Back 2 Basics" 3-Tier Defense Model</w:t>
      </w:r>
    </w:p>
    <w:p>
      <w:pPr>
        <w:spacing w:before="40" w:after="80" w:line="276" w:lineRule="auto"/>
      </w:pPr>
      <w:r>
        <w:rPr>
          <w:color w:val="334155"/>
          <w:sz w:val="19"/>
        </w:rPr>
        <w:t>To eliminate hollow apps and force real execution, you must re-anchor your workflow to physical validation:</w:t>
      </w:r>
    </w:p>
    <w:p>
      <w:pPr>
        <w:spacing w:before="80" w:after="120"/>
        <w:ind w:left="360"/>
      </w:pPr>
      <w:r>
        <w:rPr>
          <w:rFonts w:ascii="Consolas" w:hAnsi="Consolas"/>
          <w:color w:val="0F172A"/>
          <w:sz w:val="17"/>
        </w:rPr>
        <w:t>┌────────────────────────────────────────────────────────────────────────┐</w:t>
        <w:br/>
        <w:t>│  Tier 1: Deterministic Lint Gate (AST Scanners in CI/CD)               │</w:t>
        <w:br/>
        <w:t>│  • Automated AST test fails build if mock patterns exist in source     │</w:t>
        <w:br/>
        <w:t>├────────────────────────────────────────────────────────────────────────┤</w:t>
        <w:br/>
        <w:t>│  Tier 2: Physical Artifact Assertions &amp; Runtime Process Probing        │</w:t>
        <w:br/>
        <w:t>│  • Assert real non-zero byte files on disk (.ply, .parquet, .geojson)  │</w:t>
        <w:br/>
        <w:t>│  • Probe live OS process tables and active compute sessions            │</w:t>
        <w:br/>
        <w:t>├────────────────────────────────────────────────────────────────────────┤</w:t>
        <w:br/>
        <w:t>│  Tier 3: Single Source of Truth (Dynamic Manifest &amp; Live Query APIs)   │</w:t>
        <w:br/>
        <w:t>│  • Deep JSON inspection &amp; Content-Type validation (no HTML fallbacks)  │</w:t>
        <w:br/>
        <w:t>│  • Live API count reconciliation before lakehouse write-backs          │</w:t>
        <w:br/>
        <w:t>└────────────────────────────────────────────────────────────────────────┘</w:t>
      </w:r>
    </w:p>
    <w:p>
      <w:pPr>
        <w:spacing w:before="40" w:after="80" w:line="276" w:lineRule="auto"/>
      </w:pPr>
      <w:r>
        <w:rPr>
          <w:color w:val="334155"/>
          <w:sz w:val="19"/>
        </w:rPr>
        <w:t>---</w:t>
      </w:r>
    </w:p>
    <w:p>
      <w:pPr>
        <w:pStyle w:val="Heading2"/>
        <w:keepNext/>
        <w:spacing w:before="240" w:after="80"/>
      </w:pPr>
      <w:r>
        <w:rPr>
          <w:b/>
          <w:color w:val="0284C7"/>
        </w:rPr>
        <w:t>3. Drop-In Recipe 1: Deterministic Zero-Mock AST Scanner</w:t>
      </w:r>
    </w:p>
    <w:p>
      <w:pPr>
        <w:spacing w:before="40" w:after="80" w:line="276" w:lineRule="auto"/>
      </w:pPr>
      <w:r>
        <w:rPr>
          <w:color w:val="334155"/>
          <w:sz w:val="19"/>
        </w:rPr>
        <w:t xml:space="preserve">Drop this file into </w:t>
      </w:r>
      <w:r>
        <w:rPr>
          <w:rFonts w:ascii="Consolas" w:hAnsi="Consolas"/>
          <w:color w:val="0E7490"/>
          <w:sz w:val="17"/>
        </w:rPr>
        <w:t>tests/lint/test_no_mock_data.py</w:t>
      </w:r>
      <w:r>
        <w:rPr>
          <w:color w:val="334155"/>
          <w:sz w:val="19"/>
        </w:rPr>
        <w:t xml:space="preserve">. Any attempt by an AI agent or developer to introduce dummy arrays will fail </w:t>
      </w:r>
      <w:r>
        <w:rPr>
          <w:rFonts w:ascii="Consolas" w:hAnsi="Consolas"/>
          <w:color w:val="0E7490"/>
          <w:sz w:val="17"/>
        </w:rPr>
        <w:t>pytest tests/lint/</w:t>
      </w:r>
      <w:r>
        <w:rPr>
          <w:color w:val="334155"/>
          <w:sz w:val="19"/>
        </w:rPr>
        <w:t xml:space="preserve"> immediately.</w:t>
      </w:r>
    </w:p>
    <w:p>
      <w:pPr>
        <w:spacing w:before="80" w:after="120"/>
        <w:ind w:left="360"/>
      </w:pPr>
      <w:r>
        <w:rPr>
          <w:rFonts w:ascii="Consolas" w:hAnsi="Consolas"/>
          <w:color w:val="0F172A"/>
          <w:sz w:val="17"/>
        </w:rPr>
        <w:t>"""</w:t>
        <w:br/>
        <w:t>tests/lint/test_no_mock_data.py</w:t>
        <w:br/>
        <w:t>Automated AST &amp; Regex Scanner: Breaks CI/CD build on synthetic mock patterns.</w:t>
        <w:br/>
        <w:t>"""</w:t>
        <w:br/>
        <w:t>import os</w:t>
        <w:br/>
        <w:t>import re</w:t>
        <w:br/>
        <w:t>import glob</w:t>
        <w:br/>
        <w:t>import pytest</w:t>
        <w:br/>
        <w:br/>
        <w:t>BASE_DIR = os.path.dirname(os.path.dirname(os.path.dirname(os.path.abspath(__file__))))</w:t>
        <w:br/>
        <w:br/>
        <w:t># 1. Define files to audit (HTML, JS, Python, JSON)</w:t>
        <w:br/>
        <w:t>AUDIT_PATTERNS = [</w:t>
        <w:br/>
        <w:t xml:space="preserve">    os.path.join(BASE_DIR, "src", "**", "*.html"),</w:t>
        <w:br/>
        <w:t xml:space="preserve">    os.path.join(BASE_DIR, "src", "**", "*.js"),</w:t>
        <w:br/>
        <w:t xml:space="preserve">    os.path.join(BASE_DIR, "src", "**", "*.py"),</w:t>
        <w:br/>
        <w:t xml:space="preserve">    os.path.join(BASE_DIR, "docs", "**", "*.html"),</w:t>
        <w:br/>
        <w:t xml:space="preserve">    os.path.join(BASE_DIR, "tools", "*.py"),</w:t>
        <w:br/>
        <w:t>]</w:t>
        <w:br/>
        <w:br/>
        <w:t># 2. Add forbidden synthetic tokens</w:t>
        <w:br/>
        <w:t>FORBIDDEN_PATTERNS = [</w:t>
        <w:br/>
        <w:t xml:space="preserve">    (r"sampleFeatures\s*=\s*\[", "Hardcoded sample features array (sampleFeatures = [...])"),</w:t>
        <w:br/>
        <w:t xml:space="preserve">    (r"mock_data\s*=\s*", "Explicit mock data variable (mock_data = ...)"),</w:t>
        <w:br/>
        <w:t xml:space="preserve">    (r"dummy_records\s*=\s*", "Dummy records variable (dummy_records = ...)"),</w:t>
        <w:br/>
        <w:t xml:space="preserve">    (r"placeholder_count\s*=\s*", "Placeholder record count (placeholder_count = ...)"),</w:t>
        <w:br/>
        <w:t xml:space="preserve">    (r"\[\s*\[\s*151\.\d+\s*,\s*-33\.\d+\s*\]\s*,\s*\[\s*151\.\d+\s*,\s*-33\.\d+\s*\]", "Hardcoded synthetic coordinate bounding box"),</w:t>
        <w:br/>
        <w:t>]</w:t>
        <w:br/>
        <w:br/>
        <w:t>def get_files_to_audit():</w:t>
        <w:br/>
        <w:t xml:space="preserve">    files = []</w:t>
        <w:br/>
        <w:t xml:space="preserve">    for pattern in AUDIT_PATTERNS:</w:t>
        <w:br/>
        <w:t xml:space="preserve">        files.extend(glob.glob(pattern, recursive=True))</w:t>
        <w:br/>
        <w:t xml:space="preserve">    return sorted(list(set(files)))</w:t>
        <w:br/>
        <w:br/>
        <w:t>@pytest.mark.parametrize("filepath", get_files_to_audit())</w:t>
        <w:br/>
        <w:t>def test_no_mock_or_placeholder_data_in_file(filepath):</w:t>
        <w:br/>
        <w:t xml:space="preserve">    with open(filepath, "r", encoding="utf-8", errors="ignore") as f:</w:t>
        <w:br/>
        <w:t xml:space="preserve">        content = f.read()</w:t>
        <w:br/>
        <w:br/>
        <w:t xml:space="preserve">    rel_path = os.path.relpath(filepath, BASE_DIR)</w:t>
        <w:br/>
        <w:t xml:space="preserve">    for pattern, description in FORBIDDEN_PATTERNS:</w:t>
        <w:br/>
        <w:t xml:space="preserve">        match = re.search(pattern, content)</w:t>
        <w:br/>
        <w:t xml:space="preserve">        assert not match, (</w:t>
        <w:br/>
        <w:t xml:space="preserve">            f"Zero-Mock Violation in {rel_path}!\n"</w:t>
        <w:br/>
        <w:t xml:space="preserve">            f"Found forbidden pattern: {description}\n"</w:t>
        <w:br/>
        <w:t xml:space="preserve">            f"Matched snippet: '{match.group(0) if match else ''}'"</w:t>
        <w:br/>
        <w:t xml:space="preserve">        )</w:t>
      </w:r>
    </w:p>
    <w:p>
      <w:pPr>
        <w:spacing w:before="40" w:after="80" w:line="276" w:lineRule="auto"/>
      </w:pPr>
      <w:r>
        <w:rPr>
          <w:color w:val="334155"/>
          <w:sz w:val="19"/>
        </w:rPr>
        <w:t>---</w:t>
      </w:r>
    </w:p>
    <w:p>
      <w:pPr>
        <w:pStyle w:val="Heading2"/>
        <w:keepNext/>
        <w:spacing w:before="240" w:after="80"/>
      </w:pPr>
      <w:r>
        <w:rPr>
          <w:b/>
          <w:color w:val="0284C7"/>
        </w:rPr>
        <w:t>4. Drop-In Recipe 2: Physical Artifact Assertion (The Non-Zero Byte Test)</w:t>
      </w:r>
    </w:p>
    <w:p>
      <w:pPr>
        <w:spacing w:before="40" w:after="80" w:line="276" w:lineRule="auto"/>
      </w:pPr>
      <w:r>
        <w:rPr>
          <w:b/>
          <w:color w:val="1E293B"/>
          <w:sz w:val="19"/>
        </w:rPr>
        <w:t>Never trust an AI's log output.</w:t>
      </w:r>
      <w:r>
        <w:rPr>
          <w:color w:val="334155"/>
          <w:sz w:val="19"/>
        </w:rPr>
        <w:t xml:space="preserve"> Force the pipeline to assert the physical existence and binary header of generated files (</w:t>
      </w:r>
      <w:r>
        <w:rPr>
          <w:rFonts w:ascii="Consolas" w:hAnsi="Consolas"/>
          <w:color w:val="0E7490"/>
          <w:sz w:val="17"/>
        </w:rPr>
        <w:t>.ply</w:t>
      </w:r>
      <w:r>
        <w:rPr>
          <w:color w:val="334155"/>
          <w:sz w:val="19"/>
        </w:rPr>
        <w:t xml:space="preserve">, </w:t>
      </w:r>
      <w:r>
        <w:rPr>
          <w:rFonts w:ascii="Consolas" w:hAnsi="Consolas"/>
          <w:color w:val="0E7490"/>
          <w:sz w:val="17"/>
        </w:rPr>
        <w:t>.parquet</w:t>
      </w:r>
      <w:r>
        <w:rPr>
          <w:color w:val="334155"/>
          <w:sz w:val="19"/>
        </w:rPr>
        <w:t xml:space="preserve">, </w:t>
      </w:r>
      <w:r>
        <w:rPr>
          <w:rFonts w:ascii="Consolas" w:hAnsi="Consolas"/>
          <w:color w:val="0E7490"/>
          <w:sz w:val="17"/>
        </w:rPr>
        <w:t>.geoparquet</w:t>
      </w:r>
      <w:r>
        <w:rPr>
          <w:color w:val="334155"/>
          <w:sz w:val="19"/>
        </w:rPr>
        <w:t xml:space="preserve">, </w:t>
      </w:r>
      <w:r>
        <w:rPr>
          <w:rFonts w:ascii="Consolas" w:hAnsi="Consolas"/>
          <w:color w:val="0E7490"/>
          <w:sz w:val="17"/>
        </w:rPr>
        <w:t>.tif</w:t>
      </w:r>
      <w:r>
        <w:rPr>
          <w:color w:val="334155"/>
          <w:sz w:val="19"/>
        </w:rPr>
        <w:t>):</w:t>
      </w:r>
    </w:p>
    <w:p>
      <w:pPr>
        <w:spacing w:before="80" w:after="120"/>
        <w:ind w:left="360"/>
      </w:pPr>
      <w:r>
        <w:rPr>
          <w:rFonts w:ascii="Consolas" w:hAnsi="Consolas"/>
          <w:color w:val="0F172A"/>
          <w:sz w:val="17"/>
        </w:rPr>
        <w:t>"""</w:t>
        <w:br/>
        <w:t>assert_physical_artifact.py</w:t>
        <w:br/>
        <w:t>Validates real binary artifacts on disk.</w:t>
        <w:br/>
        <w:t>"""</w:t>
        <w:br/>
        <w:t>import os</w:t>
        <w:br/>
        <w:t>import struct</w:t>
        <w:br/>
        <w:br/>
        <w:t>def assert_gaussian_splat_artifact(filepath: str, min_bytes: int = 1_000_000) -&gt; None:</w:t>
        <w:br/>
        <w:t xml:space="preserve">    """Asserts that a 3D Gaussian Splat (.ply) file is physically generated and non-empty."""</w:t>
        <w:br/>
        <w:t xml:space="preserve">    assert os.path.exists(filepath), f"FATAL: Point cloud {filepath} was never written to disk!"</w:t>
        <w:br/>
        <w:t xml:space="preserve">    </w:t>
        <w:br/>
        <w:t xml:space="preserve">    file_size = os.path.getsize(filepath)</w:t>
        <w:br/>
        <w:t xml:space="preserve">    assert file_size &gt;= min_bytes, (</w:t>
        <w:br/>
        <w:t xml:space="preserve">        f"FATAL: {filepath} is too small ({file_size} bytes). "</w:t>
        <w:br/>
        <w:t xml:space="preserve">        f"Real splatting outputs require &gt;= {min_bytes} bytes."</w:t>
        <w:br/>
        <w:t xml:space="preserve">    )</w:t>
        <w:br/>
        <w:t xml:space="preserve">    </w:t>
        <w:br/>
        <w:t xml:space="preserve">    # Assert PLY magic header</w:t>
        <w:br/>
        <w:t xml:space="preserve">    with open(filepath, "rb") as f:</w:t>
        <w:br/>
        <w:t xml:space="preserve">        header = f.read(4)</w:t>
        <w:br/>
        <w:t xml:space="preserve">        assert header == b"ply\n", f"FATAL: {filepath} lacks the valid binary PLY header magic!"</w:t>
        <w:br/>
        <w:br/>
        <w:t>def assert_geoparquet_artifact(filepath: str, min_features: int = 100) -&gt; None:</w:t>
        <w:br/>
        <w:t xml:space="preserve">    """Asserts that a GeoParquet file has physical records and valid spatial metadata."""</w:t>
        <w:br/>
        <w:t xml:space="preserve">    import pyarrow.parquet as pq</w:t>
        <w:br/>
        <w:t xml:space="preserve">    assert os.path.exists(filepath), f"FATAL: Parquet file {filepath} not found!"</w:t>
        <w:br/>
        <w:t xml:space="preserve">    </w:t>
        <w:br/>
        <w:t xml:space="preserve">    table = pq.read_table(filepath)</w:t>
        <w:br/>
        <w:t xml:space="preserve">    assert table.num_rows &gt;= min_features, (</w:t>
        <w:br/>
        <w:t xml:space="preserve">        f"FATAL: GeoParquet table {filepath} only has {table.num_rows} rows (expected &gt;= {min_features})!"</w:t>
        <w:br/>
        <w:t xml:space="preserve">    )</w:t>
        <w:br/>
        <w:t xml:space="preserve">    assert b"geo" in table.schema.metadata, f"FATAL: {filepath} lacks valid GeoParquet 'geo' metadata!"</w:t>
      </w:r>
    </w:p>
    <w:p>
      <w:pPr>
        <w:spacing w:before="40" w:after="80" w:line="276" w:lineRule="auto"/>
      </w:pPr>
      <w:r>
        <w:rPr>
          <w:color w:val="334155"/>
          <w:sz w:val="19"/>
        </w:rPr>
        <w:t>---</w:t>
      </w:r>
    </w:p>
    <w:p>
      <w:pPr>
        <w:pStyle w:val="Heading2"/>
        <w:keepNext/>
        <w:spacing w:before="240" w:after="80"/>
      </w:pPr>
      <w:r>
        <w:rPr>
          <w:b/>
          <w:color w:val="0284C7"/>
        </w:rPr>
        <w:t>5. Drop-In Recipe 3: Live API Reconciler with Deep JSON &amp; Content-Type Inspection</w:t>
      </w:r>
    </w:p>
    <w:p>
      <w:pPr>
        <w:spacing w:before="40" w:after="80" w:line="276" w:lineRule="auto"/>
      </w:pPr>
      <w:r>
        <w:rPr>
          <w:color w:val="334155"/>
          <w:sz w:val="19"/>
        </w:rPr>
        <w:t xml:space="preserve">Never accept a simple </w:t>
      </w:r>
      <w:r>
        <w:rPr>
          <w:rFonts w:ascii="Consolas" w:hAnsi="Consolas"/>
          <w:color w:val="0E7490"/>
          <w:sz w:val="17"/>
        </w:rPr>
        <w:t>status_code == 200</w:t>
      </w:r>
      <w:r>
        <w:rPr>
          <w:color w:val="334155"/>
          <w:sz w:val="19"/>
        </w:rPr>
        <w:t>. Inspect the body for embedded ArcGIS error codes and reject HTML landing pages:</w:t>
      </w:r>
    </w:p>
    <w:p>
      <w:pPr>
        <w:spacing w:before="80" w:after="120"/>
        <w:ind w:left="360"/>
      </w:pPr>
      <w:r>
        <w:rPr>
          <w:rFonts w:ascii="Consolas" w:hAnsi="Consolas"/>
          <w:color w:val="0F172A"/>
          <w:sz w:val="17"/>
        </w:rPr>
        <w:t>"""</w:t>
        <w:br/>
        <w:t>fetch_live_source_count.py</w:t>
        <w:br/>
        <w:t>Direct government API reconciliation with deep JSON and Content-Type inspection.</w:t>
        <w:br/>
        <w:t>"""</w:t>
        <w:br/>
        <w:t>import requests</w:t>
        <w:br/>
        <w:t>from typing import Tuple, Optional</w:t>
        <w:br/>
        <w:br/>
        <w:t>def fetch_live_source_count(endpoint: str, layer_id: int = 0, service_type: str = "arcgis_featureserver", timeout: int = 5) -&gt; Tuple[Optional[int], str, str]:</w:t>
        <w:br/>
        <w:t xml:space="preserve">    """</w:t>
        <w:br/>
        <w:t xml:space="preserve">    Executes a direct network query against upstream government spatial services.</w:t>
        <w:br/>
        <w:t xml:space="preserve">    Rejects HTML error pages and handles ArcGIS 200-error payloads.</w:t>
        <w:br/>
        <w:t xml:space="preserve">    Returns: (live_record_count, direct_query_url, status_label)</w:t>
        <w:br/>
        <w:t xml:space="preserve">    """</w:t>
        <w:br/>
        <w:t xml:space="preserve">    clean_ep = endpoint.rstrip("/")</w:t>
        <w:br/>
        <w:br/>
        <w:t xml:space="preserve">    # Case A: ArcGIS REST MapServer / FeatureServer</w:t>
        <w:br/>
        <w:t xml:space="preserve">    if "arcgis" in service_type.lower() or "featureserver" in clean_ep.lower() or "mapserver" in clean_ep.lower():</w:t>
        <w:br/>
        <w:t xml:space="preserve">        if f"/{layer_id}" not in clean_ep and not clean_ep.endswith(str(layer_id)):</w:t>
        <w:br/>
        <w:t xml:space="preserve">            query_url = f"{clean_ep}/{layer_id}/query?where=1=1&amp;returnCountOnly=true&amp;f=json"</w:t>
        <w:br/>
        <w:t xml:space="preserve">        else:</w:t>
        <w:br/>
        <w:t xml:space="preserve">            query_url = f"{clean_ep}/query?where=1=1&amp;returnCountOnly=true&amp;f=json"</w:t>
        <w:br/>
        <w:br/>
        <w:t xml:space="preserve">        try:</w:t>
        <w:br/>
        <w:t xml:space="preserve">            resp = requests.get(query_url, timeout=timeout, headers={"User-Agent": "AURA-Spatial-Reconciler/2.0"})</w:t>
        <w:br/>
        <w:t xml:space="preserve">            </w:t>
        <w:br/>
        <w:t xml:space="preserve">            # 1. Reject HTML landing pages</w:t>
        <w:br/>
        <w:t xml:space="preserve">            if "text/html" in resp.headers.get("Content-Type", ""):</w:t>
        <w:br/>
        <w:t xml:space="preserve">                return None, query_url, "ERROR_HTML_LANDING_PAGE"</w:t>
        <w:br/>
        <w:br/>
        <w:t xml:space="preserve">            # 2. Inspect for ArcGIS 200 Error payloads</w:t>
        <w:br/>
        <w:t xml:space="preserve">            if resp.status_code == 200:</w:t>
        <w:br/>
        <w:t xml:space="preserve">                data = resp.json()</w:t>
        <w:br/>
        <w:t xml:space="preserve">                if "error" in data:</w:t>
        <w:br/>
        <w:t xml:space="preserve">                    err_code = data["error"].get("code", 400)</w:t>
        <w:br/>
        <w:t xml:space="preserve">                    return None, query_url, f"ARCGIS_ERROR_{err_code}"</w:t>
        <w:br/>
        <w:t xml:space="preserve">                if "count" in data:</w:t>
        <w:br/>
        <w:t xml:space="preserve">                    return int(data["count"]), query_url, "LIVE_ONLINE"</w:t>
        <w:br/>
        <w:t xml:space="preserve">        except Exception as ex:</w:t>
        <w:br/>
        <w:t xml:space="preserve">            return None, query_url, f"NETWORK_ERROR_{type(ex).__name__}"</w:t>
        <w:br/>
        <w:br/>
        <w:t xml:space="preserve">    # Case B: OGC WFS Service</w:t>
        <w:br/>
        <w:t xml:space="preserve">    elif "wfs" in service_type.lower() or "wfs" in clean_ep.lower():</w:t>
        <w:br/>
        <w:t xml:space="preserve">        query_url = f"{clean_ep}?service=WFS&amp;request=GetCapabilities"</w:t>
        <w:br/>
        <w:t xml:space="preserve">        try:</w:t>
        <w:br/>
        <w:t xml:space="preserve">            resp = requests.get(query_url, timeout=timeout)</w:t>
        <w:br/>
        <w:t xml:space="preserve">            if resp.status_code == 200 and "xml" in resp.headers.get("Content-Type", ""):</w:t>
        <w:br/>
        <w:t xml:space="preserve">                return None, query_url, "LIVE_WFS_CAPABILITIES"</w:t>
        <w:br/>
        <w:t xml:space="preserve">        except Exception:</w:t>
        <w:br/>
        <w:t xml:space="preserve">            pass</w:t>
        <w:br/>
        <w:br/>
        <w:t xml:space="preserve">    return None, endpoint, "OFFLINE_SNAPSHOT"</w:t>
        <w:br/>
        <w:br/>
        <w:t>def calculate_sync_delta(live_count: Optional[int], lakehouse_count: int) -&gt; str:</w:t>
        <w:br/>
        <w:t xml:space="preserve">    """Calculates strict integer sync percentage (never decimals like 100.0%)."""</w:t>
        <w:br/>
        <w:t xml:space="preserve">    if live_count is not None and lakehouse_count &gt; 0:</w:t>
        <w:br/>
        <w:t xml:space="preserve">        pct = int(round(min(live_count, lakehouse_count) / max(live_count, lakehouse_count) * 100))</w:t>
        <w:br/>
        <w:t xml:space="preserve">        return f"{pct}%"</w:t>
        <w:br/>
        <w:t xml:space="preserve">    return "100%"</w:t>
      </w:r>
    </w:p>
    <w:p>
      <w:pPr>
        <w:spacing w:before="40" w:after="80" w:line="276" w:lineRule="auto"/>
      </w:pPr>
      <w:r>
        <w:rPr>
          <w:color w:val="334155"/>
          <w:sz w:val="19"/>
        </w:rPr>
        <w:t>---</w:t>
      </w:r>
    </w:p>
    <w:p>
      <w:pPr>
        <w:pStyle w:val="Heading2"/>
        <w:keepNext/>
        <w:spacing w:before="240" w:after="80"/>
      </w:pPr>
      <w:r>
        <w:rPr>
          <w:b/>
          <w:color w:val="0284C7"/>
        </w:rPr>
        <w:t>6. Drop-In Recipe 4: Dynamic Runtime Compute Probing</w:t>
      </w:r>
    </w:p>
    <w:p>
      <w:pPr>
        <w:spacing w:before="40" w:after="80" w:line="276" w:lineRule="auto"/>
      </w:pPr>
      <w:r>
        <w:rPr>
          <w:color w:val="334155"/>
          <w:sz w:val="19"/>
        </w:rPr>
        <w:t xml:space="preserve">Prevents AI agents from hardcoding static </w:t>
      </w:r>
      <w:r>
        <w:rPr>
          <w:rFonts w:ascii="Consolas" w:hAnsi="Consolas"/>
          <w:color w:val="0E7490"/>
          <w:sz w:val="17"/>
        </w:rPr>
        <w:t>$0.00 / hr</w:t>
      </w:r>
      <w:r>
        <w:rPr>
          <w:color w:val="334155"/>
          <w:sz w:val="19"/>
        </w:rPr>
        <w:t xml:space="preserve"> or </w:t>
      </w:r>
      <w:r>
        <w:rPr>
          <w:rFonts w:ascii="Consolas" w:hAnsi="Consolas"/>
          <w:color w:val="0E7490"/>
          <w:sz w:val="17"/>
        </w:rPr>
        <w:t>0 Active Sessions</w:t>
      </w:r>
      <w:r>
        <w:rPr>
          <w:color w:val="334155"/>
          <w:sz w:val="19"/>
        </w:rPr>
        <w:t xml:space="preserve"> strings in dashboard cards:</w:t>
      </w:r>
    </w:p>
    <w:p>
      <w:pPr>
        <w:spacing w:before="80" w:after="120"/>
        <w:ind w:left="360"/>
      </w:pPr>
      <w:r>
        <w:rPr>
          <w:rFonts w:ascii="Consolas" w:hAnsi="Consolas"/>
          <w:color w:val="0F172A"/>
          <w:sz w:val="17"/>
        </w:rPr>
        <w:t>"""</w:t>
        <w:br/>
        <w:t>tools/probe_compute.py</w:t>
        <w:br/>
        <w:t>Real-time active compute session and billing rate probe.</w:t>
        <w:br/>
        <w:t>"""</w:t>
        <w:br/>
        <w:t>import sys</w:t>
        <w:br/>
        <w:t>import subprocess</w:t>
        <w:br/>
        <w:t>from typing import Tuple</w:t>
        <w:br/>
        <w:br/>
        <w:t>def probe_active_compute_runtimes(hourly_rate_per_worker: float = 2.85) -&gt; Tuple[int, str]:</w:t>
        <w:br/>
        <w:t xml:space="preserve">    """</w:t>
        <w:br/>
        <w:t xml:space="preserve">    Probes in-memory SparkContexts, Sedona sessions, and OS process tables.</w:t>
        <w:br/>
        <w:t xml:space="preserve">    Returns: (active_sessions_count, formatted_cost_string)</w:t>
        <w:br/>
        <w:t xml:space="preserve">    """</w:t>
        <w:br/>
        <w:t xml:space="preserve">    active_sessions = 0</w:t>
        <w:br/>
        <w:br/>
        <w:t xml:space="preserve">    # 1. Probe Python runtime for active Spark / SedonaContext</w:t>
        <w:br/>
        <w:t xml:space="preserve">    try:</w:t>
        <w:br/>
        <w:t xml:space="preserve">        if "pyspark" in sys.modules or "sedona" in sys.modules:</w:t>
        <w:br/>
        <w:t xml:space="preserve">            from pyspark.sql import SparkSession</w:t>
        <w:br/>
        <w:t xml:space="preserve">            active_spark = SparkSession.getActiveSession()</w:t>
        <w:br/>
        <w:t xml:space="preserve">            if active_spark is not None and not active_spark._sc._jsc.sc().isStopped():</w:t>
        <w:br/>
        <w:t xml:space="preserve">                active_sessions += 1</w:t>
        <w:br/>
        <w:t xml:space="preserve">    except Exception:</w:t>
        <w:br/>
        <w:t xml:space="preserve">        pass</w:t>
        <w:br/>
        <w:br/>
        <w:t xml:space="preserve">    # 2. Probe OS background task table for worker processes</w:t>
        <w:br/>
        <w:t xml:space="preserve">    try:</w:t>
        <w:br/>
        <w:t xml:space="preserve">        if sys.platform == "win32":</w:t>
        <w:br/>
        <w:t xml:space="preserve">            res = subprocess.run(["tasklist"], capture_output=True, text=True, timeout=2)</w:t>
        <w:br/>
        <w:t xml:space="preserve">        else:</w:t>
        <w:br/>
        <w:t xml:space="preserve">            res = subprocess.run(["ps", "aux"], capture_output=True, text=True, timeout=2)</w:t>
        <w:br/>
        <w:t xml:space="preserve">            </w:t>
        <w:br/>
        <w:t xml:space="preserve">        stdout_lower = res.stdout.lower()</w:t>
        <w:br/>
        <w:t xml:space="preserve">        if "spark" in stdout_lower or "sedona" in stdout_lower:</w:t>
        <w:br/>
        <w:t xml:space="preserve">            active_sessions += 1</w:t>
        <w:br/>
        <w:t xml:space="preserve">    except Exception:</w:t>
        <w:br/>
        <w:t xml:space="preserve">        pass</w:t>
        <w:br/>
        <w:br/>
        <w:t xml:space="preserve">    hourly_cost_str = "$0.00 / hr" if active_sessions == 0 else f"${active_sessions * hourly_rate_per_worker:.2f} / hr"</w:t>
        <w:br/>
        <w:t xml:space="preserve">    return active_sessions, hourly_cost_str</w:t>
      </w:r>
    </w:p>
    <w:p>
      <w:pPr>
        <w:spacing w:before="40" w:after="80" w:line="276" w:lineRule="auto"/>
      </w:pPr>
      <w:r>
        <w:rPr>
          <w:color w:val="334155"/>
          <w:sz w:val="19"/>
        </w:rPr>
        <w:t>---</w:t>
      </w:r>
    </w:p>
    <w:p>
      <w:pPr>
        <w:pStyle w:val="Heading2"/>
        <w:keepNext/>
        <w:spacing w:before="240" w:after="80"/>
      </w:pPr>
      <w:r>
        <w:rPr>
          <w:b/>
          <w:color w:val="0284C7"/>
        </w:rPr>
        <w:t>7. Drop-In Recipe 5: Pre-Release Report &amp; DOM Integrity Verifier</w:t>
      </w:r>
    </w:p>
    <w:p>
      <w:pPr>
        <w:spacing w:before="40" w:after="80" w:line="276" w:lineRule="auto"/>
      </w:pPr>
      <w:r>
        <w:rPr>
          <w:color w:val="334155"/>
          <w:sz w:val="19"/>
        </w:rPr>
        <w:t>Audits all HTML and markdown files for template leaks, dummy values, and uncalculated cards:</w:t>
      </w:r>
    </w:p>
    <w:p>
      <w:pPr>
        <w:spacing w:before="80" w:after="120"/>
        <w:ind w:left="360"/>
      </w:pPr>
      <w:r>
        <w:rPr>
          <w:rFonts w:ascii="Consolas" w:hAnsi="Consolas"/>
          <w:color w:val="0F172A"/>
          <w:sz w:val="17"/>
        </w:rPr>
        <w:t>"""</w:t>
        <w:br/>
        <w:t>tools/verify_all_release_reports.py</w:t>
        <w:br/>
        <w:t>Pre-Release HTML Report Auditor: Asserts 100% dynamic cards &amp; zero template leaks.</w:t>
        <w:br/>
        <w:t>"""</w:t>
        <w:br/>
        <w:t>import os</w:t>
        <w:br/>
        <w:t>import re</w:t>
        <w:br/>
        <w:t>import glob</w:t>
        <w:br/>
        <w:t>import sys</w:t>
        <w:br/>
        <w:br/>
        <w:t>BASE_DIR = os.path.dirname(os.path.dirname(os.path.abspath(__file__)))</w:t>
        <w:br/>
        <w:br/>
        <w:t># Forbidden placeholder or template leak tokens</w:t>
        <w:br/>
        <w:t>FORBIDDEN_REPORT_TOKENS = [</w:t>
        <w:br/>
        <w:t xml:space="preserve">    ("sampleFeatures", "Dummy features array in report"),</w:t>
        <w:br/>
        <w:t xml:space="preserve">    ("mock_data", "Mock data indicator"),</w:t>
        <w:br/>
        <w:t xml:space="preserve">    ("[object Object]", "Unserialized Javascript object leak"),</w:t>
        <w:br/>
        <w:t xml:space="preserve">    ("NaN%", "Not-A-Number percentage calculation leak"),</w:t>
        <w:br/>
        <w:t xml:space="preserve">    ("undefined", "Javascript undefined template leak"),</w:t>
        <w:br/>
        <w:t xml:space="preserve">    ("None / hr", "Python None string leak"),</w:t>
        <w:br/>
        <w:t>]</w:t>
        <w:br/>
        <w:br/>
        <w:t>def verify_html_file(filepath: str) -&gt; list:</w:t>
        <w:br/>
        <w:t xml:space="preserve">    errors = []</w:t>
        <w:br/>
        <w:t xml:space="preserve">    with open(filepath, "r", encoding="utf-8", errors="ignore") as f:</w:t>
        <w:br/>
        <w:t xml:space="preserve">        content = f.read()</w:t>
        <w:br/>
        <w:br/>
        <w:t xml:space="preserve">    rel_path = os.path.relpath(filepath, BASE_DIR)</w:t>
        <w:br/>
        <w:t xml:space="preserve">    for token, desc in FORBIDDEN_REPORT_TOKENS:</w:t>
        <w:br/>
        <w:t xml:space="preserve">        if token in content:</w:t>
        <w:br/>
        <w:t xml:space="preserve">            errors.append(f"[{rel_path}] Contains forbidden token '{token}' ({desc})")</w:t>
        <w:br/>
        <w:br/>
        <w:t xml:space="preserve">    # Assert metric cards have non-empty computed content</w:t>
        <w:br/>
        <w:t xml:space="preserve">    card_values = re.findall(r'&lt;div class="card-value"&gt;([^&lt;]*)&lt;/div&gt;', content)</w:t>
        <w:br/>
        <w:t xml:space="preserve">    for cv in card_values:</w:t>
        <w:br/>
        <w:t xml:space="preserve">        val = cv.strip()</w:t>
        <w:br/>
        <w:t xml:space="preserve">        if not val or "{" in val or "}" in val:</w:t>
        <w:br/>
        <w:t xml:space="preserve">            errors.append(f"[{rel_path}] Found unrendered card template '{cv}'")</w:t>
        <w:br/>
        <w:br/>
        <w:t xml:space="preserve">    return errors</w:t>
      </w:r>
    </w:p>
    <w:p>
      <w:pPr>
        <w:spacing w:before="40" w:after="80" w:line="276" w:lineRule="auto"/>
      </w:pPr>
      <w:r>
        <w:rPr>
          <w:color w:val="334155"/>
          <w:sz w:val="19"/>
        </w:rPr>
        <w:t>---</w:t>
      </w:r>
    </w:p>
    <w:p>
      <w:pPr>
        <w:pStyle w:val="Heading2"/>
        <w:keepNext/>
        <w:spacing w:before="240" w:after="80"/>
      </w:pPr>
      <w:r>
        <w:rPr>
          <w:b/>
          <w:color w:val="0284C7"/>
        </w:rPr>
        <w:t>8. Summary Checklist Before Any Git Push or Release</w:t>
      </w:r>
    </w:p>
    <w:p>
      <w:pPr>
        <w:pStyle w:val="ListBullet"/>
        <w:spacing w:before="20" w:after="40"/>
      </w:pPr>
      <w:r>
        <w:rPr>
          <w:color w:val="334155"/>
          <w:sz w:val="19"/>
        </w:rPr>
        <w:t xml:space="preserve">[x] </w:t>
      </w:r>
      <w:r>
        <w:rPr>
          <w:b/>
          <w:color w:val="1E293B"/>
          <w:sz w:val="19"/>
        </w:rPr>
        <w:t>AST Gate Passed</w:t>
      </w:r>
      <w:r>
        <w:rPr>
          <w:color w:val="334155"/>
          <w:sz w:val="19"/>
        </w:rPr>
        <w:t xml:space="preserve">: </w:t>
      </w:r>
      <w:r>
        <w:rPr>
          <w:rFonts w:ascii="Consolas" w:hAnsi="Consolas"/>
          <w:color w:val="0E7490"/>
          <w:sz w:val="17"/>
        </w:rPr>
        <w:t>pytest tests/lint/test_no_mock_data.py -v</w:t>
      </w:r>
      <w:r>
        <w:rPr>
          <w:color w:val="334155"/>
          <w:sz w:val="19"/>
        </w:rPr>
        <w:t xml:space="preserve"> (0 mock tokens found).</w:t>
      </w:r>
    </w:p>
    <w:p>
      <w:pPr>
        <w:pStyle w:val="ListBullet"/>
        <w:spacing w:before="20" w:after="40"/>
      </w:pPr>
      <w:r>
        <w:rPr>
          <w:color w:val="334155"/>
          <w:sz w:val="19"/>
        </w:rPr>
        <w:t xml:space="preserve">[x] </w:t>
      </w:r>
      <w:r>
        <w:rPr>
          <w:b/>
          <w:color w:val="1E293B"/>
          <w:sz w:val="19"/>
        </w:rPr>
        <w:t>No HTTP 200 False Positives</w:t>
      </w:r>
      <w:r>
        <w:rPr>
          <w:color w:val="334155"/>
          <w:sz w:val="19"/>
        </w:rPr>
        <w:t>: Deep JSON inspection confirms no ArcGIS error codes or token requirements.</w:t>
      </w:r>
    </w:p>
    <w:p>
      <w:pPr>
        <w:pStyle w:val="ListBullet"/>
        <w:spacing w:before="20" w:after="40"/>
      </w:pPr>
      <w:r>
        <w:rPr>
          <w:color w:val="334155"/>
          <w:sz w:val="19"/>
        </w:rPr>
        <w:t xml:space="preserve">[x] </w:t>
      </w:r>
      <w:r>
        <w:rPr>
          <w:b/>
          <w:color w:val="1E293B"/>
          <w:sz w:val="19"/>
        </w:rPr>
        <w:t>No HTML Landing Page Fallbacks</w:t>
      </w:r>
      <w:r>
        <w:rPr>
          <w:color w:val="334155"/>
          <w:sz w:val="19"/>
        </w:rPr>
        <w:t>: All endpoints return pure geospatial JSON/GeoJSON.</w:t>
      </w:r>
    </w:p>
    <w:p>
      <w:pPr>
        <w:pStyle w:val="ListBullet"/>
        <w:spacing w:before="20" w:after="40"/>
      </w:pPr>
      <w:r>
        <w:rPr>
          <w:color w:val="334155"/>
          <w:sz w:val="19"/>
        </w:rPr>
        <w:t xml:space="preserve">[x] </w:t>
      </w:r>
      <w:r>
        <w:rPr>
          <w:b/>
          <w:color w:val="1E293B"/>
          <w:sz w:val="19"/>
        </w:rPr>
        <w:t>Live API Count Reconciled</w:t>
      </w:r>
      <w:r>
        <w:rPr>
          <w:color w:val="334155"/>
          <w:sz w:val="19"/>
        </w:rPr>
        <w:t>: Pre-flight queries assert live upstream counts match S3 Lakehouse tables.</w:t>
      </w:r>
    </w:p>
    <w:p>
      <w:pPr>
        <w:pStyle w:val="ListBullet"/>
        <w:spacing w:before="20" w:after="40"/>
      </w:pPr>
      <w:r>
        <w:rPr>
          <w:color w:val="334155"/>
          <w:sz w:val="19"/>
        </w:rPr>
        <w:t xml:space="preserve">[x] </w:t>
      </w:r>
      <w:r>
        <w:rPr>
          <w:b/>
          <w:color w:val="1E293B"/>
          <w:sz w:val="19"/>
        </w:rPr>
        <w:t>Physical File Assertions</w:t>
      </w:r>
      <w:r>
        <w:rPr>
          <w:color w:val="334155"/>
          <w:sz w:val="19"/>
        </w:rPr>
        <w:t>: Binary file sizes and headers asserted on disk.</w:t>
      </w:r>
    </w:p>
    <w:p>
      <w:pPr>
        <w:pStyle w:val="ListBullet"/>
        <w:spacing w:before="20" w:after="40"/>
      </w:pPr>
      <w:r>
        <w:rPr>
          <w:color w:val="334155"/>
          <w:sz w:val="19"/>
        </w:rPr>
        <w:t xml:space="preserve">[x] </w:t>
      </w:r>
      <w:r>
        <w:rPr>
          <w:b/>
          <w:color w:val="1E293B"/>
          <w:sz w:val="19"/>
        </w:rPr>
        <w:t>Compute Runtimes Teardown</w:t>
      </w:r>
      <w:r>
        <w:rPr>
          <w:color w:val="334155"/>
          <w:sz w:val="19"/>
        </w:rPr>
        <w:t>: Interactive Spark / Sedona sessions halted (</w:t>
      </w:r>
      <w:r>
        <w:rPr>
          <w:rFonts w:ascii="Consolas" w:hAnsi="Consolas"/>
          <w:color w:val="0E7490"/>
          <w:sz w:val="17"/>
        </w:rPr>
        <w:t>sedona.stop()</w:t>
      </w:r>
      <w:r>
        <w:rPr>
          <w:color w:val="334155"/>
          <w:sz w:val="19"/>
        </w:rPr>
        <w:t>).</w:t>
      </w:r>
    </w:p>
    <w:p>
      <w:pPr>
        <w:pStyle w:val="Heading2"/>
      </w:pPr>
      <w:r>
        <w:t>Appendix B: Semi-Manual QA &amp; Ground-Truth Verification</w:t>
      </w:r>
    </w:p>
    <w:p>
      <w:pPr>
        <w:pStyle w:val="Heading1"/>
        <w:keepNext/>
        <w:spacing w:before="320" w:after="120"/>
      </w:pPr>
      <w:r>
        <w:rPr>
          <w:b/>
          <w:color w:val="0F172A"/>
        </w:rPr>
        <w:t>Semi-Manual QA Process &amp; Anti-Hallucination Ground-Truth Verification Guide</w:t>
      </w:r>
    </w:p>
    <w:p>
      <w:pPr>
        <w:spacing w:before="40" w:after="80" w:line="276" w:lineRule="auto"/>
      </w:pPr>
      <w:r>
        <w:rPr>
          <w:b/>
          <w:color w:val="1E293B"/>
          <w:sz w:val="19"/>
        </w:rPr>
        <w:t>Project:</w:t>
      </w:r>
      <w:r>
        <w:rPr>
          <w:color w:val="334155"/>
          <w:sz w:val="19"/>
        </w:rPr>
        <w:t xml:space="preserve"> Australian Urban &amp; Regional AI Siting Crafter (AURA Siting Crafter)</w:t>
      </w:r>
    </w:p>
    <w:p>
      <w:pPr>
        <w:spacing w:before="40" w:after="80" w:line="276" w:lineRule="auto"/>
      </w:pPr>
      <w:r>
        <w:rPr>
          <w:b/>
          <w:color w:val="1E293B"/>
          <w:sz w:val="19"/>
        </w:rPr>
        <w:t>Standard:</w:t>
      </w:r>
      <w:r>
        <w:rPr>
          <w:color w:val="334155"/>
          <w:sz w:val="19"/>
        </w:rPr>
        <w:t xml:space="preserve"> Pre-Commit &amp; Pre-Release Spatial QA Audit Standard</w:t>
      </w:r>
    </w:p>
    <w:p>
      <w:pPr>
        <w:spacing w:before="40" w:after="80" w:line="276" w:lineRule="auto"/>
      </w:pPr>
      <w:r>
        <w:rPr>
          <w:b/>
          <w:color w:val="1E293B"/>
          <w:sz w:val="19"/>
        </w:rPr>
        <w:t>Canonical Output Path:</w:t>
      </w:r>
      <w:r>
        <w:rPr>
          <w:color w:val="334155"/>
          <w:sz w:val="19"/>
        </w:rPr>
        <w:t xml:space="preserve"> </w:t>
      </w:r>
      <w:r>
        <w:rPr>
          <w:rFonts w:ascii="Consolas" w:hAnsi="Consolas"/>
          <w:color w:val="0E7490"/>
          <w:sz w:val="17"/>
        </w:rPr>
        <w:t>docs/qa/QA_Report_YYYYMMDD.html</w:t>
      </w:r>
      <w:r>
        <w:rPr>
          <w:color w:val="334155"/>
          <w:sz w:val="19"/>
        </w:rPr>
        <w:t xml:space="preserve"> (Single Canonical Location)</w:t>
      </w:r>
    </w:p>
    <w:p>
      <w:pPr>
        <w:spacing w:before="40" w:after="80" w:line="276" w:lineRule="auto"/>
      </w:pPr>
      <w:r>
        <w:rPr>
          <w:b/>
          <w:color w:val="1E293B"/>
          <w:sz w:val="19"/>
        </w:rPr>
        <w:t>Generator Script:</w:t>
      </w:r>
      <w:r>
        <w:rPr>
          <w:color w:val="334155"/>
          <w:sz w:val="19"/>
        </w:rPr>
        <w:t xml:space="preserve"> </w:t>
      </w:r>
      <w:r>
        <w:rPr>
          <w:rFonts w:ascii="Consolas" w:hAnsi="Consolas"/>
          <w:color w:val="0E7490"/>
          <w:sz w:val="17"/>
        </w:rPr>
        <w:t>tools/generate_qa_report.py</w:t>
      </w:r>
    </w:p>
    <w:p>
      <w:pPr>
        <w:spacing w:before="40" w:after="80" w:line="276" w:lineRule="auto"/>
      </w:pPr>
      <w:r>
        <w:rPr>
          <w:b/>
          <w:color w:val="1E293B"/>
          <w:sz w:val="19"/>
        </w:rPr>
        <w:t>Playbook Reference:</w:t>
      </w:r>
      <w:r>
        <w:rPr>
          <w:color w:val="334155"/>
          <w:sz w:val="19"/>
        </w:rPr>
        <w:t xml:space="preserve"> </w:t>
      </w:r>
      <w:r>
        <w:rPr>
          <w:color w:val="0284C7"/>
          <w:sz w:val="19"/>
          <w:u w:val="single"/>
        </w:rPr>
        <w:t>Wherobots &amp; Antigravity Engineering Playbook</w:t>
      </w:r>
    </w:p>
    <w:p>
      <w:pPr>
        <w:spacing w:before="40" w:after="80" w:line="276" w:lineRule="auto"/>
      </w:pPr>
      <w:r>
        <w:rPr>
          <w:color w:val="334155"/>
          <w:sz w:val="19"/>
        </w:rPr>
        <w:t>---</w:t>
      </w:r>
    </w:p>
    <w:p>
      <w:pPr>
        <w:pStyle w:val="Heading2"/>
        <w:keepNext/>
        <w:spacing w:before="240" w:after="80"/>
      </w:pPr>
      <w:r>
        <w:rPr>
          <w:b/>
          <w:color w:val="0284C7"/>
        </w:rPr>
        <w:t>1. Executive QA Lifecycle</w:t>
      </w:r>
    </w:p>
    <w:p>
      <w:pPr>
        <w:spacing w:before="40" w:after="80" w:line="276" w:lineRule="auto"/>
      </w:pPr>
      <w:r>
        <w:rPr>
          <w:color w:val="334155"/>
          <w:sz w:val="19"/>
        </w:rPr>
        <w:t xml:space="preserve">To eliminate duplicate files, all QA reports are strictly standardized to a single location: </w:t>
      </w:r>
      <w:r>
        <w:rPr>
          <w:b/>
          <w:color w:val="1E293B"/>
          <w:sz w:val="19"/>
        </w:rPr>
        <w:t>`docs/qa/QA_Report_YYYYMMDD.html`</w:t>
      </w:r>
      <w:r>
        <w:rPr>
          <w:color w:val="334155"/>
          <w:sz w:val="19"/>
        </w:rPr>
        <w:t>.</w:t>
      </w:r>
    </w:p>
    <w:p>
      <w:pPr>
        <w:spacing w:before="80" w:after="120"/>
        <w:ind w:left="360"/>
      </w:pPr>
      <w:r>
        <w:rPr>
          <w:rFonts w:ascii="Consolas" w:hAnsi="Consolas"/>
          <w:color w:val="0F172A"/>
          <w:sz w:val="17"/>
        </w:rPr>
        <w:t>graph TD</w:t>
        <w:br/>
        <w:t xml:space="preserve">    A[Step 1: Automated Script Validation\ntools/generate_qa_report.py] --&gt; B[Step 1.5: Report &amp; HTML Integrity Verification\ntools/verify_all_release_reports.py]</w:t>
        <w:br/>
        <w:t xml:space="preserve">    B --&gt; C[Step 2: Single Canonical HTML Report\ndocs/qa/QA_Report_YYYYMMDD.html]</w:t>
        <w:br/>
        <w:t xml:space="preserve">    C --&gt; D[Step 3: Human Operator Manual Audit\nFollow Anti-Hallucination Ground-Truth Guide]</w:t>
        <w:br/>
        <w:t xml:space="preserve">    D --&gt; E{Operator Sign-off\nAll 4 Ground-Truth Checks Passed?}</w:t>
        <w:br/>
        <w:t xml:space="preserve">    E -- Flagged / Unverified --&gt; F[Remediate Ingestion Config / Re-Harvest]</w:t>
        <w:br/>
        <w:t xml:space="preserve">    F --&gt; A</w:t>
        <w:br/>
        <w:t xml:space="preserve">    E -- Verified &amp; Passed --&gt; G[Execute Sign-off in HTML &amp; Proceed with Git Commit]</w:t>
      </w:r>
    </w:p>
    <w:p>
      <w:pPr>
        <w:spacing w:before="40" w:after="80" w:line="276" w:lineRule="auto"/>
      </w:pPr>
      <w:r>
        <w:rPr>
          <w:color w:val="334155"/>
          <w:sz w:val="19"/>
        </w:rPr>
        <w:t>---</w:t>
      </w:r>
    </w:p>
    <w:p>
      <w:pPr>
        <w:pStyle w:val="Heading2"/>
        <w:keepNext/>
        <w:spacing w:before="240" w:after="80"/>
      </w:pPr>
      <w:r>
        <w:rPr>
          <w:b/>
          <w:color w:val="0284C7"/>
        </w:rPr>
        <w:t>2. Automated Quality Gates (Pre-Flight Checks)</w:t>
      </w:r>
    </w:p>
    <w:p>
      <w:pPr>
        <w:spacing w:before="40" w:after="80" w:line="276" w:lineRule="auto"/>
      </w:pPr>
      <w:r>
        <w:rPr>
          <w:color w:val="334155"/>
          <w:sz w:val="19"/>
        </w:rPr>
        <w:t>The generator script executes automated validation prior to assembling the HTML report:</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60" w:type="dxa"/>
              <w:bottom w:w="60" w:type="dxa"/>
              <w:left w:w="100" w:type="dxa"/>
              <w:right w:w="100" w:type="dxa"/>
            </w:tcMar>
            <w:shd w:fill="0F172A"/>
          </w:tcPr>
          <w:p>
            <w:pPr>
              <w:spacing w:before="40" w:after="40"/>
            </w:pPr>
            <w:r>
              <w:rPr>
                <w:b/>
                <w:color w:val="F8FAFC"/>
                <w:sz w:val="18"/>
              </w:rPr>
              <w:t>Gate</w:t>
            </w:r>
          </w:p>
        </w:tc>
        <w:tc>
          <w:tcPr>
            <w:tcW w:type="dxa" w:w="2484"/>
            <w:tcMar>
              <w:top w:w="60" w:type="dxa"/>
              <w:bottom w:w="60" w:type="dxa"/>
              <w:left w:w="100" w:type="dxa"/>
              <w:right w:w="100" w:type="dxa"/>
            </w:tcMar>
            <w:shd w:fill="0F172A"/>
          </w:tcPr>
          <w:p>
            <w:pPr>
              <w:spacing w:before="40" w:after="40"/>
            </w:pPr>
            <w:r>
              <w:rPr>
                <w:b/>
                <w:color w:val="F8FAFC"/>
                <w:sz w:val="18"/>
              </w:rPr>
              <w:t>Validation Area</w:t>
            </w:r>
          </w:p>
        </w:tc>
        <w:tc>
          <w:tcPr>
            <w:tcW w:type="dxa" w:w="2484"/>
            <w:tcMar>
              <w:top w:w="60" w:type="dxa"/>
              <w:bottom w:w="60" w:type="dxa"/>
              <w:left w:w="100" w:type="dxa"/>
              <w:right w:w="100" w:type="dxa"/>
            </w:tcMar>
            <w:shd w:fill="0F172A"/>
          </w:tcPr>
          <w:p>
            <w:pPr>
              <w:spacing w:before="40" w:after="40"/>
            </w:pPr>
            <w:r>
              <w:rPr>
                <w:b/>
                <w:color w:val="F8FAFC"/>
                <w:sz w:val="18"/>
              </w:rPr>
              <w:t>Verification Rule</w:t>
            </w:r>
          </w:p>
        </w:tc>
        <w:tc>
          <w:tcPr>
            <w:tcW w:type="dxa" w:w="2484"/>
            <w:tcMar>
              <w:top w:w="60" w:type="dxa"/>
              <w:bottom w:w="60" w:type="dxa"/>
              <w:left w:w="100" w:type="dxa"/>
              <w:right w:w="100" w:type="dxa"/>
            </w:tcMar>
            <w:shd w:fill="0F172A"/>
          </w:tcPr>
          <w:p>
            <w:pPr>
              <w:spacing w:before="40" w:after="40"/>
            </w:pPr>
            <w:r>
              <w:rPr>
                <w:b/>
                <w:color w:val="F8FAFC"/>
                <w:sz w:val="18"/>
              </w:rPr>
              <w:t>Threshold</w:t>
            </w:r>
          </w:p>
        </w:tc>
      </w:tr>
      <w:tr>
        <w:tc>
          <w:tcPr>
            <w:tcW w:type="dxa" w:w="2484"/>
            <w:tcMar>
              <w:top w:w="60" w:type="dxa"/>
              <w:bottom w:w="60" w:type="dxa"/>
              <w:left w:w="100" w:type="dxa"/>
              <w:right w:w="100" w:type="dxa"/>
            </w:tcMar>
            <w:shd w:fill="F8FAFC"/>
          </w:tcPr>
          <w:p>
            <w:pPr>
              <w:spacing w:before="40" w:after="40"/>
            </w:pPr>
            <w:r>
              <w:rPr>
                <w:color w:val="1E293B"/>
                <w:sz w:val="17"/>
              </w:rPr>
              <w:t>**G1**</w:t>
            </w:r>
          </w:p>
        </w:tc>
        <w:tc>
          <w:tcPr>
            <w:tcW w:type="dxa" w:w="2484"/>
            <w:tcMar>
              <w:top w:w="60" w:type="dxa"/>
              <w:bottom w:w="60" w:type="dxa"/>
              <w:left w:w="100" w:type="dxa"/>
              <w:right w:w="100" w:type="dxa"/>
            </w:tcMar>
            <w:shd w:fill="F8FAFC"/>
          </w:tcPr>
          <w:p>
            <w:pPr>
              <w:spacing w:before="40" w:after="40"/>
            </w:pPr>
            <w:r>
              <w:rPr>
                <w:color w:val="1E293B"/>
                <w:sz w:val="17"/>
              </w:rPr>
              <w:t>**Universal CRS Standard**</w:t>
            </w:r>
          </w:p>
        </w:tc>
        <w:tc>
          <w:tcPr>
            <w:tcW w:type="dxa" w:w="2484"/>
            <w:tcMar>
              <w:top w:w="60" w:type="dxa"/>
              <w:bottom w:w="60" w:type="dxa"/>
              <w:left w:w="100" w:type="dxa"/>
              <w:right w:w="100" w:type="dxa"/>
            </w:tcMar>
            <w:shd w:fill="F8FAFC"/>
          </w:tcPr>
          <w:p>
            <w:pPr>
              <w:spacing w:before="40" w:after="40"/>
            </w:pPr>
            <w:r>
              <w:rPr>
                <w:color w:val="1E293B"/>
                <w:sz w:val="17"/>
              </w:rPr>
              <w:t>100% of dataset configs in `config/datasets_v2/` must specify `target_crs == "EPSG:7844"` and `metric_crs == "EPSG:3112"`.</w:t>
            </w:r>
          </w:p>
        </w:tc>
        <w:tc>
          <w:tcPr>
            <w:tcW w:type="dxa" w:w="2484"/>
            <w:tcMar>
              <w:top w:w="60" w:type="dxa"/>
              <w:bottom w:w="60" w:type="dxa"/>
              <w:left w:w="100" w:type="dxa"/>
              <w:right w:w="100" w:type="dxa"/>
            </w:tcMar>
            <w:shd w:fill="F8FAFC"/>
          </w:tcPr>
          <w:p>
            <w:pPr>
              <w:spacing w:before="40" w:after="40"/>
            </w:pPr>
            <w:r>
              <w:rPr>
                <w:color w:val="1E293B"/>
                <w:sz w:val="17"/>
              </w:rPr>
              <w:t>100% Pass (0 Exceptions)</w:t>
            </w:r>
          </w:p>
        </w:tc>
      </w:tr>
      <w:tr>
        <w:tc>
          <w:tcPr>
            <w:tcW w:type="dxa" w:w="2484"/>
            <w:tcMar>
              <w:top w:w="60" w:type="dxa"/>
              <w:bottom w:w="60" w:type="dxa"/>
              <w:left w:w="100" w:type="dxa"/>
              <w:right w:w="100" w:type="dxa"/>
            </w:tcMar>
            <w:shd w:fill="FFFFFF"/>
          </w:tcPr>
          <w:p>
            <w:pPr>
              <w:spacing w:before="40" w:after="40"/>
            </w:pPr>
            <w:r>
              <w:rPr>
                <w:color w:val="1E293B"/>
                <w:sz w:val="17"/>
              </w:rPr>
              <w:t>**G2**</w:t>
            </w:r>
          </w:p>
        </w:tc>
        <w:tc>
          <w:tcPr>
            <w:tcW w:type="dxa" w:w="2484"/>
            <w:tcMar>
              <w:top w:w="60" w:type="dxa"/>
              <w:bottom w:w="60" w:type="dxa"/>
              <w:left w:w="100" w:type="dxa"/>
              <w:right w:w="100" w:type="dxa"/>
            </w:tcMar>
            <w:shd w:fill="FFFFFF"/>
          </w:tcPr>
          <w:p>
            <w:pPr>
              <w:spacing w:before="40" w:after="40"/>
            </w:pPr>
            <w:r>
              <w:rPr>
                <w:color w:val="1E293B"/>
                <w:sz w:val="17"/>
              </w:rPr>
              <w:t>**Spatial Coordinate Bounds**</w:t>
            </w:r>
          </w:p>
        </w:tc>
        <w:tc>
          <w:tcPr>
            <w:tcW w:type="dxa" w:w="2484"/>
            <w:tcMar>
              <w:top w:w="60" w:type="dxa"/>
              <w:bottom w:w="60" w:type="dxa"/>
              <w:left w:w="100" w:type="dxa"/>
              <w:right w:w="100" w:type="dxa"/>
            </w:tcMar>
            <w:shd w:fill="FFFFFF"/>
          </w:tcPr>
          <w:p>
            <w:pPr>
              <w:spacing w:before="40" w:after="40"/>
            </w:pPr>
            <w:r>
              <w:rPr>
                <w:color w:val="1E293B"/>
                <w:sz w:val="17"/>
              </w:rPr>
              <w:t>All geometries must lie within Australian continental bounds: `[112.0°E, -44.0°S]` to `[154.0°E, -10.0°S]`.</w:t>
            </w:r>
          </w:p>
        </w:tc>
        <w:tc>
          <w:tcPr>
            <w:tcW w:type="dxa" w:w="2484"/>
            <w:tcMar>
              <w:top w:w="60" w:type="dxa"/>
              <w:bottom w:w="60" w:type="dxa"/>
              <w:left w:w="100" w:type="dxa"/>
              <w:right w:w="100" w:type="dxa"/>
            </w:tcMar>
            <w:shd w:fill="FFFFFF"/>
          </w:tcPr>
          <w:p>
            <w:pPr>
              <w:spacing w:before="40" w:after="40"/>
            </w:pPr>
            <w:r>
              <w:rPr>
                <w:color w:val="1E293B"/>
                <w:sz w:val="17"/>
              </w:rPr>
              <w:t>0 Out-of-Bounds Vertices</w:t>
            </w:r>
          </w:p>
        </w:tc>
      </w:tr>
      <w:tr>
        <w:tc>
          <w:tcPr>
            <w:tcW w:type="dxa" w:w="2484"/>
            <w:tcMar>
              <w:top w:w="60" w:type="dxa"/>
              <w:bottom w:w="60" w:type="dxa"/>
              <w:left w:w="100" w:type="dxa"/>
              <w:right w:w="100" w:type="dxa"/>
            </w:tcMar>
            <w:shd w:fill="F8FAFC"/>
          </w:tcPr>
          <w:p>
            <w:pPr>
              <w:spacing w:before="40" w:after="40"/>
            </w:pPr>
            <w:r>
              <w:rPr>
                <w:color w:val="1E293B"/>
                <w:sz w:val="17"/>
              </w:rPr>
              <w:t>**G3**</w:t>
            </w:r>
          </w:p>
        </w:tc>
        <w:tc>
          <w:tcPr>
            <w:tcW w:type="dxa" w:w="2484"/>
            <w:tcMar>
              <w:top w:w="60" w:type="dxa"/>
              <w:bottom w:w="60" w:type="dxa"/>
              <w:left w:w="100" w:type="dxa"/>
              <w:right w:w="100" w:type="dxa"/>
            </w:tcMar>
            <w:shd w:fill="F8FAFC"/>
          </w:tcPr>
          <w:p>
            <w:pPr>
              <w:spacing w:before="40" w:after="40"/>
            </w:pPr>
            <w:r>
              <w:rPr>
                <w:color w:val="1E293B"/>
                <w:sz w:val="17"/>
              </w:rPr>
              <w:t>**Topological Validity**</w:t>
            </w:r>
          </w:p>
        </w:tc>
        <w:tc>
          <w:tcPr>
            <w:tcW w:type="dxa" w:w="2484"/>
            <w:tcMar>
              <w:top w:w="60" w:type="dxa"/>
              <w:bottom w:w="60" w:type="dxa"/>
              <w:left w:w="100" w:type="dxa"/>
              <w:right w:w="100" w:type="dxa"/>
            </w:tcMar>
            <w:shd w:fill="F8FAFC"/>
          </w:tcPr>
          <w:p>
            <w:pPr>
              <w:spacing w:before="40" w:after="40"/>
            </w:pPr>
            <w:r>
              <w:rPr>
                <w:color w:val="1E293B"/>
                <w:sz w:val="17"/>
              </w:rPr>
              <w:t>Geometries must pass coordinate sanitization and valid GeoJSON structure (`_clean_coordinates`, non-null).</w:t>
            </w:r>
          </w:p>
        </w:tc>
        <w:tc>
          <w:tcPr>
            <w:tcW w:type="dxa" w:w="2484"/>
            <w:tcMar>
              <w:top w:w="60" w:type="dxa"/>
              <w:bottom w:w="60" w:type="dxa"/>
              <w:left w:w="100" w:type="dxa"/>
              <w:right w:w="100" w:type="dxa"/>
            </w:tcMar>
            <w:shd w:fill="F8FAFC"/>
          </w:tcPr>
          <w:p>
            <w:pPr>
              <w:spacing w:before="40" w:after="40"/>
            </w:pPr>
            <w:r>
              <w:rPr>
                <w:color w:val="1E293B"/>
                <w:sz w:val="17"/>
              </w:rPr>
              <w:t>0 Null/Broken Geometries</w:t>
            </w:r>
          </w:p>
        </w:tc>
      </w:tr>
      <w:tr>
        <w:tc>
          <w:tcPr>
            <w:tcW w:type="dxa" w:w="2484"/>
            <w:tcMar>
              <w:top w:w="60" w:type="dxa"/>
              <w:bottom w:w="60" w:type="dxa"/>
              <w:left w:w="100" w:type="dxa"/>
              <w:right w:w="100" w:type="dxa"/>
            </w:tcMar>
            <w:shd w:fill="FFFFFF"/>
          </w:tcPr>
          <w:p>
            <w:pPr>
              <w:spacing w:before="40" w:after="40"/>
            </w:pPr>
            <w:r>
              <w:rPr>
                <w:color w:val="1E293B"/>
                <w:sz w:val="17"/>
              </w:rPr>
              <w:t>**G4**</w:t>
            </w:r>
          </w:p>
        </w:tc>
        <w:tc>
          <w:tcPr>
            <w:tcW w:type="dxa" w:w="2484"/>
            <w:tcMar>
              <w:top w:w="60" w:type="dxa"/>
              <w:bottom w:w="60" w:type="dxa"/>
              <w:left w:w="100" w:type="dxa"/>
              <w:right w:w="100" w:type="dxa"/>
            </w:tcMar>
            <w:shd w:fill="FFFFFF"/>
          </w:tcPr>
          <w:p>
            <w:pPr>
              <w:spacing w:before="40" w:after="40"/>
            </w:pPr>
            <w:r>
              <w:rPr>
                <w:color w:val="1E293B"/>
                <w:sz w:val="17"/>
              </w:rPr>
              <w:t>**13 Canonical Siting Themes**</w:t>
            </w:r>
          </w:p>
        </w:tc>
        <w:tc>
          <w:tcPr>
            <w:tcW w:type="dxa" w:w="2484"/>
            <w:tcMar>
              <w:top w:w="60" w:type="dxa"/>
              <w:bottom w:w="60" w:type="dxa"/>
              <w:left w:w="100" w:type="dxa"/>
              <w:right w:w="100" w:type="dxa"/>
            </w:tcMar>
            <w:shd w:fill="FFFFFF"/>
          </w:tcPr>
          <w:p>
            <w:pPr>
              <w:spacing w:before="40" w:after="40"/>
            </w:pPr>
            <w:r>
              <w:rPr>
                <w:color w:val="1E293B"/>
                <w:sz w:val="17"/>
              </w:rPr>
              <w:t>Datasets across all states must map into recognized Canonical Themes (`siting_transmission_grid`, `siting_sensitive_receptors`, `siting_landslide_hazard`, etc.).</w:t>
            </w:r>
          </w:p>
        </w:tc>
        <w:tc>
          <w:tcPr>
            <w:tcW w:type="dxa" w:w="2484"/>
            <w:tcMar>
              <w:top w:w="60" w:type="dxa"/>
              <w:bottom w:w="60" w:type="dxa"/>
              <w:left w:w="100" w:type="dxa"/>
              <w:right w:w="100" w:type="dxa"/>
            </w:tcMar>
            <w:shd w:fill="FFFFFF"/>
          </w:tcPr>
          <w:p>
            <w:pPr>
              <w:spacing w:before="40" w:after="40"/>
            </w:pPr>
            <w:r>
              <w:rPr>
                <w:color w:val="1E293B"/>
                <w:sz w:val="17"/>
              </w:rPr>
              <w:t>100% Canonical Coverage</w:t>
            </w:r>
          </w:p>
        </w:tc>
      </w:tr>
      <w:tr>
        <w:tc>
          <w:tcPr>
            <w:tcW w:type="dxa" w:w="2484"/>
            <w:tcMar>
              <w:top w:w="60" w:type="dxa"/>
              <w:bottom w:w="60" w:type="dxa"/>
              <w:left w:w="100" w:type="dxa"/>
              <w:right w:w="100" w:type="dxa"/>
            </w:tcMar>
            <w:shd w:fill="F8FAFC"/>
          </w:tcPr>
          <w:p>
            <w:pPr>
              <w:spacing w:before="40" w:after="40"/>
            </w:pPr>
            <w:r>
              <w:rPr>
                <w:color w:val="1E293B"/>
                <w:sz w:val="17"/>
              </w:rPr>
              <w:t>**G5**</w:t>
            </w:r>
          </w:p>
        </w:tc>
        <w:tc>
          <w:tcPr>
            <w:tcW w:type="dxa" w:w="2484"/>
            <w:tcMar>
              <w:top w:w="60" w:type="dxa"/>
              <w:bottom w:w="60" w:type="dxa"/>
              <w:left w:w="100" w:type="dxa"/>
              <w:right w:w="100" w:type="dxa"/>
            </w:tcMar>
            <w:shd w:fill="F8FAFC"/>
          </w:tcPr>
          <w:p>
            <w:pPr>
              <w:spacing w:before="40" w:after="40"/>
            </w:pPr>
            <w:r>
              <w:rPr>
                <w:color w:val="1E293B"/>
                <w:sz w:val="17"/>
              </w:rPr>
              <w:t>**Multi-Hazard Profile Verification**</w:t>
            </w:r>
          </w:p>
        </w:tc>
        <w:tc>
          <w:tcPr>
            <w:tcW w:type="dxa" w:w="2484"/>
            <w:tcMar>
              <w:top w:w="60" w:type="dxa"/>
              <w:bottom w:w="60" w:type="dxa"/>
              <w:left w:w="100" w:type="dxa"/>
              <w:right w:w="100" w:type="dxa"/>
            </w:tcMar>
            <w:shd w:fill="F8FAFC"/>
          </w:tcPr>
          <w:p>
            <w:pPr>
              <w:spacing w:before="40" w:after="40"/>
            </w:pPr>
            <w:r>
              <w:rPr>
                <w:color w:val="1E293B"/>
                <w:sz w:val="17"/>
              </w:rPr>
              <w:t>Candidate records must include statutory attributes for Landslide, Earthquake (PGA), Cyclone (Wind Region), and Coastal Inundation/Flood.</w:t>
            </w:r>
          </w:p>
        </w:tc>
        <w:tc>
          <w:tcPr>
            <w:tcW w:type="dxa" w:w="2484"/>
            <w:tcMar>
              <w:top w:w="60" w:type="dxa"/>
              <w:bottom w:w="60" w:type="dxa"/>
              <w:left w:w="100" w:type="dxa"/>
              <w:right w:w="100" w:type="dxa"/>
            </w:tcMar>
            <w:shd w:fill="F8FAFC"/>
          </w:tcPr>
          <w:p>
            <w:pPr>
              <w:spacing w:before="40" w:after="40"/>
            </w:pPr>
            <w:r>
              <w:rPr>
                <w:color w:val="1E293B"/>
                <w:sz w:val="17"/>
              </w:rPr>
              <w:t>Complete Attribute Set</w:t>
            </w:r>
          </w:p>
        </w:tc>
      </w:tr>
      <w:tr>
        <w:tc>
          <w:tcPr>
            <w:tcW w:type="dxa" w:w="2484"/>
            <w:tcMar>
              <w:top w:w="60" w:type="dxa"/>
              <w:bottom w:w="60" w:type="dxa"/>
              <w:left w:w="100" w:type="dxa"/>
              <w:right w:w="100" w:type="dxa"/>
            </w:tcMar>
            <w:shd w:fill="FFFFFF"/>
          </w:tcPr>
          <w:p>
            <w:pPr>
              <w:spacing w:before="40" w:after="40"/>
            </w:pPr>
            <w:r>
              <w:rPr>
                <w:color w:val="1E293B"/>
                <w:sz w:val="17"/>
              </w:rPr>
              <w:t>**G6**</w:t>
            </w:r>
          </w:p>
        </w:tc>
        <w:tc>
          <w:tcPr>
            <w:tcW w:type="dxa" w:w="2484"/>
            <w:tcMar>
              <w:top w:w="60" w:type="dxa"/>
              <w:bottom w:w="60" w:type="dxa"/>
              <w:left w:w="100" w:type="dxa"/>
              <w:right w:w="100" w:type="dxa"/>
            </w:tcMar>
            <w:shd w:fill="FFFFFF"/>
          </w:tcPr>
          <w:p>
            <w:pPr>
              <w:spacing w:before="40" w:after="40"/>
            </w:pPr>
            <w:r>
              <w:rPr>
                <w:color w:val="1E293B"/>
                <w:sz w:val="17"/>
              </w:rPr>
              <w:t>**Security &amp; Compute Teardown**</w:t>
            </w:r>
          </w:p>
        </w:tc>
        <w:tc>
          <w:tcPr>
            <w:tcW w:type="dxa" w:w="2484"/>
            <w:tcMar>
              <w:top w:w="60" w:type="dxa"/>
              <w:bottom w:w="60" w:type="dxa"/>
              <w:left w:w="100" w:type="dxa"/>
              <w:right w:w="100" w:type="dxa"/>
            </w:tcMar>
            <w:shd w:fill="FFFFFF"/>
          </w:tcPr>
          <w:p>
            <w:pPr>
              <w:spacing w:before="40" w:after="40"/>
            </w:pPr>
            <w:r>
              <w:rPr>
                <w:color w:val="1E293B"/>
                <w:sz w:val="17"/>
              </w:rPr>
              <w:t>Zero plain-text credentials (`pytest tests/lint/`) and 0 lingering compute sessions.</w:t>
            </w:r>
          </w:p>
        </w:tc>
        <w:tc>
          <w:tcPr>
            <w:tcW w:type="dxa" w:w="2484"/>
            <w:tcMar>
              <w:top w:w="60" w:type="dxa"/>
              <w:bottom w:w="60" w:type="dxa"/>
              <w:left w:w="100" w:type="dxa"/>
              <w:right w:w="100" w:type="dxa"/>
            </w:tcMar>
            <w:shd w:fill="FFFFFF"/>
          </w:tcPr>
          <w:p>
            <w:pPr>
              <w:spacing w:before="40" w:after="40"/>
            </w:pPr>
            <w:r>
              <w:rPr>
                <w:color w:val="1E293B"/>
                <w:sz w:val="17"/>
              </w:rPr>
              <w:t>Clean Teardown ($0.00 / hr)</w:t>
            </w:r>
          </w:p>
        </w:tc>
      </w:tr>
      <w:tr>
        <w:tc>
          <w:tcPr>
            <w:tcW w:type="dxa" w:w="2484"/>
            <w:tcMar>
              <w:top w:w="60" w:type="dxa"/>
              <w:bottom w:w="60" w:type="dxa"/>
              <w:left w:w="100" w:type="dxa"/>
              <w:right w:w="100" w:type="dxa"/>
            </w:tcMar>
            <w:shd w:fill="F8FAFC"/>
          </w:tcPr>
          <w:p>
            <w:pPr>
              <w:spacing w:before="40" w:after="40"/>
            </w:pPr>
            <w:r>
              <w:rPr>
                <w:color w:val="1E293B"/>
                <w:sz w:val="17"/>
              </w:rPr>
              <w:t>**G7**</w:t>
            </w:r>
          </w:p>
        </w:tc>
        <w:tc>
          <w:tcPr>
            <w:tcW w:type="dxa" w:w="2484"/>
            <w:tcMar>
              <w:top w:w="60" w:type="dxa"/>
              <w:bottom w:w="60" w:type="dxa"/>
              <w:left w:w="100" w:type="dxa"/>
              <w:right w:w="100" w:type="dxa"/>
            </w:tcMar>
            <w:shd w:fill="F8FAFC"/>
          </w:tcPr>
          <w:p>
            <w:pPr>
              <w:spacing w:before="40" w:after="40"/>
            </w:pPr>
            <w:r>
              <w:rPr>
                <w:color w:val="1E293B"/>
                <w:sz w:val="17"/>
              </w:rPr>
              <w:t>**Zero-Mock AST Enforcement**</w:t>
            </w:r>
          </w:p>
        </w:tc>
        <w:tc>
          <w:tcPr>
            <w:tcW w:type="dxa" w:w="2484"/>
            <w:tcMar>
              <w:top w:w="60" w:type="dxa"/>
              <w:bottom w:w="60" w:type="dxa"/>
              <w:left w:w="100" w:type="dxa"/>
              <w:right w:w="100" w:type="dxa"/>
            </w:tcMar>
            <w:shd w:fill="F8FAFC"/>
          </w:tcPr>
          <w:p>
            <w:pPr>
              <w:spacing w:before="40" w:after="40"/>
            </w:pPr>
            <w:r>
              <w:rPr>
                <w:color w:val="1E293B"/>
                <w:sz w:val="17"/>
              </w:rPr>
              <w:t>Scans 100% of HTML/JS/Python files (`pytest tests/lint/test_no_mock_data.py`) for forbidden mock variables, `sampleFeatures`, and synthetic coordinates.</w:t>
            </w:r>
          </w:p>
        </w:tc>
        <w:tc>
          <w:tcPr>
            <w:tcW w:type="dxa" w:w="2484"/>
            <w:tcMar>
              <w:top w:w="60" w:type="dxa"/>
              <w:bottom w:w="60" w:type="dxa"/>
              <w:left w:w="100" w:type="dxa"/>
              <w:right w:w="100" w:type="dxa"/>
            </w:tcMar>
            <w:shd w:fill="F8FAFC"/>
          </w:tcPr>
          <w:p>
            <w:pPr>
              <w:spacing w:before="40" w:after="40"/>
            </w:pPr>
            <w:r>
              <w:rPr>
                <w:color w:val="1E293B"/>
                <w:sz w:val="17"/>
              </w:rPr>
              <w:t>100% Zero-Mock Compliance</w:t>
            </w:r>
          </w:p>
        </w:tc>
      </w:tr>
      <w:tr>
        <w:tc>
          <w:tcPr>
            <w:tcW w:type="dxa" w:w="2484"/>
            <w:tcMar>
              <w:top w:w="60" w:type="dxa"/>
              <w:bottom w:w="60" w:type="dxa"/>
              <w:left w:w="100" w:type="dxa"/>
              <w:right w:w="100" w:type="dxa"/>
            </w:tcMar>
            <w:shd w:fill="FFFFFF"/>
          </w:tcPr>
          <w:p>
            <w:pPr>
              <w:spacing w:before="40" w:after="40"/>
            </w:pPr>
            <w:r>
              <w:rPr>
                <w:color w:val="1E293B"/>
                <w:sz w:val="17"/>
              </w:rPr>
              <w:t>**G8**</w:t>
            </w:r>
          </w:p>
        </w:tc>
        <w:tc>
          <w:tcPr>
            <w:tcW w:type="dxa" w:w="2484"/>
            <w:tcMar>
              <w:top w:w="60" w:type="dxa"/>
              <w:bottom w:w="60" w:type="dxa"/>
              <w:left w:w="100" w:type="dxa"/>
              <w:right w:w="100" w:type="dxa"/>
            </w:tcMar>
            <w:shd w:fill="FFFFFF"/>
          </w:tcPr>
          <w:p>
            <w:pPr>
              <w:spacing w:before="40" w:after="40"/>
            </w:pPr>
            <w:r>
              <w:rPr>
                <w:color w:val="1E293B"/>
                <w:sz w:val="17"/>
              </w:rPr>
              <w:t>**Live Endpoint HTTP Verification**</w:t>
            </w:r>
          </w:p>
        </w:tc>
        <w:tc>
          <w:tcPr>
            <w:tcW w:type="dxa" w:w="2484"/>
            <w:tcMar>
              <w:top w:w="60" w:type="dxa"/>
              <w:bottom w:w="60" w:type="dxa"/>
              <w:left w:w="100" w:type="dxa"/>
              <w:right w:w="100" w:type="dxa"/>
            </w:tcMar>
            <w:shd w:fill="FFFFFF"/>
          </w:tcPr>
          <w:p>
            <w:pPr>
              <w:spacing w:before="40" w:after="40"/>
            </w:pPr>
            <w:r>
              <w:rPr>
                <w:color w:val="1E293B"/>
                <w:sz w:val="17"/>
              </w:rPr>
              <w:t>Direct pre-flight HTTP query against 100% of government endpoints (`python tools/audit_all_endpoints.py`).</w:t>
            </w:r>
          </w:p>
        </w:tc>
        <w:tc>
          <w:tcPr>
            <w:tcW w:type="dxa" w:w="2484"/>
            <w:tcMar>
              <w:top w:w="60" w:type="dxa"/>
              <w:bottom w:w="60" w:type="dxa"/>
              <w:left w:w="100" w:type="dxa"/>
              <w:right w:w="100" w:type="dxa"/>
            </w:tcMar>
            <w:shd w:fill="FFFFFF"/>
          </w:tcPr>
          <w:p>
            <w:pPr>
              <w:spacing w:before="40" w:after="40"/>
            </w:pPr>
            <w:r>
              <w:rPr>
                <w:color w:val="1E293B"/>
                <w:sz w:val="17"/>
              </w:rPr>
              <w:t>25/25 HTTP 200 Verified</w:t>
            </w:r>
          </w:p>
        </w:tc>
      </w:tr>
      <w:tr>
        <w:tc>
          <w:tcPr>
            <w:tcW w:type="dxa" w:w="2484"/>
            <w:tcMar>
              <w:top w:w="60" w:type="dxa"/>
              <w:bottom w:w="60" w:type="dxa"/>
              <w:left w:w="100" w:type="dxa"/>
              <w:right w:w="100" w:type="dxa"/>
            </w:tcMar>
            <w:shd w:fill="F8FAFC"/>
          </w:tcPr>
          <w:p>
            <w:pPr>
              <w:spacing w:before="40" w:after="40"/>
            </w:pPr>
            <w:r>
              <w:rPr>
                <w:color w:val="1E293B"/>
                <w:sz w:val="17"/>
              </w:rPr>
              <w:t>**G9**</w:t>
            </w:r>
          </w:p>
        </w:tc>
        <w:tc>
          <w:tcPr>
            <w:tcW w:type="dxa" w:w="2484"/>
            <w:tcMar>
              <w:top w:w="60" w:type="dxa"/>
              <w:bottom w:w="60" w:type="dxa"/>
              <w:left w:w="100" w:type="dxa"/>
              <w:right w:w="100" w:type="dxa"/>
            </w:tcMar>
            <w:shd w:fill="F8FAFC"/>
          </w:tcPr>
          <w:p>
            <w:pPr>
              <w:spacing w:before="40" w:after="40"/>
            </w:pPr>
            <w:r>
              <w:rPr>
                <w:color w:val="1E293B"/>
                <w:sz w:val="17"/>
              </w:rPr>
              <w:t>**Pre-Release HTML Report Integrity**</w:t>
            </w:r>
          </w:p>
        </w:tc>
        <w:tc>
          <w:tcPr>
            <w:tcW w:type="dxa" w:w="2484"/>
            <w:tcMar>
              <w:top w:w="60" w:type="dxa"/>
              <w:bottom w:w="60" w:type="dxa"/>
              <w:left w:w="100" w:type="dxa"/>
              <w:right w:w="100" w:type="dxa"/>
            </w:tcMar>
            <w:shd w:fill="F8FAFC"/>
          </w:tcPr>
          <w:p>
            <w:pPr>
              <w:spacing w:before="40" w:after="40"/>
            </w:pPr>
            <w:r>
              <w:rPr>
                <w:color w:val="1E293B"/>
                <w:sz w:val="17"/>
              </w:rPr>
              <w:t>Automated DOM and metric audit (`python tools/verify_all_release_reports.py`) asserting 0 template leaks and 100% dynamic summary cards.</w:t>
            </w:r>
          </w:p>
        </w:tc>
        <w:tc>
          <w:tcPr>
            <w:tcW w:type="dxa" w:w="2484"/>
            <w:tcMar>
              <w:top w:w="60" w:type="dxa"/>
              <w:bottom w:w="60" w:type="dxa"/>
              <w:left w:w="100" w:type="dxa"/>
              <w:right w:w="100" w:type="dxa"/>
            </w:tcMar>
            <w:shd w:fill="F8FAFC"/>
          </w:tcPr>
          <w:p>
            <w:pPr>
              <w:spacing w:before="40" w:after="40"/>
            </w:pPr>
            <w:r>
              <w:rPr>
                <w:color w:val="1E293B"/>
                <w:sz w:val="17"/>
              </w:rPr>
              <w:t>100% Pass across all Reports</w:t>
            </w:r>
          </w:p>
        </w:tc>
      </w:tr>
    </w:tbl>
    <w:p/>
    <w:p>
      <w:pPr>
        <w:spacing w:before="40" w:after="80" w:line="276" w:lineRule="auto"/>
      </w:pPr>
      <w:r>
        <w:rPr>
          <w:color w:val="334155"/>
          <w:sz w:val="19"/>
        </w:rPr>
        <w:t>---</w:t>
      </w:r>
    </w:p>
    <w:p>
      <w:pPr>
        <w:pStyle w:val="Heading2"/>
        <w:keepNext/>
        <w:spacing w:before="240" w:after="80"/>
      </w:pPr>
      <w:r>
        <w:rPr>
          <w:b/>
          <w:color w:val="0284C7"/>
        </w:rPr>
        <w:t>3. Mandatory Operator Manual Ground-Truth Verification Guide (Anti-Hallucination Standard)</w:t>
      </w:r>
    </w:p>
    <w:p>
      <w:pPr>
        <w:spacing w:before="40" w:after="80" w:line="276" w:lineRule="auto"/>
      </w:pPr>
      <w:r>
        <w:rPr>
          <w:color w:val="334155"/>
          <w:sz w:val="19"/>
        </w:rPr>
        <w:t xml:space="preserve">Before digitally signing off on the QA Report, the human reviewer </w:t>
      </w:r>
      <w:r>
        <w:rPr>
          <w:b/>
          <w:color w:val="1E293B"/>
          <w:sz w:val="19"/>
        </w:rPr>
        <w:t>MUST manually perform the following 4 Ground-Truth Checks</w:t>
      </w:r>
      <w:r>
        <w:rPr>
          <w:color w:val="334155"/>
          <w:sz w:val="19"/>
        </w:rPr>
        <w:t xml:space="preserve"> to ensure no synthetic, placeholder, or AI-hallucinated data exists:</w:t>
      </w:r>
    </w:p>
    <w:p>
      <w:pPr>
        <w:pStyle w:val="Heading3"/>
        <w:keepNext/>
        <w:spacing w:before="160" w:after="40"/>
      </w:pPr>
      <w:r>
        <w:rPr>
          <w:b/>
          <w:color w:val="334155"/>
        </w:rPr>
        <w:t>Check 1: Live Government Endpoint &amp; Service Metadata Verification</w:t>
      </w:r>
    </w:p>
    <w:p>
      <w:pPr>
        <w:pStyle w:val="ListBullet"/>
        <w:spacing w:before="20" w:after="40"/>
      </w:pPr>
      <w:r>
        <w:rPr>
          <w:b/>
          <w:color w:val="1E293B"/>
          <w:sz w:val="19"/>
        </w:rPr>
        <w:t>Manual Action:</w:t>
      </w:r>
      <w:r>
        <w:rPr>
          <w:color w:val="334155"/>
          <w:sz w:val="19"/>
        </w:rPr>
        <w:t xml:space="preserve"> Open 3–5 sample endpoints directly from </w:t>
      </w:r>
      <w:r>
        <w:rPr>
          <w:rFonts w:ascii="Consolas" w:hAnsi="Consolas"/>
          <w:color w:val="0E7490"/>
          <w:sz w:val="17"/>
        </w:rPr>
        <w:t>config/datasets_v2/</w:t>
      </w:r>
      <w:r>
        <w:rPr>
          <w:color w:val="334155"/>
          <w:sz w:val="19"/>
        </w:rPr>
        <w:t xml:space="preserve"> in your browser (e.g. QSpatial Powerlink, Data.Vic Vicmap, NSW SEED BioNet, Geoscience Australia NSHA/TCHA).</w:t>
      </w:r>
    </w:p>
    <w:p>
      <w:pPr>
        <w:pStyle w:val="ListBullet"/>
        <w:spacing w:before="20" w:after="40"/>
      </w:pPr>
      <w:r>
        <w:rPr>
          <w:b/>
          <w:color w:val="1E293B"/>
          <w:sz w:val="19"/>
        </w:rPr>
        <w:t>Anti-Hallucination Check:</w:t>
      </w:r>
    </w:p>
    <w:p>
      <w:pPr>
        <w:pStyle w:val="ListBullet"/>
        <w:spacing w:before="20" w:after="40"/>
      </w:pPr>
      <w:r>
        <w:rPr>
          <w:color w:val="334155"/>
          <w:sz w:val="19"/>
        </w:rPr>
        <w:t>Verify that the URL returns a live HTTP 200 and a genuine ArcGIS REST / WFS Capabilities JSON payload.</w:t>
      </w:r>
    </w:p>
    <w:p>
      <w:pPr>
        <w:pStyle w:val="ListBullet"/>
        <w:spacing w:before="20" w:after="40"/>
      </w:pPr>
      <w:r>
        <w:rPr>
          <w:color w:val="334155"/>
          <w:sz w:val="19"/>
        </w:rPr>
        <w:t>Confirm the service title, operating agency, and layer names are genuine government services and not AI-invented mock URLs.</w:t>
      </w:r>
    </w:p>
    <w:p>
      <w:pPr>
        <w:pStyle w:val="ListBullet"/>
        <w:spacing w:before="20" w:after="40"/>
      </w:pPr>
      <w:r>
        <w:rPr>
          <w:color w:val="334155"/>
          <w:sz w:val="19"/>
        </w:rPr>
        <w:t xml:space="preserve">Verify that no endpoints contain placeholder domains (e.g., </w:t>
      </w:r>
      <w:r>
        <w:rPr>
          <w:rFonts w:ascii="Consolas" w:hAnsi="Consolas"/>
          <w:color w:val="0E7490"/>
          <w:sz w:val="17"/>
        </w:rPr>
        <w:t>example.com</w:t>
      </w:r>
      <w:r>
        <w:rPr>
          <w:color w:val="334155"/>
          <w:sz w:val="19"/>
        </w:rPr>
        <w:t xml:space="preserve">, </w:t>
      </w:r>
      <w:r>
        <w:rPr>
          <w:rFonts w:ascii="Consolas" w:hAnsi="Consolas"/>
          <w:color w:val="0E7490"/>
          <w:sz w:val="17"/>
        </w:rPr>
        <w:t>mock-server</w:t>
      </w:r>
      <w:r>
        <w:rPr>
          <w:color w:val="334155"/>
          <w:sz w:val="19"/>
        </w:rPr>
        <w:t xml:space="preserve">, </w:t>
      </w:r>
      <w:r>
        <w:rPr>
          <w:rFonts w:ascii="Consolas" w:hAnsi="Consolas"/>
          <w:color w:val="0E7490"/>
          <w:sz w:val="17"/>
        </w:rPr>
        <w:t>localhost</w:t>
      </w:r>
      <w:r>
        <w:rPr>
          <w:color w:val="334155"/>
          <w:sz w:val="19"/>
        </w:rPr>
        <w:t>).</w:t>
      </w:r>
    </w:p>
    <w:p>
      <w:pPr>
        <w:pStyle w:val="Heading3"/>
        <w:keepNext/>
        <w:spacing w:before="160" w:after="40"/>
      </w:pPr>
      <w:r>
        <w:rPr>
          <w:b/>
          <w:color w:val="334155"/>
        </w:rPr>
        <w:t>Check 2: Geographic Coordinate Plausibility &amp; Satellite Spot-Check</w:t>
      </w:r>
    </w:p>
    <w:p>
      <w:pPr>
        <w:pStyle w:val="ListBullet"/>
        <w:spacing w:before="20" w:after="40"/>
      </w:pPr>
      <w:r>
        <w:rPr>
          <w:b/>
          <w:color w:val="1E293B"/>
          <w:sz w:val="19"/>
        </w:rPr>
        <w:t>Manual Action:</w:t>
      </w:r>
      <w:r>
        <w:rPr>
          <w:color w:val="334155"/>
          <w:sz w:val="19"/>
        </w:rPr>
        <w:t xml:space="preserve"> Inspect the coordinates of candidate parcels in </w:t>
      </w:r>
      <w:r>
        <w:rPr>
          <w:rFonts w:ascii="Consolas" w:hAnsi="Consolas"/>
          <w:color w:val="0E7490"/>
          <w:sz w:val="17"/>
        </w:rPr>
        <w:t>exports_v2/datacenter_candidates_v2.parquet</w:t>
      </w:r>
      <w:r>
        <w:rPr>
          <w:color w:val="334155"/>
          <w:sz w:val="19"/>
        </w:rPr>
        <w:t xml:space="preserve"> (or </w:t>
      </w:r>
      <w:r>
        <w:rPr>
          <w:rFonts w:ascii="Consolas" w:hAnsi="Consolas"/>
          <w:color w:val="0E7490"/>
          <w:sz w:val="17"/>
        </w:rPr>
        <w:t>.json</w:t>
      </w:r>
      <w:r>
        <w:rPr>
          <w:color w:val="334155"/>
          <w:sz w:val="19"/>
        </w:rPr>
        <w:t>).</w:t>
      </w:r>
    </w:p>
    <w:p>
      <w:pPr>
        <w:pStyle w:val="ListBullet"/>
        <w:spacing w:before="20" w:after="40"/>
      </w:pPr>
      <w:r>
        <w:rPr>
          <w:b/>
          <w:color w:val="1E293B"/>
          <w:sz w:val="19"/>
        </w:rPr>
        <w:t>Anti-Hallucination Check:</w:t>
      </w:r>
    </w:p>
    <w:p>
      <w:pPr>
        <w:pStyle w:val="ListBullet"/>
        <w:spacing w:before="20" w:after="40"/>
      </w:pPr>
      <w:r>
        <w:rPr>
          <w:color w:val="334155"/>
          <w:sz w:val="19"/>
        </w:rPr>
        <w:t xml:space="preserve">Verify Latitudes are negative in the Southern Hemisphere (between </w:t>
      </w:r>
      <w:r>
        <w:rPr>
          <w:rFonts w:ascii="Consolas" w:hAnsi="Consolas"/>
          <w:color w:val="0E7490"/>
          <w:sz w:val="17"/>
        </w:rPr>
        <w:t>-10.0°</w:t>
      </w:r>
      <w:r>
        <w:rPr>
          <w:color w:val="334155"/>
          <w:sz w:val="19"/>
        </w:rPr>
        <w:t xml:space="preserve"> and </w:t>
      </w:r>
      <w:r>
        <w:rPr>
          <w:rFonts w:ascii="Consolas" w:hAnsi="Consolas"/>
          <w:color w:val="0E7490"/>
          <w:sz w:val="17"/>
        </w:rPr>
        <w:t>-44.0°</w:t>
      </w:r>
      <w:r>
        <w:rPr>
          <w:color w:val="334155"/>
          <w:sz w:val="19"/>
        </w:rPr>
        <w:t xml:space="preserve">), and Longitudes are between </w:t>
      </w:r>
      <w:r>
        <w:rPr>
          <w:rFonts w:ascii="Consolas" w:hAnsi="Consolas"/>
          <w:color w:val="0E7490"/>
          <w:sz w:val="17"/>
        </w:rPr>
        <w:t>112.0°</w:t>
      </w:r>
      <w:r>
        <w:rPr>
          <w:color w:val="334155"/>
          <w:sz w:val="19"/>
        </w:rPr>
        <w:t xml:space="preserve"> and </w:t>
      </w:r>
      <w:r>
        <w:rPr>
          <w:rFonts w:ascii="Consolas" w:hAnsi="Consolas"/>
          <w:color w:val="0E7490"/>
          <w:sz w:val="17"/>
        </w:rPr>
        <w:t>154.0°</w:t>
      </w:r>
      <w:r>
        <w:rPr>
          <w:color w:val="334155"/>
          <w:sz w:val="19"/>
        </w:rPr>
        <w:t>.</w:t>
      </w:r>
    </w:p>
    <w:p>
      <w:pPr>
        <w:pStyle w:val="ListBullet"/>
        <w:spacing w:before="20" w:after="40"/>
      </w:pPr>
      <w:r>
        <w:rPr>
          <w:color w:val="334155"/>
          <w:sz w:val="19"/>
        </w:rPr>
        <w:t>Spot-check candidate locations on satellite imagery (e.g., Hunter Valley NSW, Gladstone QLD, Latrobe Valley VIC, Collie WA, Port Augusta SA). Confirm they represent actual industrial/energy precinct land parcels and not offshore ocean coordinates, residential urban cores, or national parks.</w:t>
      </w:r>
    </w:p>
    <w:p>
      <w:pPr>
        <w:pStyle w:val="Heading3"/>
        <w:keepNext/>
        <w:spacing w:before="160" w:after="40"/>
      </w:pPr>
      <w:r>
        <w:rPr>
          <w:b/>
          <w:color w:val="334155"/>
        </w:rPr>
        <w:t>Check 3: Domain Attribute &amp; Statutory Law Spot-Check</w:t>
      </w:r>
    </w:p>
    <w:p>
      <w:pPr>
        <w:pStyle w:val="ListBullet"/>
        <w:spacing w:before="20" w:after="40"/>
      </w:pPr>
      <w:r>
        <w:rPr>
          <w:b/>
          <w:color w:val="1E293B"/>
          <w:sz w:val="19"/>
        </w:rPr>
        <w:t>Manual Action:</w:t>
      </w:r>
      <w:r>
        <w:rPr>
          <w:color w:val="334155"/>
          <w:sz w:val="19"/>
        </w:rPr>
        <w:t xml:space="preserve"> Review the attribute schemas in </w:t>
      </w:r>
      <w:r>
        <w:rPr>
          <w:rFonts w:ascii="Consolas" w:hAnsi="Consolas"/>
          <w:color w:val="0E7490"/>
          <w:sz w:val="17"/>
        </w:rPr>
        <w:t>config/datasets_v2/</w:t>
      </w:r>
      <w:r>
        <w:rPr>
          <w:color w:val="334155"/>
          <w:sz w:val="19"/>
        </w:rPr>
        <w:t xml:space="preserve"> and </w:t>
      </w:r>
      <w:r>
        <w:rPr>
          <w:rFonts w:ascii="Consolas" w:hAnsi="Consolas"/>
          <w:color w:val="0E7490"/>
          <w:sz w:val="17"/>
        </w:rPr>
        <w:t>runner/attachments/data_sources.html</w:t>
      </w:r>
      <w:r>
        <w:rPr>
          <w:color w:val="334155"/>
          <w:sz w:val="19"/>
        </w:rPr>
        <w:t>.</w:t>
      </w:r>
    </w:p>
    <w:p>
      <w:pPr>
        <w:pStyle w:val="ListBullet"/>
        <w:spacing w:before="20" w:after="40"/>
      </w:pPr>
      <w:r>
        <w:rPr>
          <w:b/>
          <w:color w:val="1E293B"/>
          <w:sz w:val="19"/>
        </w:rPr>
        <w:t>Anti-Hallucination Check:</w:t>
      </w:r>
    </w:p>
    <w:p>
      <w:pPr>
        <w:pStyle w:val="ListBullet"/>
        <w:spacing w:before="20" w:after="40"/>
      </w:pPr>
      <w:r>
        <w:rPr>
          <w:color w:val="334155"/>
          <w:sz w:val="19"/>
        </w:rPr>
        <w:t xml:space="preserve">Confirm transmission voltage levels correspond to actual Australian grid voltages (e.g., </w:t>
      </w:r>
      <w:r>
        <w:rPr>
          <w:rFonts w:ascii="Consolas" w:hAnsi="Consolas"/>
          <w:color w:val="0E7490"/>
          <w:sz w:val="17"/>
        </w:rPr>
        <w:t>132kV</w:t>
      </w:r>
      <w:r>
        <w:rPr>
          <w:color w:val="334155"/>
          <w:sz w:val="19"/>
        </w:rPr>
        <w:t xml:space="preserve">, </w:t>
      </w:r>
      <w:r>
        <w:rPr>
          <w:rFonts w:ascii="Consolas" w:hAnsi="Consolas"/>
          <w:color w:val="0E7490"/>
          <w:sz w:val="17"/>
        </w:rPr>
        <w:t>275kV</w:t>
      </w:r>
      <w:r>
        <w:rPr>
          <w:color w:val="334155"/>
          <w:sz w:val="19"/>
        </w:rPr>
        <w:t xml:space="preserve">, </w:t>
      </w:r>
      <w:r>
        <w:rPr>
          <w:rFonts w:ascii="Consolas" w:hAnsi="Consolas"/>
          <w:color w:val="0E7490"/>
          <w:sz w:val="17"/>
        </w:rPr>
        <w:t>330kV</w:t>
      </w:r>
      <w:r>
        <w:rPr>
          <w:color w:val="334155"/>
          <w:sz w:val="19"/>
        </w:rPr>
        <w:t xml:space="preserve">, </w:t>
      </w:r>
      <w:r>
        <w:rPr>
          <w:rFonts w:ascii="Consolas" w:hAnsi="Consolas"/>
          <w:color w:val="0E7490"/>
          <w:sz w:val="17"/>
        </w:rPr>
        <w:t>500kV</w:t>
      </w:r>
      <w:r>
        <w:rPr>
          <w:color w:val="334155"/>
          <w:sz w:val="19"/>
        </w:rPr>
        <w:t>).</w:t>
      </w:r>
    </w:p>
    <w:p>
      <w:pPr>
        <w:pStyle w:val="ListBullet"/>
        <w:spacing w:before="20" w:after="40"/>
      </w:pPr>
      <w:r>
        <w:rPr>
          <w:color w:val="334155"/>
          <w:sz w:val="19"/>
        </w:rPr>
        <w:t>Confirm statutory acts match real legislation (e.g., NSW *Biodiversity Conservation Act 2016*, QLD *Vegetation Management Act 1999*, VIC *Flora and Fauna Guarantee Act 1988*).</w:t>
      </w:r>
    </w:p>
    <w:p>
      <w:pPr>
        <w:pStyle w:val="ListBullet"/>
        <w:spacing w:before="20" w:after="40"/>
      </w:pPr>
      <w:r>
        <w:rPr>
          <w:color w:val="334155"/>
          <w:sz w:val="19"/>
        </w:rPr>
        <w:t>Verify operators are genuine network transmission companies (*Transgrid*, *Powerlink*, *AusNet*, *Western Power*, *ElectraNet*, *TasNetworks*).</w:t>
      </w:r>
    </w:p>
    <w:p>
      <w:pPr>
        <w:pStyle w:val="ListBullet"/>
        <w:spacing w:before="20" w:after="40"/>
      </w:pPr>
      <w:r>
        <w:rPr>
          <w:color w:val="334155"/>
          <w:sz w:val="19"/>
        </w:rPr>
        <w:t xml:space="preserve">Confirm zero placeholder tokens (e.g., </w:t>
      </w:r>
      <w:r>
        <w:rPr>
          <w:rFonts w:ascii="Consolas" w:hAnsi="Consolas"/>
          <w:color w:val="0E7490"/>
          <w:sz w:val="17"/>
        </w:rPr>
        <w:t>"dummy"</w:t>
      </w:r>
      <w:r>
        <w:rPr>
          <w:color w:val="334155"/>
          <w:sz w:val="19"/>
        </w:rPr>
        <w:t xml:space="preserve">, </w:t>
      </w:r>
      <w:r>
        <w:rPr>
          <w:rFonts w:ascii="Consolas" w:hAnsi="Consolas"/>
          <w:color w:val="0E7490"/>
          <w:sz w:val="17"/>
        </w:rPr>
        <w:t>"test_data"</w:t>
      </w:r>
      <w:r>
        <w:rPr>
          <w:color w:val="334155"/>
          <w:sz w:val="19"/>
        </w:rPr>
        <w:t xml:space="preserve">, </w:t>
      </w:r>
      <w:r>
        <w:rPr>
          <w:rFonts w:ascii="Consolas" w:hAnsi="Consolas"/>
          <w:color w:val="0E7490"/>
          <w:sz w:val="17"/>
        </w:rPr>
        <w:t>"mock"</w:t>
      </w:r>
      <w:r>
        <w:rPr>
          <w:color w:val="334155"/>
          <w:sz w:val="19"/>
        </w:rPr>
        <w:t xml:space="preserve">, </w:t>
      </w:r>
      <w:r>
        <w:rPr>
          <w:rFonts w:ascii="Consolas" w:hAnsi="Consolas"/>
          <w:color w:val="0E7490"/>
          <w:sz w:val="17"/>
        </w:rPr>
        <w:t>"placeholder"</w:t>
      </w:r>
      <w:r>
        <w:rPr>
          <w:color w:val="334155"/>
          <w:sz w:val="19"/>
        </w:rPr>
        <w:t xml:space="preserve">, </w:t>
      </w:r>
      <w:r>
        <w:rPr>
          <w:rFonts w:ascii="Consolas" w:hAnsi="Consolas"/>
          <w:color w:val="0E7490"/>
          <w:sz w:val="17"/>
        </w:rPr>
        <w:t>"lorem ipsum"</w:t>
      </w:r>
      <w:r>
        <w:rPr>
          <w:color w:val="334155"/>
          <w:sz w:val="19"/>
        </w:rPr>
        <w:t xml:space="preserve">, </w:t>
      </w:r>
      <w:r>
        <w:rPr>
          <w:rFonts w:ascii="Consolas" w:hAnsi="Consolas"/>
          <w:color w:val="0E7490"/>
          <w:sz w:val="17"/>
        </w:rPr>
        <w:t>"TODO"</w:t>
      </w:r>
      <w:r>
        <w:rPr>
          <w:color w:val="334155"/>
          <w:sz w:val="19"/>
        </w:rPr>
        <w:t>).</w:t>
      </w:r>
    </w:p>
    <w:p>
      <w:pPr>
        <w:pStyle w:val="Heading3"/>
        <w:keepNext/>
        <w:spacing w:before="160" w:after="40"/>
      </w:pPr>
      <w:r>
        <w:rPr>
          <w:b/>
          <w:color w:val="334155"/>
        </w:rPr>
        <w:t>Check 4: Differential Audit &amp; Telemetry Hash Confirmation</w:t>
      </w:r>
    </w:p>
    <w:p>
      <w:pPr>
        <w:pStyle w:val="ListBullet"/>
        <w:spacing w:before="20" w:after="40"/>
      </w:pPr>
      <w:r>
        <w:rPr>
          <w:b/>
          <w:color w:val="1E293B"/>
          <w:sz w:val="19"/>
        </w:rPr>
        <w:t>Manual Action:</w:t>
      </w:r>
      <w:r>
        <w:rPr>
          <w:color w:val="334155"/>
          <w:sz w:val="19"/>
        </w:rPr>
        <w:t xml:space="preserve"> Open </w:t>
      </w:r>
      <w:r>
        <w:rPr>
          <w:rFonts w:ascii="Consolas" w:hAnsi="Consolas"/>
          <w:color w:val="0E7490"/>
          <w:sz w:val="17"/>
        </w:rPr>
        <w:t>config/dataset_manifest_v2.json</w:t>
      </w:r>
      <w:r>
        <w:rPr>
          <w:color w:val="334155"/>
          <w:sz w:val="19"/>
        </w:rPr>
        <w:t xml:space="preserve"> and </w:t>
      </w:r>
      <w:r>
        <w:rPr>
          <w:rFonts w:ascii="Consolas" w:hAnsi="Consolas"/>
          <w:color w:val="0E7490"/>
          <w:sz w:val="17"/>
        </w:rPr>
        <w:t>docs/audit_logs/weekly_update_diff.json</w:t>
      </w:r>
      <w:r>
        <w:rPr>
          <w:color w:val="334155"/>
          <w:sz w:val="19"/>
        </w:rPr>
        <w:t>.</w:t>
      </w:r>
    </w:p>
    <w:p>
      <w:pPr>
        <w:pStyle w:val="ListBullet"/>
        <w:spacing w:before="20" w:after="40"/>
      </w:pPr>
      <w:r>
        <w:rPr>
          <w:b/>
          <w:color w:val="1E293B"/>
          <w:sz w:val="19"/>
        </w:rPr>
        <w:t>Anti-Hallucination Check:</w:t>
      </w:r>
    </w:p>
    <w:p>
      <w:pPr>
        <w:pStyle w:val="ListBullet"/>
        <w:spacing w:before="20" w:after="40"/>
      </w:pPr>
      <w:r>
        <w:rPr>
          <w:color w:val="334155"/>
          <w:sz w:val="19"/>
        </w:rPr>
        <w:t>Verify that cryptographic hashes, HTTP ETags, and timestamps reflect real network signatures.</w:t>
      </w:r>
    </w:p>
    <w:p>
      <w:pPr>
        <w:pStyle w:val="ListBullet"/>
        <w:spacing w:before="20" w:after="40"/>
      </w:pPr>
      <w:r>
        <w:rPr>
          <w:color w:val="334155"/>
          <w:sz w:val="19"/>
        </w:rPr>
        <w:t>Confirm that timing benchmarks and feature counts reflect actual pipeline execution.</w:t>
      </w:r>
    </w:p>
    <w:p>
      <w:pPr>
        <w:spacing w:before="40" w:after="80" w:line="276" w:lineRule="auto"/>
      </w:pPr>
      <w:r>
        <w:rPr>
          <w:color w:val="334155"/>
          <w:sz w:val="19"/>
        </w:rPr>
        <w:t>---</w:t>
      </w:r>
    </w:p>
    <w:p>
      <w:pPr>
        <w:pStyle w:val="Heading2"/>
        <w:keepNext/>
        <w:spacing w:before="240" w:after="80"/>
      </w:pPr>
      <w:r>
        <w:rPr>
          <w:b/>
          <w:color w:val="0284C7"/>
        </w:rPr>
        <w:t>4. Semi-Manual Operator Sign-Off Execution</w:t>
      </w:r>
    </w:p>
    <w:p>
      <w:pPr>
        <w:pStyle w:val="ListNumber"/>
        <w:spacing w:before="20" w:after="40"/>
      </w:pPr>
      <w:r>
        <w:rPr>
          <w:color w:val="334155"/>
          <w:sz w:val="19"/>
        </w:rPr>
        <w:t xml:space="preserve">Open </w:t>
      </w:r>
      <w:r>
        <w:rPr>
          <w:color w:val="0284C7"/>
          <w:sz w:val="19"/>
          <w:u w:val="single"/>
        </w:rPr>
        <w:t>`docs/qa/QA_Report_YYYYMMDD.html`</w:t>
      </w:r>
      <w:r>
        <w:rPr>
          <w:color w:val="334155"/>
          <w:sz w:val="19"/>
        </w:rPr>
        <w:t xml:space="preserve"> in your browser.</w:t>
      </w:r>
    </w:p>
    <w:p>
      <w:pPr>
        <w:pStyle w:val="ListNumber"/>
        <w:spacing w:before="20" w:after="40"/>
      </w:pPr>
      <w:r>
        <w:rPr>
          <w:color w:val="334155"/>
          <w:sz w:val="19"/>
        </w:rPr>
        <w:t>Review the automated Quality Gate cards and the dataset audit table.</w:t>
      </w:r>
    </w:p>
    <w:p>
      <w:pPr>
        <w:pStyle w:val="ListNumber"/>
        <w:spacing w:before="20" w:after="40"/>
      </w:pPr>
      <w:r>
        <w:rPr>
          <w:color w:val="334155"/>
          <w:sz w:val="19"/>
        </w:rPr>
        <w:t>Perform the 4 manual ground-truth spot-checks listed in the guide above.</w:t>
      </w:r>
    </w:p>
    <w:p>
      <w:pPr>
        <w:pStyle w:val="ListNumber"/>
        <w:spacing w:before="20" w:after="40"/>
      </w:pPr>
      <w:r>
        <w:rPr>
          <w:color w:val="334155"/>
          <w:sz w:val="19"/>
        </w:rPr>
        <w:t xml:space="preserve">Check the 5 sign-off boxes, enter your Operator Name / Reviewer ID, and click </w:t>
      </w:r>
      <w:r>
        <w:rPr>
          <w:b/>
          <w:color w:val="1E293B"/>
          <w:sz w:val="19"/>
        </w:rPr>
        <w:t>"Approve &amp; Sign-Off Release"</w:t>
      </w:r>
      <w:r>
        <w:rPr>
          <w:color w:val="334155"/>
          <w:sz w:val="19"/>
        </w:rPr>
        <w:t>.</w:t>
      </w:r>
    </w:p>
    <w:p>
      <w:pPr>
        <w:pStyle w:val="ListNumber"/>
        <w:spacing w:before="20" w:after="40"/>
      </w:pPr>
      <w:r>
        <w:rPr>
          <w:color w:val="334155"/>
          <w:sz w:val="19"/>
        </w:rPr>
        <w:t>Once signed-off, proceed with the git commit and deployment.</w:t>
      </w:r>
    </w:p>
    <w:p>
      <w:pPr>
        <w:pStyle w:val="Heading2"/>
      </w:pPr>
      <w:r>
        <w:t>Appendix C: Zero-Mock Real Data Standard</w:t>
      </w:r>
    </w:p>
    <w:p>
      <w:pPr>
        <w:pStyle w:val="Heading1"/>
        <w:keepNext/>
        <w:spacing w:before="320" w:after="120"/>
      </w:pPr>
      <w:r>
        <w:rPr>
          <w:b/>
          <w:color w:val="0F172A"/>
        </w:rPr>
        <w:t>Zero-Mock &amp; Real Data Integrity Standard 🛡️</w:t>
      </w:r>
    </w:p>
    <w:p>
      <w:pPr>
        <w:spacing w:before="40" w:after="80" w:line="276" w:lineRule="auto"/>
      </w:pPr>
      <w:r>
        <w:rPr>
          <w:b/>
          <w:color w:val="1E293B"/>
          <w:sz w:val="19"/>
        </w:rPr>
        <w:t>AURA Siting Crafter — Architectural Framework for Eliminating Synthetic Fallbacks</w:t>
      </w:r>
    </w:p>
    <w:p>
      <w:pPr>
        <w:pStyle w:val="Heading2"/>
        <w:keepNext/>
        <w:spacing w:before="240" w:after="80"/>
      </w:pPr>
      <w:r>
        <w:rPr>
          <w:b/>
          <w:color w:val="0284C7"/>
        </w:rPr>
        <w:t>1. Executive Context &amp; The Problem</w:t>
      </w:r>
    </w:p>
    <w:p>
      <w:pPr>
        <w:spacing w:before="40" w:after="80" w:line="276" w:lineRule="auto"/>
      </w:pPr>
      <w:r>
        <w:rPr>
          <w:color w:val="334155"/>
          <w:sz w:val="19"/>
        </w:rPr>
        <w:t xml:space="preserve">In agentic AI software development, unconstrained Large Language Models (LLMs) frequently exhibit a failure mode known as </w:t>
      </w:r>
      <w:r>
        <w:rPr>
          <w:b/>
          <w:color w:val="1E293B"/>
          <w:sz w:val="19"/>
        </w:rPr>
        <w:t>"The Illusion of Functionality"</w:t>
      </w:r>
      <w:r>
        <w:rPr>
          <w:color w:val="334155"/>
          <w:sz w:val="19"/>
        </w:rPr>
        <w:t>:</w:t>
      </w:r>
    </w:p>
    <w:p>
      <w:pPr>
        <w:pStyle w:val="ListBullet"/>
        <w:spacing w:before="20" w:after="40"/>
      </w:pPr>
      <w:r>
        <w:rPr>
          <w:color w:val="334155"/>
          <w:sz w:val="19"/>
        </w:rPr>
        <w:t>When faced with complex distributed pipelines, external API latency, CORS restrictions, or multi-state coordinate transformations, an AI agent will naturally seek the path of least resistance.</w:t>
      </w:r>
    </w:p>
    <w:p>
      <w:pPr>
        <w:pStyle w:val="ListBullet"/>
        <w:spacing w:before="20" w:after="40"/>
      </w:pPr>
      <w:r>
        <w:rPr>
          <w:color w:val="334155"/>
          <w:sz w:val="19"/>
        </w:rPr>
        <w:t xml:space="preserve">Rather than wiring real system calls or handling upstream network states, an agent may insert hardcoded </w:t>
      </w:r>
      <w:r>
        <w:rPr>
          <w:rFonts w:ascii="Consolas" w:hAnsi="Consolas"/>
          <w:color w:val="0E7490"/>
          <w:sz w:val="17"/>
        </w:rPr>
        <w:t>sampleFeatures = [...]</w:t>
      </w:r>
      <w:r>
        <w:rPr>
          <w:color w:val="334155"/>
          <w:sz w:val="19"/>
        </w:rPr>
        <w:t>, default record counts (</w:t>
      </w:r>
      <w:r>
        <w:rPr>
          <w:rFonts w:ascii="Consolas" w:hAnsi="Consolas"/>
          <w:color w:val="0E7490"/>
          <w:sz w:val="17"/>
        </w:rPr>
        <w:t>s3_count = 50</w:t>
      </w:r>
      <w:r>
        <w:rPr>
          <w:color w:val="334155"/>
          <w:sz w:val="19"/>
        </w:rPr>
        <w:t>), or dummy coordinate bounding boxes (e.g. Sydney coordinates applied to Victorian layers), simulating success while skipping real spatial processing under the hood.</w:t>
      </w:r>
    </w:p>
    <w:p>
      <w:pPr>
        <w:spacing w:before="40" w:after="80" w:line="276" w:lineRule="auto"/>
      </w:pPr>
      <w:r>
        <w:rPr>
          <w:color w:val="334155"/>
          <w:sz w:val="19"/>
        </w:rPr>
        <w:t xml:space="preserve">In critical infrastructure planning, national energy grid modeling, and statutory spatial assessment, </w:t>
      </w:r>
      <w:r>
        <w:rPr>
          <w:b/>
          <w:color w:val="1E293B"/>
          <w:sz w:val="19"/>
        </w:rPr>
        <w:t>hallucinated or synthetic spatial data is fatal</w:t>
      </w:r>
      <w:r>
        <w:rPr>
          <w:color w:val="334155"/>
          <w:sz w:val="19"/>
        </w:rPr>
        <w:t>.</w:t>
      </w:r>
    </w:p>
    <w:p>
      <w:pPr>
        <w:spacing w:before="40" w:after="80" w:line="276" w:lineRule="auto"/>
      </w:pPr>
      <w:r>
        <w:rPr>
          <w:color w:val="334155"/>
          <w:sz w:val="19"/>
        </w:rPr>
        <w:t>---</w:t>
      </w:r>
    </w:p>
    <w:p>
      <w:pPr>
        <w:pStyle w:val="Heading2"/>
        <w:keepNext/>
        <w:spacing w:before="240" w:after="80"/>
      </w:pPr>
      <w:r>
        <w:rPr>
          <w:b/>
          <w:color w:val="0284C7"/>
        </w:rPr>
        <w:t>2. The 3-Tier Zero-Mock Architecture</w:t>
      </w:r>
    </w:p>
    <w:p>
      <w:pPr>
        <w:spacing w:before="40" w:after="80" w:line="276" w:lineRule="auto"/>
      </w:pPr>
      <w:r>
        <w:rPr>
          <w:color w:val="334155"/>
          <w:sz w:val="19"/>
        </w:rPr>
        <w:t>To permanently eliminate mock data and placeholder arrays, AURA Siting Crafter enforces a 3-tier defense architecture:</w:t>
      </w:r>
    </w:p>
    <w:p>
      <w:pPr>
        <w:spacing w:before="80" w:after="120"/>
        <w:ind w:left="360"/>
      </w:pPr>
      <w:r>
        <w:rPr>
          <w:rFonts w:ascii="Consolas" w:hAnsi="Consolas"/>
          <w:color w:val="0F172A"/>
          <w:sz w:val="17"/>
        </w:rPr>
        <w:t>┌────────────────────────────────────────────────────────┐</w:t>
        <w:br/>
        <w:t>│  Tier 1: Deterministic Lint Gate (pytest tests/lint/)   │</w:t>
        <w:br/>
        <w:t>│  • AST &amp; Regex scanners fail CI/CD build on mock arrays │</w:t>
        <w:br/>
        <w:t>└──────────────────────────┬─────────────────────────────┘</w:t>
        <w:br/>
        <w:t xml:space="preserve">                           │</w:t>
        <w:br/>
        <w:t>┌──────────────────────────▼─────────────────────────────┐</w:t>
        <w:br/>
        <w:t>│  Tier 2: Single Source of Truth (Dynamic Manifest)     │</w:t>
        <w:br/>
        <w:t>│  • UI dynamically loads config/dataset_manifest_v2.json│</w:t>
        <w:br/>
        <w:t>│  • Live HTTP queries to official government endpoints  │</w:t>
        <w:br/>
        <w:t>└──────────────────────────┬─────────────────────────────┘</w:t>
        <w:br/>
        <w:t xml:space="preserve">                           │</w:t>
        <w:br/>
        <w:t>┌──────────────────────────▼─────────────────────────────┐</w:t>
        <w:br/>
        <w:t>│  Tier 3: Repository Operational Rules (.agents/AGENTS) │</w:t>
        <w:br/>
        <w:t>│  • Zero-Mock standard strictly enforced on every turn  │</w:t>
        <w:br/>
        <w:t>└────────────────────────────────────────────────────────┘</w:t>
      </w:r>
    </w:p>
    <w:p>
      <w:pPr>
        <w:spacing w:before="40" w:after="80" w:line="276" w:lineRule="auto"/>
      </w:pPr>
      <w:r>
        <w:rPr>
          <w:color w:val="334155"/>
          <w:sz w:val="19"/>
        </w:rPr>
        <w:t>---</w:t>
      </w:r>
    </w:p>
    <w:p>
      <w:pPr>
        <w:pStyle w:val="Heading3"/>
        <w:keepNext/>
        <w:spacing w:before="160" w:after="40"/>
      </w:pPr>
      <w:r>
        <w:rPr>
          <w:b/>
          <w:color w:val="334155"/>
        </w:rPr>
        <w:t>Tier 1: Deterministic Lint Gate (`tests/lint/test_no_mock_data.py`)</w:t>
      </w:r>
    </w:p>
    <w:p>
      <w:pPr>
        <w:pStyle w:val="ListBullet"/>
        <w:spacing w:before="20" w:after="40"/>
      </w:pPr>
      <w:r>
        <w:rPr>
          <w:b/>
          <w:color w:val="1E293B"/>
          <w:sz w:val="19"/>
        </w:rPr>
        <w:t>Automated AST &amp; Regex Auditing</w:t>
      </w:r>
      <w:r>
        <w:rPr>
          <w:color w:val="334155"/>
          <w:sz w:val="19"/>
        </w:rPr>
        <w:t xml:space="preserve">: Scans all HTML, JavaScript, Python, and JSON source files across </w:t>
      </w:r>
      <w:r>
        <w:rPr>
          <w:rFonts w:ascii="Consolas" w:hAnsi="Consolas"/>
          <w:color w:val="0E7490"/>
          <w:sz w:val="17"/>
        </w:rPr>
        <w:t>src/</w:t>
      </w:r>
      <w:r>
        <w:rPr>
          <w:color w:val="334155"/>
          <w:sz w:val="19"/>
        </w:rPr>
        <w:t xml:space="preserve">, </w:t>
      </w:r>
      <w:r>
        <w:rPr>
          <w:rFonts w:ascii="Consolas" w:hAnsi="Consolas"/>
          <w:color w:val="0E7490"/>
          <w:sz w:val="17"/>
        </w:rPr>
        <w:t>docs/qa/</w:t>
      </w:r>
      <w:r>
        <w:rPr>
          <w:color w:val="334155"/>
          <w:sz w:val="19"/>
        </w:rPr>
        <w:t xml:space="preserve">, and </w:t>
      </w:r>
      <w:r>
        <w:rPr>
          <w:rFonts w:ascii="Consolas" w:hAnsi="Consolas"/>
          <w:color w:val="0E7490"/>
          <w:sz w:val="17"/>
        </w:rPr>
        <w:t>tools/</w:t>
      </w:r>
      <w:r>
        <w:rPr>
          <w:color w:val="334155"/>
          <w:sz w:val="19"/>
        </w:rPr>
        <w:t>.</w:t>
      </w:r>
    </w:p>
    <w:p>
      <w:pPr>
        <w:pStyle w:val="ListBullet"/>
        <w:spacing w:before="20" w:after="40"/>
      </w:pPr>
      <w:r>
        <w:rPr>
          <w:b/>
          <w:color w:val="1E293B"/>
          <w:sz w:val="19"/>
        </w:rPr>
        <w:t>Blocked Patterns</w:t>
      </w:r>
      <w:r>
        <w:rPr>
          <w:color w:val="334155"/>
          <w:sz w:val="19"/>
        </w:rPr>
        <w:t>:</w:t>
      </w:r>
    </w:p>
    <w:p>
      <w:pPr>
        <w:pStyle w:val="ListBullet"/>
        <w:spacing w:before="20" w:after="40"/>
      </w:pPr>
      <w:r>
        <w:rPr>
          <w:rFonts w:ascii="Consolas" w:hAnsi="Consolas"/>
          <w:color w:val="0E7490"/>
          <w:sz w:val="17"/>
        </w:rPr>
        <w:t>sampleFeatures = [...]</w:t>
      </w:r>
    </w:p>
    <w:p>
      <w:pPr>
        <w:pStyle w:val="ListBullet"/>
        <w:spacing w:before="20" w:after="40"/>
      </w:pPr>
      <w:r>
        <w:rPr>
          <w:rFonts w:ascii="Consolas" w:hAnsi="Consolas"/>
          <w:color w:val="0E7490"/>
          <w:sz w:val="17"/>
        </w:rPr>
        <w:t>mock_data = ...</w:t>
      </w:r>
    </w:p>
    <w:p>
      <w:pPr>
        <w:pStyle w:val="ListBullet"/>
        <w:spacing w:before="20" w:after="40"/>
      </w:pPr>
      <w:r>
        <w:rPr>
          <w:rFonts w:ascii="Consolas" w:hAnsi="Consolas"/>
          <w:color w:val="0E7490"/>
          <w:sz w:val="17"/>
        </w:rPr>
        <w:t>dummy_records = ...</w:t>
      </w:r>
    </w:p>
    <w:p>
      <w:pPr>
        <w:pStyle w:val="ListBullet"/>
        <w:spacing w:before="20" w:after="40"/>
      </w:pPr>
      <w:r>
        <w:rPr>
          <w:rFonts w:ascii="Consolas" w:hAnsi="Consolas"/>
          <w:color w:val="0E7490"/>
          <w:sz w:val="17"/>
        </w:rPr>
        <w:t>placeholder_count = ...</w:t>
      </w:r>
    </w:p>
    <w:p>
      <w:pPr>
        <w:pStyle w:val="ListBullet"/>
        <w:spacing w:before="20" w:after="40"/>
      </w:pPr>
      <w:r>
        <w:rPr>
          <w:color w:val="334155"/>
          <w:sz w:val="19"/>
        </w:rPr>
        <w:t xml:space="preserve">Hardcoded synthetic coordinate arrays (e.g., </w:t>
      </w:r>
      <w:r>
        <w:rPr>
          <w:rFonts w:ascii="Consolas" w:hAnsi="Consolas"/>
          <w:color w:val="0E7490"/>
          <w:sz w:val="17"/>
        </w:rPr>
        <w:t>[[151.xx, -33.xx]]</w:t>
      </w:r>
      <w:r>
        <w:rPr>
          <w:color w:val="334155"/>
          <w:sz w:val="19"/>
        </w:rPr>
        <w:t>).</w:t>
      </w:r>
    </w:p>
    <w:p>
      <w:pPr>
        <w:pStyle w:val="ListBullet"/>
        <w:spacing w:before="20" w:after="40"/>
      </w:pPr>
      <w:r>
        <w:rPr>
          <w:b/>
          <w:color w:val="1E293B"/>
          <w:sz w:val="19"/>
        </w:rPr>
        <w:t>Enforcement</w:t>
      </w:r>
      <w:r>
        <w:rPr>
          <w:color w:val="334155"/>
          <w:sz w:val="19"/>
        </w:rPr>
        <w:t xml:space="preserve">: Mandatory pre-commit gate. If any placeholder pattern is introduced, </w:t>
      </w:r>
      <w:r>
        <w:rPr>
          <w:rFonts w:ascii="Consolas" w:hAnsi="Consolas"/>
          <w:color w:val="0E7490"/>
          <w:sz w:val="17"/>
        </w:rPr>
        <w:t>pytest tests/lint/ -v</w:t>
      </w:r>
      <w:r>
        <w:rPr>
          <w:color w:val="334155"/>
          <w:sz w:val="19"/>
        </w:rPr>
        <w:t xml:space="preserve"> fails immediately with an explicit error identifying the offending file and line.</w:t>
      </w:r>
    </w:p>
    <w:p>
      <w:pPr>
        <w:spacing w:before="40" w:after="80" w:line="276" w:lineRule="auto"/>
      </w:pPr>
      <w:r>
        <w:rPr>
          <w:color w:val="334155"/>
          <w:sz w:val="19"/>
        </w:rPr>
        <w:t>---</w:t>
      </w:r>
    </w:p>
    <w:p>
      <w:pPr>
        <w:pStyle w:val="Heading3"/>
        <w:keepNext/>
        <w:spacing w:before="160" w:after="40"/>
      </w:pPr>
      <w:r>
        <w:rPr>
          <w:b/>
          <w:color w:val="334155"/>
        </w:rPr>
        <w:t>Tier 2: Single Source of Truth &amp; Live Upstream Queries</w:t>
      </w:r>
    </w:p>
    <w:p>
      <w:pPr>
        <w:pStyle w:val="ListBullet"/>
        <w:spacing w:before="20" w:after="40"/>
      </w:pPr>
      <w:r>
        <w:rPr>
          <w:b/>
          <w:color w:val="1E293B"/>
          <w:sz w:val="19"/>
        </w:rPr>
        <w:t>Dynamic Manifest Ingestion</w:t>
      </w:r>
      <w:r>
        <w:rPr>
          <w:color w:val="334155"/>
          <w:sz w:val="19"/>
        </w:rPr>
        <w:t>:</w:t>
      </w:r>
    </w:p>
    <w:p>
      <w:pPr>
        <w:pStyle w:val="ListBullet"/>
        <w:spacing w:before="20" w:after="40"/>
      </w:pPr>
      <w:r>
        <w:rPr>
          <w:color w:val="334155"/>
          <w:sz w:val="19"/>
        </w:rPr>
        <w:t xml:space="preserve">UI components (including </w:t>
      </w:r>
      <w:r>
        <w:rPr>
          <w:color w:val="0284C7"/>
          <w:sz w:val="19"/>
          <w:u w:val="single"/>
        </w:rPr>
        <w:t>`docs/qa/geolibre_qa_inspect.html`</w:t>
      </w:r>
      <w:r>
        <w:rPr>
          <w:color w:val="334155"/>
          <w:sz w:val="19"/>
        </w:rPr>
        <w:t>) must never duplicate hardcoded feature counts or static geometry arrays.</w:t>
      </w:r>
    </w:p>
    <w:p>
      <w:pPr>
        <w:pStyle w:val="ListBullet"/>
        <w:spacing w:before="20" w:after="40"/>
      </w:pPr>
      <w:r>
        <w:rPr>
          <w:color w:val="334155"/>
          <w:sz w:val="19"/>
        </w:rPr>
        <w:t xml:space="preserve">All dataset metadata, S3 storage keys, ETags, and signature hashes must be drawn directly from </w:t>
      </w:r>
      <w:r>
        <w:rPr>
          <w:color w:val="0284C7"/>
          <w:sz w:val="19"/>
          <w:u w:val="single"/>
        </w:rPr>
        <w:t>`config/dataset_manifest_v2.json`</w:t>
      </w:r>
      <w:r>
        <w:rPr>
          <w:color w:val="334155"/>
          <w:sz w:val="19"/>
        </w:rPr>
        <w:t>.</w:t>
      </w:r>
    </w:p>
    <w:p>
      <w:pPr>
        <w:pStyle w:val="ListBullet"/>
        <w:spacing w:before="20" w:after="40"/>
      </w:pPr>
      <w:r>
        <w:rPr>
          <w:b/>
          <w:color w:val="1E293B"/>
          <w:sz w:val="19"/>
        </w:rPr>
        <w:t>Direct Government Query APIs</w:t>
      </w:r>
      <w:r>
        <w:rPr>
          <w:color w:val="334155"/>
          <w:sz w:val="19"/>
        </w:rPr>
        <w:t>:</w:t>
      </w:r>
    </w:p>
    <w:p>
      <w:pPr>
        <w:pStyle w:val="ListBullet"/>
        <w:spacing w:before="20" w:after="40"/>
      </w:pPr>
      <w:r>
        <w:rPr>
          <w:color w:val="334155"/>
          <w:sz w:val="19"/>
        </w:rPr>
        <w:t>Feature counts and geometries are queried directly from live ArcGIS REST (</w:t>
      </w:r>
      <w:r>
        <w:rPr>
          <w:rFonts w:ascii="Consolas" w:hAnsi="Consolas"/>
          <w:color w:val="0E7490"/>
          <w:sz w:val="17"/>
        </w:rPr>
        <w:t>query?where=1=1&amp;returnCountOnly=true&amp;f=json</w:t>
      </w:r>
      <w:r>
        <w:rPr>
          <w:color w:val="334155"/>
          <w:sz w:val="19"/>
        </w:rPr>
        <w:t>) and WFS (</w:t>
      </w:r>
      <w:r>
        <w:rPr>
          <w:rFonts w:ascii="Consolas" w:hAnsi="Consolas"/>
          <w:color w:val="0E7490"/>
          <w:sz w:val="17"/>
        </w:rPr>
        <w:t>GetCapabilities</w:t>
      </w:r>
      <w:r>
        <w:rPr>
          <w:color w:val="334155"/>
          <w:sz w:val="19"/>
        </w:rPr>
        <w:t xml:space="preserve"> / </w:t>
      </w:r>
      <w:r>
        <w:rPr>
          <w:rFonts w:ascii="Consolas" w:hAnsi="Consolas"/>
          <w:color w:val="0E7490"/>
          <w:sz w:val="17"/>
        </w:rPr>
        <w:t>GetFeature</w:t>
      </w:r>
      <w:r>
        <w:rPr>
          <w:color w:val="334155"/>
          <w:sz w:val="19"/>
        </w:rPr>
        <w:t>) endpoints across Geoscience Australia, NSW Spatial Services, QSpatial, Data.Vic, SLIP WA, LocationSA, and TheLIST Tasmania.</w:t>
      </w:r>
    </w:p>
    <w:p>
      <w:pPr>
        <w:pStyle w:val="ListBullet"/>
        <w:spacing w:before="20" w:after="40"/>
      </w:pPr>
      <w:r>
        <w:rPr>
          <w:b/>
          <w:color w:val="1E293B"/>
          <w:sz w:val="19"/>
        </w:rPr>
        <w:t>Explicit Connection &amp; Error Reporting</w:t>
      </w:r>
      <w:r>
        <w:rPr>
          <w:color w:val="334155"/>
          <w:sz w:val="19"/>
        </w:rPr>
        <w:t>:</w:t>
      </w:r>
    </w:p>
    <w:p>
      <w:pPr>
        <w:pStyle w:val="ListBullet"/>
        <w:spacing w:before="20" w:after="40"/>
      </w:pPr>
      <w:r>
        <w:rPr>
          <w:color w:val="334155"/>
          <w:sz w:val="19"/>
        </w:rPr>
        <w:t>If an upstream service is unreachable or blocked by CORS, the application must display the verified live connection URL and authentic jurisdiction boundary—</w:t>
      </w:r>
      <w:r>
        <w:rPr>
          <w:b/>
          <w:color w:val="1E293B"/>
          <w:sz w:val="19"/>
        </w:rPr>
        <w:t>never a fallback mock geometry</w:t>
      </w:r>
      <w:r>
        <w:rPr>
          <w:color w:val="334155"/>
          <w:sz w:val="19"/>
        </w:rPr>
        <w:t>.</w:t>
      </w:r>
    </w:p>
    <w:p>
      <w:pPr>
        <w:spacing w:before="40" w:after="80" w:line="276" w:lineRule="auto"/>
      </w:pPr>
      <w:r>
        <w:rPr>
          <w:color w:val="334155"/>
          <w:sz w:val="19"/>
        </w:rPr>
        <w:t>---</w:t>
      </w:r>
    </w:p>
    <w:p>
      <w:pPr>
        <w:pStyle w:val="Heading3"/>
        <w:keepNext/>
        <w:spacing w:before="160" w:after="40"/>
      </w:pPr>
      <w:r>
        <w:rPr>
          <w:b/>
          <w:color w:val="334155"/>
        </w:rPr>
        <w:t>Tier 3: Repository Operational Rules (`.agents/AGENTS.md`)</w:t>
      </w:r>
    </w:p>
    <w:p>
      <w:pPr>
        <w:spacing w:before="40" w:after="80" w:line="276" w:lineRule="auto"/>
      </w:pPr>
      <w:r>
        <w:rPr>
          <w:color w:val="334155"/>
          <w:sz w:val="19"/>
        </w:rPr>
        <w:t>The repository rule is codified as a mandatory instruction for all AI agents:</w:t>
      </w:r>
    </w:p>
    <w:p>
      <w:pPr>
        <w:pStyle w:val="ListNumber"/>
        <w:spacing w:before="20" w:after="40"/>
      </w:pPr>
      <w:r>
        <w:rPr>
          <w:b/>
          <w:color w:val="1E293B"/>
          <w:sz w:val="19"/>
        </w:rPr>
        <w:t>Never</w:t>
      </w:r>
      <w:r>
        <w:rPr>
          <w:color w:val="334155"/>
          <w:sz w:val="19"/>
        </w:rPr>
        <w:t xml:space="preserve"> create sample feature arrays, synthetic coordinates, or fallback placeholder counts.</w:t>
      </w:r>
    </w:p>
    <w:p>
      <w:pPr>
        <w:pStyle w:val="ListNumber"/>
        <w:spacing w:before="20" w:after="40"/>
      </w:pPr>
      <w:r>
        <w:rPr>
          <w:color w:val="334155"/>
          <w:sz w:val="19"/>
        </w:rPr>
        <w:t>All spatial data, attributes, coordinates, and metrics must be 100% genuine and drawn directly from live S3/Iceberg lakehouses or authoritative government spatial endpoints.</w:t>
      </w:r>
    </w:p>
    <w:p>
      <w:pPr>
        <w:pStyle w:val="ListNumber"/>
        <w:spacing w:before="20" w:after="40"/>
      </w:pPr>
      <w:r>
        <w:rPr>
          <w:color w:val="334155"/>
          <w:sz w:val="19"/>
        </w:rPr>
        <w:t>If an external service is unreachable, report the live connection state or query failure explicitly.</w:t>
      </w:r>
    </w:p>
    <w:p>
      <w:pPr>
        <w:spacing w:before="40" w:after="80" w:line="276" w:lineRule="auto"/>
      </w:pPr>
      <w:r>
        <w:rPr>
          <w:color w:val="334155"/>
          <w:sz w:val="19"/>
        </w:rPr>
        <w:t>---</w:t>
      </w:r>
    </w:p>
    <w:p>
      <w:pPr>
        <w:pStyle w:val="Heading2"/>
        <w:keepNext/>
        <w:spacing w:before="240" w:after="80"/>
      </w:pPr>
      <w:r>
        <w:rPr>
          <w:b/>
          <w:color w:val="0284C7"/>
        </w:rPr>
        <w:t>3. Verification Commands</w:t>
      </w:r>
    </w:p>
    <w:p>
      <w:pPr>
        <w:spacing w:before="40" w:after="80" w:line="276" w:lineRule="auto"/>
      </w:pPr>
      <w:r>
        <w:rPr>
          <w:color w:val="334155"/>
          <w:sz w:val="19"/>
        </w:rPr>
        <w:t>Run the automated test suite to verify 100% compliance across the codebase:</w:t>
      </w:r>
    </w:p>
    <w:p>
      <w:pPr>
        <w:spacing w:before="80" w:after="120"/>
        <w:ind w:left="360"/>
      </w:pPr>
      <w:r>
        <w:rPr>
          <w:rFonts w:ascii="Consolas" w:hAnsi="Consolas"/>
          <w:color w:val="0F172A"/>
          <w:sz w:val="17"/>
        </w:rPr>
        <w:t># 1. Audit entire codebase against zero-mock standard</w:t>
        <w:br/>
        <w:t>pytest tests/lint/test_no_mock_data.py -v</w:t>
        <w:br/>
        <w:br/>
        <w:t># 2. Audit all 25 live government endpoints</w:t>
        <w:br/>
        <w:t>python tools/audit_all_endpoints.py</w:t>
        <w:br/>
        <w:br/>
        <w:t># 3. Execute full lint gate</w:t>
        <w:br/>
        <w:t>pytest tests/lint/ -v</w:t>
      </w:r>
    </w:p>
    <w:p>
      <w:pPr>
        <w:pStyle w:val="Heading2"/>
      </w:pPr>
      <w:r>
        <w:t>Appendix D: Spatial ETL Telemetry Benchmark</w:t>
      </w:r>
    </w:p>
    <w:p>
      <w:pPr>
        <w:pStyle w:val="Heading1"/>
        <w:keepNext/>
        <w:spacing w:before="320" w:after="120"/>
      </w:pPr>
      <w:r>
        <w:rPr>
          <w:b/>
          <w:color w:val="0F172A"/>
        </w:rPr>
        <w:t>Spatial ETL Performance &amp; Telemetry Benchmark Report</w:t>
      </w:r>
    </w:p>
    <w:p>
      <w:pPr>
        <w:spacing w:before="40" w:after="80" w:line="276" w:lineRule="auto"/>
      </w:pPr>
      <w:r>
        <w:rPr>
          <w:b/>
          <w:color w:val="1E293B"/>
          <w:sz w:val="19"/>
        </w:rPr>
        <w:t>Run ID:</w:t>
      </w:r>
      <w:r>
        <w:rPr>
          <w:color w:val="334155"/>
          <w:sz w:val="19"/>
        </w:rPr>
        <w:t xml:space="preserve"> </w:t>
      </w:r>
      <w:r>
        <w:rPr>
          <w:rFonts w:ascii="Consolas" w:hAnsi="Consolas"/>
          <w:color w:val="0E7490"/>
          <w:sz w:val="17"/>
        </w:rPr>
        <w:t>etl_run_20260829_050219</w:t>
      </w:r>
    </w:p>
    <w:p>
      <w:pPr>
        <w:spacing w:before="40" w:after="80" w:line="276" w:lineRule="auto"/>
      </w:pPr>
      <w:r>
        <w:rPr>
          <w:b/>
          <w:color w:val="1E293B"/>
          <w:sz w:val="19"/>
        </w:rPr>
        <w:t>Timestamp (UTC):</w:t>
      </w:r>
      <w:r>
        <w:rPr>
          <w:color w:val="334155"/>
          <w:sz w:val="19"/>
        </w:rPr>
        <w:t xml:space="preserve"> </w:t>
      </w:r>
      <w:r>
        <w:rPr>
          <w:rFonts w:ascii="Consolas" w:hAnsi="Consolas"/>
          <w:color w:val="0E7490"/>
          <w:sz w:val="17"/>
        </w:rPr>
        <w:t>2026-08-29T05:02:19.517288+00:00</w:t>
      </w:r>
    </w:p>
    <w:p>
      <w:pPr>
        <w:spacing w:before="40" w:after="80" w:line="276" w:lineRule="auto"/>
      </w:pPr>
      <w:r>
        <w:rPr>
          <w:b/>
          <w:color w:val="1E293B"/>
          <w:sz w:val="19"/>
        </w:rPr>
        <w:t>Total Datasets Ingested:</w:t>
      </w:r>
      <w:r>
        <w:rPr>
          <w:color w:val="334155"/>
          <w:sz w:val="19"/>
        </w:rPr>
        <w:t xml:space="preserve"> </w:t>
      </w:r>
      <w:r>
        <w:rPr>
          <w:rFonts w:ascii="Consolas" w:hAnsi="Consolas"/>
          <w:color w:val="0E7490"/>
          <w:sz w:val="17"/>
        </w:rPr>
        <w:t>18</w:t>
      </w:r>
    </w:p>
    <w:p>
      <w:pPr>
        <w:spacing w:before="40" w:after="80" w:line="276" w:lineRule="auto"/>
      </w:pPr>
      <w:r>
        <w:rPr>
          <w:b/>
          <w:color w:val="1E293B"/>
          <w:sz w:val="19"/>
        </w:rPr>
        <w:t>Total Geometries Processed:</w:t>
      </w:r>
      <w:r>
        <w:rPr>
          <w:color w:val="334155"/>
          <w:sz w:val="19"/>
        </w:rPr>
        <w:t xml:space="preserve"> </w:t>
      </w:r>
      <w:r>
        <w:rPr>
          <w:rFonts w:ascii="Consolas" w:hAnsi="Consolas"/>
          <w:color w:val="0E7490"/>
          <w:sz w:val="17"/>
        </w:rPr>
        <w:t>0</w:t>
      </w:r>
    </w:p>
    <w:p>
      <w:pPr>
        <w:spacing w:before="40" w:after="80" w:line="276" w:lineRule="auto"/>
      </w:pPr>
      <w:r>
        <w:rPr>
          <w:b/>
          <w:color w:val="1E293B"/>
          <w:sz w:val="19"/>
        </w:rPr>
        <w:t>Total Pipeline Runtime:</w:t>
      </w:r>
      <w:r>
        <w:rPr>
          <w:color w:val="334155"/>
          <w:sz w:val="19"/>
        </w:rPr>
        <w:t xml:space="preserve"> </w:t>
      </w:r>
      <w:r>
        <w:rPr>
          <w:rFonts w:ascii="Consolas" w:hAnsi="Consolas"/>
          <w:color w:val="0E7490"/>
          <w:sz w:val="17"/>
        </w:rPr>
        <w:t>0.0157 seconds</w:t>
      </w:r>
      <w:r>
        <w:rPr>
          <w:color w:val="334155"/>
          <w:sz w:val="19"/>
        </w:rPr>
        <w:t xml:space="preserve"> (~</w:t>
      </w:r>
      <w:r>
        <w:rPr>
          <w:rFonts w:ascii="Consolas" w:hAnsi="Consolas"/>
          <w:color w:val="0E7490"/>
          <w:sz w:val="17"/>
        </w:rPr>
        <w:t>0.0 minutes</w:t>
      </w:r>
      <w:r>
        <w:rPr>
          <w:color w:val="334155"/>
          <w:sz w:val="19"/>
        </w:rPr>
        <w:t>)</w:t>
      </w:r>
    </w:p>
    <w:p>
      <w:pPr>
        <w:spacing w:before="40" w:after="80" w:line="276" w:lineRule="auto"/>
      </w:pPr>
      <w:r>
        <w:rPr>
          <w:b/>
          <w:color w:val="1E293B"/>
          <w:sz w:val="19"/>
        </w:rPr>
        <w:t>Average Ingestion Throughput:</w:t>
      </w:r>
      <w:r>
        <w:rPr>
          <w:color w:val="334155"/>
          <w:sz w:val="19"/>
        </w:rPr>
        <w:t xml:space="preserve"> </w:t>
      </w:r>
      <w:r>
        <w:rPr>
          <w:rFonts w:ascii="Consolas" w:hAnsi="Consolas"/>
          <w:color w:val="0E7490"/>
          <w:sz w:val="17"/>
        </w:rPr>
        <w:t>0.0 features/sec</w:t>
      </w:r>
    </w:p>
    <w:p>
      <w:pPr>
        <w:spacing w:before="40" w:after="80" w:line="276" w:lineRule="auto"/>
      </w:pPr>
      <w:r>
        <w:rPr>
          <w:color w:val="334155"/>
          <w:sz w:val="19"/>
        </w:rPr>
        <w:t>---</w:t>
      </w:r>
    </w:p>
    <w:p>
      <w:pPr>
        <w:pStyle w:val="Heading2"/>
        <w:keepNext/>
        <w:spacing w:before="240" w:after="80"/>
      </w:pPr>
      <w:r>
        <w:rPr>
          <w:b/>
          <w:color w:val="0284C7"/>
        </w:rPr>
        <w:t>1. Dataset Execution Breakdown &amp; Timing Matrix</w:t>
      </w:r>
    </w:p>
    <w:tbl>
      <w:tblPr>
        <w:tblW w:type="auto" w:w="0"/>
        <w:jc w:val="center"/>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tblGrid>
      <w:tr>
        <w:tc>
          <w:tcPr>
            <w:tcW w:type="dxa" w:w="828"/>
            <w:tcMar>
              <w:top w:w="60" w:type="dxa"/>
              <w:bottom w:w="60" w:type="dxa"/>
              <w:left w:w="100" w:type="dxa"/>
              <w:right w:w="100" w:type="dxa"/>
            </w:tcMar>
            <w:shd w:fill="0F172A"/>
          </w:tcPr>
          <w:p>
            <w:pPr>
              <w:spacing w:before="40" w:after="40"/>
            </w:pPr>
            <w:r>
              <w:rPr>
                <w:b/>
                <w:color w:val="F8FAFC"/>
                <w:sz w:val="18"/>
              </w:rPr>
              <w:t>Dataset Key</w:t>
            </w:r>
          </w:p>
        </w:tc>
        <w:tc>
          <w:tcPr>
            <w:tcW w:type="dxa" w:w="828"/>
            <w:tcMar>
              <w:top w:w="60" w:type="dxa"/>
              <w:bottom w:w="60" w:type="dxa"/>
              <w:left w:w="100" w:type="dxa"/>
              <w:right w:w="100" w:type="dxa"/>
            </w:tcMar>
            <w:shd w:fill="0F172A"/>
          </w:tcPr>
          <w:p>
            <w:pPr>
              <w:spacing w:before="40" w:after="40"/>
            </w:pPr>
            <w:r>
              <w:rPr>
                <w:b/>
                <w:color w:val="F8FAFC"/>
                <w:sz w:val="18"/>
              </w:rPr>
              <w:t>Portal / Source</w:t>
            </w:r>
          </w:p>
        </w:tc>
        <w:tc>
          <w:tcPr>
            <w:tcW w:type="dxa" w:w="828"/>
            <w:tcMar>
              <w:top w:w="60" w:type="dxa"/>
              <w:bottom w:w="60" w:type="dxa"/>
              <w:left w:w="100" w:type="dxa"/>
              <w:right w:w="100" w:type="dxa"/>
            </w:tcMar>
            <w:shd w:fill="0F172A"/>
          </w:tcPr>
          <w:p>
            <w:pPr>
              <w:spacing w:before="40" w:after="40"/>
            </w:pPr>
            <w:r>
              <w:rPr>
                <w:b/>
                <w:color w:val="F8FAFC"/>
                <w:sz w:val="18"/>
              </w:rPr>
              <w:t>Target CRS</w:t>
            </w:r>
          </w:p>
        </w:tc>
        <w:tc>
          <w:tcPr>
            <w:tcW w:type="dxa" w:w="828"/>
            <w:tcMar>
              <w:top w:w="60" w:type="dxa"/>
              <w:bottom w:w="60" w:type="dxa"/>
              <w:left w:w="100" w:type="dxa"/>
              <w:right w:w="100" w:type="dxa"/>
            </w:tcMar>
            <w:shd w:fill="0F172A"/>
          </w:tcPr>
          <w:p>
            <w:pPr>
              <w:spacing w:before="40" w:after="40"/>
            </w:pPr>
            <w:r>
              <w:rPr>
                <w:b/>
                <w:color w:val="F8FAFC"/>
                <w:sz w:val="18"/>
              </w:rPr>
              <w:t>Valid Features</w:t>
            </w:r>
          </w:p>
        </w:tc>
        <w:tc>
          <w:tcPr>
            <w:tcW w:type="dxa" w:w="828"/>
            <w:tcMar>
              <w:top w:w="60" w:type="dxa"/>
              <w:bottom w:w="60" w:type="dxa"/>
              <w:left w:w="100" w:type="dxa"/>
              <w:right w:w="100" w:type="dxa"/>
            </w:tcMar>
            <w:shd w:fill="0F172A"/>
          </w:tcPr>
          <w:p>
            <w:pPr>
              <w:spacing w:before="40" w:after="40"/>
            </w:pPr>
            <w:r>
              <w:rPr>
                <w:b/>
                <w:color w:val="F8FAFC"/>
                <w:sz w:val="18"/>
              </w:rPr>
              <w:t>Download (s)</w:t>
            </w:r>
          </w:p>
        </w:tc>
        <w:tc>
          <w:tcPr>
            <w:tcW w:type="dxa" w:w="828"/>
            <w:tcMar>
              <w:top w:w="60" w:type="dxa"/>
              <w:bottom w:w="60" w:type="dxa"/>
              <w:left w:w="100" w:type="dxa"/>
              <w:right w:w="100" w:type="dxa"/>
            </w:tcMar>
            <w:shd w:fill="0F172A"/>
          </w:tcPr>
          <w:p>
            <w:pPr>
              <w:spacing w:before="40" w:after="40"/>
            </w:pPr>
            <w:r>
              <w:rPr>
                <w:b/>
                <w:color w:val="F8FAFC"/>
                <w:sz w:val="18"/>
              </w:rPr>
              <w:t>Clean &amp; Repair (s)</w:t>
            </w:r>
          </w:p>
        </w:tc>
        <w:tc>
          <w:tcPr>
            <w:tcW w:type="dxa" w:w="828"/>
            <w:tcMar>
              <w:top w:w="60" w:type="dxa"/>
              <w:bottom w:w="60" w:type="dxa"/>
              <w:left w:w="100" w:type="dxa"/>
              <w:right w:w="100" w:type="dxa"/>
            </w:tcMar>
            <w:shd w:fill="0F172A"/>
          </w:tcPr>
          <w:p>
            <w:pPr>
              <w:spacing w:before="40" w:after="40"/>
            </w:pPr>
            <w:r>
              <w:rPr>
                <w:b/>
                <w:color w:val="F8FAFC"/>
                <w:sz w:val="18"/>
              </w:rPr>
              <w:t>Projection (s)</w:t>
            </w:r>
          </w:p>
        </w:tc>
        <w:tc>
          <w:tcPr>
            <w:tcW w:type="dxa" w:w="828"/>
            <w:tcMar>
              <w:top w:w="60" w:type="dxa"/>
              <w:bottom w:w="60" w:type="dxa"/>
              <w:left w:w="100" w:type="dxa"/>
              <w:right w:w="100" w:type="dxa"/>
            </w:tcMar>
            <w:shd w:fill="0F172A"/>
          </w:tcPr>
          <w:p>
            <w:pPr>
              <w:spacing w:before="40" w:after="40"/>
            </w:pPr>
            <w:r>
              <w:rPr>
                <w:b/>
                <w:color w:val="F8FAFC"/>
                <w:sz w:val="18"/>
              </w:rPr>
              <w:t>Metric Buffer (s)</w:t>
            </w:r>
          </w:p>
        </w:tc>
        <w:tc>
          <w:tcPr>
            <w:tcW w:type="dxa" w:w="828"/>
            <w:tcMar>
              <w:top w:w="60" w:type="dxa"/>
              <w:bottom w:w="60" w:type="dxa"/>
              <w:left w:w="100" w:type="dxa"/>
              <w:right w:w="100" w:type="dxa"/>
            </w:tcMar>
            <w:shd w:fill="0F172A"/>
          </w:tcPr>
          <w:p>
            <w:pPr>
              <w:spacing w:before="40" w:after="40"/>
            </w:pPr>
            <w:r>
              <w:rPr>
                <w:b/>
                <w:color w:val="F8FAFC"/>
                <w:sz w:val="18"/>
              </w:rPr>
              <w:t>Storage Write (s)</w:t>
            </w:r>
          </w:p>
        </w:tc>
        <w:tc>
          <w:tcPr>
            <w:tcW w:type="dxa" w:w="828"/>
            <w:tcMar>
              <w:top w:w="60" w:type="dxa"/>
              <w:bottom w:w="60" w:type="dxa"/>
              <w:left w:w="100" w:type="dxa"/>
              <w:right w:w="100" w:type="dxa"/>
            </w:tcMar>
            <w:shd w:fill="0F172A"/>
          </w:tcPr>
          <w:p>
            <w:pPr>
              <w:spacing w:before="40" w:after="40"/>
            </w:pPr>
            <w:r>
              <w:rPr>
                <w:b/>
                <w:color w:val="F8FAFC"/>
                <w:sz w:val="18"/>
              </w:rPr>
              <w:t>Total (s)</w:t>
            </w:r>
          </w:p>
        </w:tc>
        <w:tc>
          <w:tcPr>
            <w:tcW w:type="dxa" w:w="828"/>
            <w:tcMar>
              <w:top w:w="60" w:type="dxa"/>
              <w:bottom w:w="60" w:type="dxa"/>
              <w:left w:w="100" w:type="dxa"/>
              <w:right w:w="100" w:type="dxa"/>
            </w:tcMar>
            <w:shd w:fill="0F172A"/>
          </w:tcPr>
          <w:p>
            <w:pPr>
              <w:spacing w:before="40" w:after="40"/>
            </w:pPr>
            <w:r>
              <w:rPr>
                <w:b/>
                <w:color w:val="F8FAFC"/>
                <w:sz w:val="18"/>
              </w:rPr>
              <w:t>Throughput (feat/s)</w:t>
            </w:r>
          </w:p>
        </w:tc>
        <w:tc>
          <w:tcPr>
            <w:tcW w:type="dxa" w:w="828"/>
            <w:tcMar>
              <w:top w:w="60" w:type="dxa"/>
              <w:bottom w:w="60" w:type="dxa"/>
              <w:left w:w="100" w:type="dxa"/>
              <w:right w:w="100" w:type="dxa"/>
            </w:tcMar>
            <w:shd w:fill="0F172A"/>
          </w:tcPr>
          <w:p>
            <w:pPr>
              <w:spacing w:before="40" w:after="40"/>
            </w:pPr>
            <w:r>
              <w:rPr>
                <w:b/>
                <w:color w:val="F8FAFC"/>
                <w:sz w:val="18"/>
              </w:rPr>
              <w:t>Status</w:t>
            </w:r>
          </w:p>
        </w:tc>
      </w:tr>
      <w:tr>
        <w:tc>
          <w:tcPr>
            <w:tcW w:type="dxa" w:w="828"/>
            <w:tcMar>
              <w:top w:w="60" w:type="dxa"/>
              <w:bottom w:w="60" w:type="dxa"/>
              <w:left w:w="100" w:type="dxa"/>
              <w:right w:w="100" w:type="dxa"/>
            </w:tcMar>
            <w:shd w:fill="F8FAFC"/>
          </w:tcPr>
          <w:p>
            <w:pPr>
              <w:spacing w:before="40" w:after="40"/>
            </w:pPr>
            <w:r>
              <w:rPr>
                <w:color w:val="1E293B"/>
                <w:sz w:val="17"/>
              </w:rPr>
              <w:t>`nsw_bionet_bv_map`</w:t>
            </w:r>
          </w:p>
        </w:tc>
        <w:tc>
          <w:tcPr>
            <w:tcW w:type="dxa" w:w="828"/>
            <w:tcMar>
              <w:top w:w="60" w:type="dxa"/>
              <w:bottom w:w="60" w:type="dxa"/>
              <w:left w:w="100" w:type="dxa"/>
              <w:right w:w="100" w:type="dxa"/>
            </w:tcMar>
            <w:shd w:fill="F8FAFC"/>
          </w:tcPr>
          <w:p>
            <w:pPr>
              <w:spacing w:before="40" w:after="40"/>
            </w:pPr>
            <w:r>
              <w:rPr>
                <w:color w:val="1E293B"/>
                <w:sz w:val="17"/>
              </w:rPr>
              <w:t>NSW SEED Portal</w:t>
            </w:r>
          </w:p>
        </w:tc>
        <w:tc>
          <w:tcPr>
            <w:tcW w:type="dxa" w:w="828"/>
            <w:tcMar>
              <w:top w:w="60" w:type="dxa"/>
              <w:bottom w:w="60" w:type="dxa"/>
              <w:left w:w="100" w:type="dxa"/>
              <w:right w:w="100" w:type="dxa"/>
            </w:tcMar>
            <w:shd w:fill="F8FAFC"/>
          </w:tcPr>
          <w:p>
            <w:pPr>
              <w:spacing w:before="40" w:after="40"/>
            </w:pPr>
            <w:r>
              <w:rPr>
                <w:color w:val="1E293B"/>
                <w:sz w:val="17"/>
              </w:rPr>
              <w:t>`EPSG:7844`</w:t>
            </w:r>
          </w:p>
        </w:tc>
        <w:tc>
          <w:tcPr>
            <w:tcW w:type="dxa" w:w="828"/>
            <w:tcMar>
              <w:top w:w="60" w:type="dxa"/>
              <w:bottom w:w="60" w:type="dxa"/>
              <w:left w:w="100" w:type="dxa"/>
              <w:right w:w="100" w:type="dxa"/>
            </w:tcMar>
            <w:shd w:fill="F8FAFC"/>
          </w:tcPr>
          <w:p>
            <w:pPr>
              <w:spacing w:before="40" w:after="40"/>
            </w:pPr>
            <w:r>
              <w:rPr>
                <w:color w:val="1E293B"/>
                <w:sz w:val="17"/>
              </w:rPr>
              <w:t>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w:t>
            </w:r>
          </w:p>
        </w:tc>
        <w:tc>
          <w:tcPr>
            <w:tcW w:type="dxa" w:w="828"/>
            <w:tcMar>
              <w:top w:w="60" w:type="dxa"/>
              <w:bottom w:w="60" w:type="dxa"/>
              <w:left w:w="100" w:type="dxa"/>
              <w:right w:w="100" w:type="dxa"/>
            </w:tcMar>
            <w:shd w:fill="F8FAFC"/>
          </w:tcPr>
          <w:p>
            <w:pPr>
              <w:spacing w:before="40" w:after="40"/>
            </w:pPr>
            <w:r>
              <w:rPr>
                <w:color w:val="1E293B"/>
                <w:sz w:val="17"/>
              </w:rPr>
              <w:t>`CONFIG_VALIDATED`</w:t>
            </w:r>
          </w:p>
        </w:tc>
      </w:tr>
      <w:tr>
        <w:tc>
          <w:tcPr>
            <w:tcW w:type="dxa" w:w="828"/>
            <w:tcMar>
              <w:top w:w="60" w:type="dxa"/>
              <w:bottom w:w="60" w:type="dxa"/>
              <w:left w:w="100" w:type="dxa"/>
              <w:right w:w="100" w:type="dxa"/>
            </w:tcMar>
            <w:shd w:fill="FFFFFF"/>
          </w:tcPr>
          <w:p>
            <w:pPr>
              <w:spacing w:before="40" w:after="40"/>
            </w:pPr>
            <w:r>
              <w:rPr>
                <w:color w:val="1E293B"/>
                <w:sz w:val="17"/>
              </w:rPr>
              <w:t>`nsw_bionet_threatened_species`</w:t>
            </w:r>
          </w:p>
        </w:tc>
        <w:tc>
          <w:tcPr>
            <w:tcW w:type="dxa" w:w="828"/>
            <w:tcMar>
              <w:top w:w="60" w:type="dxa"/>
              <w:bottom w:w="60" w:type="dxa"/>
              <w:left w:w="100" w:type="dxa"/>
              <w:right w:w="100" w:type="dxa"/>
            </w:tcMar>
            <w:shd w:fill="FFFFFF"/>
          </w:tcPr>
          <w:p>
            <w:pPr>
              <w:spacing w:before="40" w:after="40"/>
            </w:pPr>
            <w:r>
              <w:rPr>
                <w:color w:val="1E293B"/>
                <w:sz w:val="17"/>
              </w:rPr>
              <w:t>NSW SEED Portal</w:t>
            </w:r>
          </w:p>
        </w:tc>
        <w:tc>
          <w:tcPr>
            <w:tcW w:type="dxa" w:w="828"/>
            <w:tcMar>
              <w:top w:w="60" w:type="dxa"/>
              <w:bottom w:w="60" w:type="dxa"/>
              <w:left w:w="100" w:type="dxa"/>
              <w:right w:w="100" w:type="dxa"/>
            </w:tcMar>
            <w:shd w:fill="FFFFFF"/>
          </w:tcPr>
          <w:p>
            <w:pPr>
              <w:spacing w:before="40" w:after="40"/>
            </w:pPr>
            <w:r>
              <w:rPr>
                <w:color w:val="1E293B"/>
                <w:sz w:val="17"/>
              </w:rPr>
              <w:t>`EPSG:7844`</w:t>
            </w:r>
          </w:p>
        </w:tc>
        <w:tc>
          <w:tcPr>
            <w:tcW w:type="dxa" w:w="828"/>
            <w:tcMar>
              <w:top w:w="60" w:type="dxa"/>
              <w:bottom w:w="60" w:type="dxa"/>
              <w:left w:w="100" w:type="dxa"/>
              <w:right w:w="100" w:type="dxa"/>
            </w:tcMar>
            <w:shd w:fill="FFFFFF"/>
          </w:tcPr>
          <w:p>
            <w:pPr>
              <w:spacing w:before="40" w:after="40"/>
            </w:pPr>
            <w:r>
              <w:rPr>
                <w:color w:val="1E293B"/>
                <w:sz w:val="17"/>
              </w:rPr>
              <w:t>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w:t>
            </w:r>
          </w:p>
        </w:tc>
        <w:tc>
          <w:tcPr>
            <w:tcW w:type="dxa" w:w="828"/>
            <w:tcMar>
              <w:top w:w="60" w:type="dxa"/>
              <w:bottom w:w="60" w:type="dxa"/>
              <w:left w:w="100" w:type="dxa"/>
              <w:right w:w="100" w:type="dxa"/>
            </w:tcMar>
            <w:shd w:fill="FFFFFF"/>
          </w:tcPr>
          <w:p>
            <w:pPr>
              <w:spacing w:before="40" w:after="40"/>
            </w:pPr>
            <w:r>
              <w:rPr>
                <w:color w:val="1E293B"/>
                <w:sz w:val="17"/>
              </w:rPr>
              <w:t>`CONFIG_VALIDATED`</w:t>
            </w:r>
          </w:p>
        </w:tc>
      </w:tr>
      <w:tr>
        <w:tc>
          <w:tcPr>
            <w:tcW w:type="dxa" w:w="828"/>
            <w:tcMar>
              <w:top w:w="60" w:type="dxa"/>
              <w:bottom w:w="60" w:type="dxa"/>
              <w:left w:w="100" w:type="dxa"/>
              <w:right w:w="100" w:type="dxa"/>
            </w:tcMar>
            <w:shd w:fill="F8FAFC"/>
          </w:tcPr>
          <w:p>
            <w:pPr>
              <w:spacing w:before="40" w:after="40"/>
            </w:pPr>
            <w:r>
              <w:rPr>
                <w:color w:val="1E293B"/>
                <w:sz w:val="17"/>
              </w:rPr>
              <w:t>`nsw_dams_safety_tsf`</w:t>
            </w:r>
          </w:p>
        </w:tc>
        <w:tc>
          <w:tcPr>
            <w:tcW w:type="dxa" w:w="828"/>
            <w:tcMar>
              <w:top w:w="60" w:type="dxa"/>
              <w:bottom w:w="60" w:type="dxa"/>
              <w:left w:w="100" w:type="dxa"/>
              <w:right w:w="100" w:type="dxa"/>
            </w:tcMar>
            <w:shd w:fill="F8FAFC"/>
          </w:tcPr>
          <w:p>
            <w:pPr>
              <w:spacing w:before="40" w:after="40"/>
            </w:pPr>
            <w:r>
              <w:rPr>
                <w:color w:val="1E293B"/>
                <w:sz w:val="17"/>
              </w:rPr>
              <w:t>NSW SEED Portal / Dams Safety</w:t>
            </w:r>
          </w:p>
        </w:tc>
        <w:tc>
          <w:tcPr>
            <w:tcW w:type="dxa" w:w="828"/>
            <w:tcMar>
              <w:top w:w="60" w:type="dxa"/>
              <w:bottom w:w="60" w:type="dxa"/>
              <w:left w:w="100" w:type="dxa"/>
              <w:right w:w="100" w:type="dxa"/>
            </w:tcMar>
            <w:shd w:fill="F8FAFC"/>
          </w:tcPr>
          <w:p>
            <w:pPr>
              <w:spacing w:before="40" w:after="40"/>
            </w:pPr>
            <w:r>
              <w:rPr>
                <w:color w:val="1E293B"/>
                <w:sz w:val="17"/>
              </w:rPr>
              <w:t>`EPSG:7844`</w:t>
            </w:r>
          </w:p>
        </w:tc>
        <w:tc>
          <w:tcPr>
            <w:tcW w:type="dxa" w:w="828"/>
            <w:tcMar>
              <w:top w:w="60" w:type="dxa"/>
              <w:bottom w:w="60" w:type="dxa"/>
              <w:left w:w="100" w:type="dxa"/>
              <w:right w:w="100" w:type="dxa"/>
            </w:tcMar>
            <w:shd w:fill="F8FAFC"/>
          </w:tcPr>
          <w:p>
            <w:pPr>
              <w:spacing w:before="40" w:after="40"/>
            </w:pPr>
            <w:r>
              <w:rPr>
                <w:color w:val="1E293B"/>
                <w:sz w:val="17"/>
              </w:rPr>
              <w:t>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w:t>
            </w:r>
          </w:p>
        </w:tc>
        <w:tc>
          <w:tcPr>
            <w:tcW w:type="dxa" w:w="828"/>
            <w:tcMar>
              <w:top w:w="60" w:type="dxa"/>
              <w:bottom w:w="60" w:type="dxa"/>
              <w:left w:w="100" w:type="dxa"/>
              <w:right w:w="100" w:type="dxa"/>
            </w:tcMar>
            <w:shd w:fill="F8FAFC"/>
          </w:tcPr>
          <w:p>
            <w:pPr>
              <w:spacing w:before="40" w:after="40"/>
            </w:pPr>
            <w:r>
              <w:rPr>
                <w:color w:val="1E293B"/>
                <w:sz w:val="17"/>
              </w:rPr>
              <w:t>`CONFIG_VALIDATED`</w:t>
            </w:r>
          </w:p>
        </w:tc>
      </w:tr>
      <w:tr>
        <w:tc>
          <w:tcPr>
            <w:tcW w:type="dxa" w:w="828"/>
            <w:tcMar>
              <w:top w:w="60" w:type="dxa"/>
              <w:bottom w:w="60" w:type="dxa"/>
              <w:left w:w="100" w:type="dxa"/>
              <w:right w:w="100" w:type="dxa"/>
            </w:tcMar>
            <w:shd w:fill="FFFFFF"/>
          </w:tcPr>
          <w:p>
            <w:pPr>
              <w:spacing w:before="40" w:after="40"/>
            </w:pPr>
            <w:r>
              <w:rPr>
                <w:color w:val="1E293B"/>
                <w:sz w:val="17"/>
              </w:rPr>
              <w:t>`nsw_drinking_water_catchments`</w:t>
            </w:r>
          </w:p>
        </w:tc>
        <w:tc>
          <w:tcPr>
            <w:tcW w:type="dxa" w:w="828"/>
            <w:tcMar>
              <w:top w:w="60" w:type="dxa"/>
              <w:bottom w:w="60" w:type="dxa"/>
              <w:left w:w="100" w:type="dxa"/>
              <w:right w:w="100" w:type="dxa"/>
            </w:tcMar>
            <w:shd w:fill="FFFFFF"/>
          </w:tcPr>
          <w:p>
            <w:pPr>
              <w:spacing w:before="40" w:after="40"/>
            </w:pPr>
            <w:r>
              <w:rPr>
                <w:color w:val="1E293B"/>
                <w:sz w:val="17"/>
              </w:rPr>
              <w:t>NSW SEED Portal / WaterNSW</w:t>
            </w:r>
          </w:p>
        </w:tc>
        <w:tc>
          <w:tcPr>
            <w:tcW w:type="dxa" w:w="828"/>
            <w:tcMar>
              <w:top w:w="60" w:type="dxa"/>
              <w:bottom w:w="60" w:type="dxa"/>
              <w:left w:w="100" w:type="dxa"/>
              <w:right w:w="100" w:type="dxa"/>
            </w:tcMar>
            <w:shd w:fill="FFFFFF"/>
          </w:tcPr>
          <w:p>
            <w:pPr>
              <w:spacing w:before="40" w:after="40"/>
            </w:pPr>
            <w:r>
              <w:rPr>
                <w:color w:val="1E293B"/>
                <w:sz w:val="17"/>
              </w:rPr>
              <w:t>`EPSG:7844`</w:t>
            </w:r>
          </w:p>
        </w:tc>
        <w:tc>
          <w:tcPr>
            <w:tcW w:type="dxa" w:w="828"/>
            <w:tcMar>
              <w:top w:w="60" w:type="dxa"/>
              <w:bottom w:w="60" w:type="dxa"/>
              <w:left w:w="100" w:type="dxa"/>
              <w:right w:w="100" w:type="dxa"/>
            </w:tcMar>
            <w:shd w:fill="FFFFFF"/>
          </w:tcPr>
          <w:p>
            <w:pPr>
              <w:spacing w:before="40" w:after="40"/>
            </w:pPr>
            <w:r>
              <w:rPr>
                <w:color w:val="1E293B"/>
                <w:sz w:val="17"/>
              </w:rPr>
              <w:t>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w:t>
            </w:r>
          </w:p>
        </w:tc>
        <w:tc>
          <w:tcPr>
            <w:tcW w:type="dxa" w:w="828"/>
            <w:tcMar>
              <w:top w:w="60" w:type="dxa"/>
              <w:bottom w:w="60" w:type="dxa"/>
              <w:left w:w="100" w:type="dxa"/>
              <w:right w:w="100" w:type="dxa"/>
            </w:tcMar>
            <w:shd w:fill="FFFFFF"/>
          </w:tcPr>
          <w:p>
            <w:pPr>
              <w:spacing w:before="40" w:after="40"/>
            </w:pPr>
            <w:r>
              <w:rPr>
                <w:color w:val="1E293B"/>
                <w:sz w:val="17"/>
              </w:rPr>
              <w:t>`CONFIG_VALIDATED`</w:t>
            </w:r>
          </w:p>
        </w:tc>
      </w:tr>
      <w:tr>
        <w:tc>
          <w:tcPr>
            <w:tcW w:type="dxa" w:w="828"/>
            <w:tcMar>
              <w:top w:w="60" w:type="dxa"/>
              <w:bottom w:w="60" w:type="dxa"/>
              <w:left w:w="100" w:type="dxa"/>
              <w:right w:w="100" w:type="dxa"/>
            </w:tcMar>
            <w:shd w:fill="F8FAFC"/>
          </w:tcPr>
          <w:p>
            <w:pPr>
              <w:spacing w:before="40" w:after="40"/>
            </w:pPr>
            <w:r>
              <w:rPr>
                <w:color w:val="1E293B"/>
                <w:sz w:val="17"/>
              </w:rPr>
              <w:t>`nsw_epa_contaminated_land`</w:t>
            </w:r>
          </w:p>
        </w:tc>
        <w:tc>
          <w:tcPr>
            <w:tcW w:type="dxa" w:w="828"/>
            <w:tcMar>
              <w:top w:w="60" w:type="dxa"/>
              <w:bottom w:w="60" w:type="dxa"/>
              <w:left w:w="100" w:type="dxa"/>
              <w:right w:w="100" w:type="dxa"/>
            </w:tcMar>
            <w:shd w:fill="F8FAFC"/>
          </w:tcPr>
          <w:p>
            <w:pPr>
              <w:spacing w:before="40" w:after="40"/>
            </w:pPr>
            <w:r>
              <w:rPr>
                <w:color w:val="1E293B"/>
                <w:sz w:val="17"/>
              </w:rPr>
              <w:t>NSW SEED Portal</w:t>
            </w:r>
          </w:p>
        </w:tc>
        <w:tc>
          <w:tcPr>
            <w:tcW w:type="dxa" w:w="828"/>
            <w:tcMar>
              <w:top w:w="60" w:type="dxa"/>
              <w:bottom w:w="60" w:type="dxa"/>
              <w:left w:w="100" w:type="dxa"/>
              <w:right w:w="100" w:type="dxa"/>
            </w:tcMar>
            <w:shd w:fill="F8FAFC"/>
          </w:tcPr>
          <w:p>
            <w:pPr>
              <w:spacing w:before="40" w:after="40"/>
            </w:pPr>
            <w:r>
              <w:rPr>
                <w:color w:val="1E293B"/>
                <w:sz w:val="17"/>
              </w:rPr>
              <w:t>`EPSG:7844`</w:t>
            </w:r>
          </w:p>
        </w:tc>
        <w:tc>
          <w:tcPr>
            <w:tcW w:type="dxa" w:w="828"/>
            <w:tcMar>
              <w:top w:w="60" w:type="dxa"/>
              <w:bottom w:w="60" w:type="dxa"/>
              <w:left w:w="100" w:type="dxa"/>
              <w:right w:w="100" w:type="dxa"/>
            </w:tcMar>
            <w:shd w:fill="F8FAFC"/>
          </w:tcPr>
          <w:p>
            <w:pPr>
              <w:spacing w:before="40" w:after="40"/>
            </w:pPr>
            <w:r>
              <w:rPr>
                <w:color w:val="1E293B"/>
                <w:sz w:val="17"/>
              </w:rPr>
              <w:t>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w:t>
            </w:r>
          </w:p>
        </w:tc>
        <w:tc>
          <w:tcPr>
            <w:tcW w:type="dxa" w:w="828"/>
            <w:tcMar>
              <w:top w:w="60" w:type="dxa"/>
              <w:bottom w:w="60" w:type="dxa"/>
              <w:left w:w="100" w:type="dxa"/>
              <w:right w:w="100" w:type="dxa"/>
            </w:tcMar>
            <w:shd w:fill="F8FAFC"/>
          </w:tcPr>
          <w:p>
            <w:pPr>
              <w:spacing w:before="40" w:after="40"/>
            </w:pPr>
            <w:r>
              <w:rPr>
                <w:color w:val="1E293B"/>
                <w:sz w:val="17"/>
              </w:rPr>
              <w:t>`CONFIG_VALIDATED`</w:t>
            </w:r>
          </w:p>
        </w:tc>
      </w:tr>
      <w:tr>
        <w:tc>
          <w:tcPr>
            <w:tcW w:type="dxa" w:w="828"/>
            <w:tcMar>
              <w:top w:w="60" w:type="dxa"/>
              <w:bottom w:w="60" w:type="dxa"/>
              <w:left w:w="100" w:type="dxa"/>
              <w:right w:w="100" w:type="dxa"/>
            </w:tcMar>
            <w:shd w:fill="FFFFFF"/>
          </w:tcPr>
          <w:p>
            <w:pPr>
              <w:spacing w:before="40" w:after="40"/>
            </w:pPr>
            <w:r>
              <w:rPr>
                <w:color w:val="1E293B"/>
                <w:sz w:val="17"/>
              </w:rPr>
              <w:t>`nsw_flood_hazard`</w:t>
            </w:r>
          </w:p>
        </w:tc>
        <w:tc>
          <w:tcPr>
            <w:tcW w:type="dxa" w:w="828"/>
            <w:tcMar>
              <w:top w:w="60" w:type="dxa"/>
              <w:bottom w:w="60" w:type="dxa"/>
              <w:left w:w="100" w:type="dxa"/>
              <w:right w:w="100" w:type="dxa"/>
            </w:tcMar>
            <w:shd w:fill="FFFFFF"/>
          </w:tcPr>
          <w:p>
            <w:pPr>
              <w:spacing w:before="40" w:after="40"/>
            </w:pPr>
            <w:r>
              <w:rPr>
                <w:color w:val="1E293B"/>
                <w:sz w:val="17"/>
              </w:rPr>
              <w:t>NSW SEED Portal / Flood Data Portal</w:t>
            </w:r>
          </w:p>
        </w:tc>
        <w:tc>
          <w:tcPr>
            <w:tcW w:type="dxa" w:w="828"/>
            <w:tcMar>
              <w:top w:w="60" w:type="dxa"/>
              <w:bottom w:w="60" w:type="dxa"/>
              <w:left w:w="100" w:type="dxa"/>
              <w:right w:w="100" w:type="dxa"/>
            </w:tcMar>
            <w:shd w:fill="FFFFFF"/>
          </w:tcPr>
          <w:p>
            <w:pPr>
              <w:spacing w:before="40" w:after="40"/>
            </w:pPr>
            <w:r>
              <w:rPr>
                <w:color w:val="1E293B"/>
                <w:sz w:val="17"/>
              </w:rPr>
              <w:t>`EPSG:7844`</w:t>
            </w:r>
          </w:p>
        </w:tc>
        <w:tc>
          <w:tcPr>
            <w:tcW w:type="dxa" w:w="828"/>
            <w:tcMar>
              <w:top w:w="60" w:type="dxa"/>
              <w:bottom w:w="60" w:type="dxa"/>
              <w:left w:w="100" w:type="dxa"/>
              <w:right w:w="100" w:type="dxa"/>
            </w:tcMar>
            <w:shd w:fill="FFFFFF"/>
          </w:tcPr>
          <w:p>
            <w:pPr>
              <w:spacing w:before="40" w:after="40"/>
            </w:pPr>
            <w:r>
              <w:rPr>
                <w:color w:val="1E293B"/>
                <w:sz w:val="17"/>
              </w:rPr>
              <w:t>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w:t>
            </w:r>
          </w:p>
        </w:tc>
        <w:tc>
          <w:tcPr>
            <w:tcW w:type="dxa" w:w="828"/>
            <w:tcMar>
              <w:top w:w="60" w:type="dxa"/>
              <w:bottom w:w="60" w:type="dxa"/>
              <w:left w:w="100" w:type="dxa"/>
              <w:right w:w="100" w:type="dxa"/>
            </w:tcMar>
            <w:shd w:fill="FFFFFF"/>
          </w:tcPr>
          <w:p>
            <w:pPr>
              <w:spacing w:before="40" w:after="40"/>
            </w:pPr>
            <w:r>
              <w:rPr>
                <w:color w:val="1E293B"/>
                <w:sz w:val="17"/>
              </w:rPr>
              <w:t>`CONFIG_VALIDATED`</w:t>
            </w:r>
          </w:p>
        </w:tc>
      </w:tr>
      <w:tr>
        <w:tc>
          <w:tcPr>
            <w:tcW w:type="dxa" w:w="828"/>
            <w:tcMar>
              <w:top w:w="60" w:type="dxa"/>
              <w:bottom w:w="60" w:type="dxa"/>
              <w:left w:w="100" w:type="dxa"/>
              <w:right w:w="100" w:type="dxa"/>
            </w:tcMar>
            <w:shd w:fill="F8FAFC"/>
          </w:tcPr>
          <w:p>
            <w:pPr>
              <w:spacing w:before="40" w:after="40"/>
            </w:pPr>
            <w:r>
              <w:rPr>
                <w:color w:val="1E293B"/>
                <w:sz w:val="17"/>
              </w:rPr>
              <w:t>`nsw_gde_aquifers`</w:t>
            </w:r>
          </w:p>
        </w:tc>
        <w:tc>
          <w:tcPr>
            <w:tcW w:type="dxa" w:w="828"/>
            <w:tcMar>
              <w:top w:w="60" w:type="dxa"/>
              <w:bottom w:w="60" w:type="dxa"/>
              <w:left w:w="100" w:type="dxa"/>
              <w:right w:w="100" w:type="dxa"/>
            </w:tcMar>
            <w:shd w:fill="F8FAFC"/>
          </w:tcPr>
          <w:p>
            <w:pPr>
              <w:spacing w:before="40" w:after="40"/>
            </w:pPr>
            <w:r>
              <w:rPr>
                <w:color w:val="1E293B"/>
                <w:sz w:val="17"/>
              </w:rPr>
              <w:t>NSW SEED Portal</w:t>
            </w:r>
          </w:p>
        </w:tc>
        <w:tc>
          <w:tcPr>
            <w:tcW w:type="dxa" w:w="828"/>
            <w:tcMar>
              <w:top w:w="60" w:type="dxa"/>
              <w:bottom w:w="60" w:type="dxa"/>
              <w:left w:w="100" w:type="dxa"/>
              <w:right w:w="100" w:type="dxa"/>
            </w:tcMar>
            <w:shd w:fill="F8FAFC"/>
          </w:tcPr>
          <w:p>
            <w:pPr>
              <w:spacing w:before="40" w:after="40"/>
            </w:pPr>
            <w:r>
              <w:rPr>
                <w:color w:val="1E293B"/>
                <w:sz w:val="17"/>
              </w:rPr>
              <w:t>`EPSG:7844`</w:t>
            </w:r>
          </w:p>
        </w:tc>
        <w:tc>
          <w:tcPr>
            <w:tcW w:type="dxa" w:w="828"/>
            <w:tcMar>
              <w:top w:w="60" w:type="dxa"/>
              <w:bottom w:w="60" w:type="dxa"/>
              <w:left w:w="100" w:type="dxa"/>
              <w:right w:w="100" w:type="dxa"/>
            </w:tcMar>
            <w:shd w:fill="F8FAFC"/>
          </w:tcPr>
          <w:p>
            <w:pPr>
              <w:spacing w:before="40" w:after="40"/>
            </w:pPr>
            <w:r>
              <w:rPr>
                <w:color w:val="1E293B"/>
                <w:sz w:val="17"/>
              </w:rPr>
              <w:t>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w:t>
            </w:r>
          </w:p>
        </w:tc>
        <w:tc>
          <w:tcPr>
            <w:tcW w:type="dxa" w:w="828"/>
            <w:tcMar>
              <w:top w:w="60" w:type="dxa"/>
              <w:bottom w:w="60" w:type="dxa"/>
              <w:left w:w="100" w:type="dxa"/>
              <w:right w:w="100" w:type="dxa"/>
            </w:tcMar>
            <w:shd w:fill="F8FAFC"/>
          </w:tcPr>
          <w:p>
            <w:pPr>
              <w:spacing w:before="40" w:after="40"/>
            </w:pPr>
            <w:r>
              <w:rPr>
                <w:color w:val="1E293B"/>
                <w:sz w:val="17"/>
              </w:rPr>
              <w:t>`CONFIG_VALIDATED`</w:t>
            </w:r>
          </w:p>
        </w:tc>
      </w:tr>
      <w:tr>
        <w:tc>
          <w:tcPr>
            <w:tcW w:type="dxa" w:w="828"/>
            <w:tcMar>
              <w:top w:w="60" w:type="dxa"/>
              <w:bottom w:w="60" w:type="dxa"/>
              <w:left w:w="100" w:type="dxa"/>
              <w:right w:w="100" w:type="dxa"/>
            </w:tcMar>
            <w:shd w:fill="FFFFFF"/>
          </w:tcPr>
          <w:p>
            <w:pPr>
              <w:spacing w:before="40" w:after="40"/>
            </w:pPr>
            <w:r>
              <w:rPr>
                <w:color w:val="1E293B"/>
                <w:sz w:val="17"/>
              </w:rPr>
              <w:t>`nsw_heritage_state_ahims`</w:t>
            </w:r>
          </w:p>
        </w:tc>
        <w:tc>
          <w:tcPr>
            <w:tcW w:type="dxa" w:w="828"/>
            <w:tcMar>
              <w:top w:w="60" w:type="dxa"/>
              <w:bottom w:w="60" w:type="dxa"/>
              <w:left w:w="100" w:type="dxa"/>
              <w:right w:w="100" w:type="dxa"/>
            </w:tcMar>
            <w:shd w:fill="FFFFFF"/>
          </w:tcPr>
          <w:p>
            <w:pPr>
              <w:spacing w:before="40" w:after="40"/>
            </w:pPr>
            <w:r>
              <w:rPr>
                <w:color w:val="1E293B"/>
                <w:sz w:val="17"/>
              </w:rPr>
              <w:t>NSW SEED Portal / Heritage NSW</w:t>
            </w:r>
          </w:p>
        </w:tc>
        <w:tc>
          <w:tcPr>
            <w:tcW w:type="dxa" w:w="828"/>
            <w:tcMar>
              <w:top w:w="60" w:type="dxa"/>
              <w:bottom w:w="60" w:type="dxa"/>
              <w:left w:w="100" w:type="dxa"/>
              <w:right w:w="100" w:type="dxa"/>
            </w:tcMar>
            <w:shd w:fill="FFFFFF"/>
          </w:tcPr>
          <w:p>
            <w:pPr>
              <w:spacing w:before="40" w:after="40"/>
            </w:pPr>
            <w:r>
              <w:rPr>
                <w:color w:val="1E293B"/>
                <w:sz w:val="17"/>
              </w:rPr>
              <w:t>`EPSG:7844`</w:t>
            </w:r>
          </w:p>
        </w:tc>
        <w:tc>
          <w:tcPr>
            <w:tcW w:type="dxa" w:w="828"/>
            <w:tcMar>
              <w:top w:w="60" w:type="dxa"/>
              <w:bottom w:w="60" w:type="dxa"/>
              <w:left w:w="100" w:type="dxa"/>
              <w:right w:w="100" w:type="dxa"/>
            </w:tcMar>
            <w:shd w:fill="FFFFFF"/>
          </w:tcPr>
          <w:p>
            <w:pPr>
              <w:spacing w:before="40" w:after="40"/>
            </w:pPr>
            <w:r>
              <w:rPr>
                <w:color w:val="1E293B"/>
                <w:sz w:val="17"/>
              </w:rPr>
              <w:t>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w:t>
            </w:r>
          </w:p>
        </w:tc>
        <w:tc>
          <w:tcPr>
            <w:tcW w:type="dxa" w:w="828"/>
            <w:tcMar>
              <w:top w:w="60" w:type="dxa"/>
              <w:bottom w:w="60" w:type="dxa"/>
              <w:left w:w="100" w:type="dxa"/>
              <w:right w:w="100" w:type="dxa"/>
            </w:tcMar>
            <w:shd w:fill="FFFFFF"/>
          </w:tcPr>
          <w:p>
            <w:pPr>
              <w:spacing w:before="40" w:after="40"/>
            </w:pPr>
            <w:r>
              <w:rPr>
                <w:color w:val="1E293B"/>
                <w:sz w:val="17"/>
              </w:rPr>
              <w:t>`CONFIG_VALIDATED`</w:t>
            </w:r>
          </w:p>
        </w:tc>
      </w:tr>
      <w:tr>
        <w:tc>
          <w:tcPr>
            <w:tcW w:type="dxa" w:w="828"/>
            <w:tcMar>
              <w:top w:w="60" w:type="dxa"/>
              <w:bottom w:w="60" w:type="dxa"/>
              <w:left w:w="100" w:type="dxa"/>
              <w:right w:w="100" w:type="dxa"/>
            </w:tcMar>
            <w:shd w:fill="F8FAFC"/>
          </w:tcPr>
          <w:p>
            <w:pPr>
              <w:spacing w:before="40" w:after="40"/>
            </w:pPr>
            <w:r>
              <w:rPr>
                <w:color w:val="1E293B"/>
                <w:sz w:val="17"/>
              </w:rPr>
              <w:t>`nsw_high_pressure_gas_pipelines`</w:t>
            </w:r>
          </w:p>
        </w:tc>
        <w:tc>
          <w:tcPr>
            <w:tcW w:type="dxa" w:w="828"/>
            <w:tcMar>
              <w:top w:w="60" w:type="dxa"/>
              <w:bottom w:w="60" w:type="dxa"/>
              <w:left w:w="100" w:type="dxa"/>
              <w:right w:w="100" w:type="dxa"/>
            </w:tcMar>
            <w:shd w:fill="F8FAFC"/>
          </w:tcPr>
          <w:p>
            <w:pPr>
              <w:spacing w:before="40" w:after="40"/>
            </w:pPr>
            <w:r>
              <w:rPr>
                <w:color w:val="1E293B"/>
                <w:sz w:val="17"/>
              </w:rPr>
              <w:t>NSW Spatial Services / Energy Infrastructure</w:t>
            </w:r>
          </w:p>
        </w:tc>
        <w:tc>
          <w:tcPr>
            <w:tcW w:type="dxa" w:w="828"/>
            <w:tcMar>
              <w:top w:w="60" w:type="dxa"/>
              <w:bottom w:w="60" w:type="dxa"/>
              <w:left w:w="100" w:type="dxa"/>
              <w:right w:w="100" w:type="dxa"/>
            </w:tcMar>
            <w:shd w:fill="F8FAFC"/>
          </w:tcPr>
          <w:p>
            <w:pPr>
              <w:spacing w:before="40" w:after="40"/>
            </w:pPr>
            <w:r>
              <w:rPr>
                <w:color w:val="1E293B"/>
                <w:sz w:val="17"/>
              </w:rPr>
              <w:t>`EPSG:7844`</w:t>
            </w:r>
          </w:p>
        </w:tc>
        <w:tc>
          <w:tcPr>
            <w:tcW w:type="dxa" w:w="828"/>
            <w:tcMar>
              <w:top w:w="60" w:type="dxa"/>
              <w:bottom w:w="60" w:type="dxa"/>
              <w:left w:w="100" w:type="dxa"/>
              <w:right w:w="100" w:type="dxa"/>
            </w:tcMar>
            <w:shd w:fill="F8FAFC"/>
          </w:tcPr>
          <w:p>
            <w:pPr>
              <w:spacing w:before="40" w:after="40"/>
            </w:pPr>
            <w:r>
              <w:rPr>
                <w:color w:val="1E293B"/>
                <w:sz w:val="17"/>
              </w:rPr>
              <w:t>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w:t>
            </w:r>
          </w:p>
        </w:tc>
        <w:tc>
          <w:tcPr>
            <w:tcW w:type="dxa" w:w="828"/>
            <w:tcMar>
              <w:top w:w="60" w:type="dxa"/>
              <w:bottom w:w="60" w:type="dxa"/>
              <w:left w:w="100" w:type="dxa"/>
              <w:right w:w="100" w:type="dxa"/>
            </w:tcMar>
            <w:shd w:fill="F8FAFC"/>
          </w:tcPr>
          <w:p>
            <w:pPr>
              <w:spacing w:before="40" w:after="40"/>
            </w:pPr>
            <w:r>
              <w:rPr>
                <w:color w:val="1E293B"/>
                <w:sz w:val="17"/>
              </w:rPr>
              <w:t>`CONFIG_VALIDATED`</w:t>
            </w:r>
          </w:p>
        </w:tc>
      </w:tr>
      <w:tr>
        <w:tc>
          <w:tcPr>
            <w:tcW w:type="dxa" w:w="828"/>
            <w:tcMar>
              <w:top w:w="60" w:type="dxa"/>
              <w:bottom w:w="60" w:type="dxa"/>
              <w:left w:w="100" w:type="dxa"/>
              <w:right w:w="100" w:type="dxa"/>
            </w:tcMar>
            <w:shd w:fill="FFFFFF"/>
          </w:tcPr>
          <w:p>
            <w:pPr>
              <w:spacing w:before="40" w:after="40"/>
            </w:pPr>
            <w:r>
              <w:rPr>
                <w:color w:val="1E293B"/>
                <w:sz w:val="17"/>
              </w:rPr>
              <w:t>`nsw_hydro_strahler`</w:t>
            </w:r>
          </w:p>
        </w:tc>
        <w:tc>
          <w:tcPr>
            <w:tcW w:type="dxa" w:w="828"/>
            <w:tcMar>
              <w:top w:w="60" w:type="dxa"/>
              <w:bottom w:w="60" w:type="dxa"/>
              <w:left w:w="100" w:type="dxa"/>
              <w:right w:w="100" w:type="dxa"/>
            </w:tcMar>
            <w:shd w:fill="FFFFFF"/>
          </w:tcPr>
          <w:p>
            <w:pPr>
              <w:spacing w:before="40" w:after="40"/>
            </w:pPr>
            <w:r>
              <w:rPr>
                <w:color w:val="1E293B"/>
                <w:sz w:val="17"/>
              </w:rPr>
              <w:t>NSW Spatial Services / SEED Portal</w:t>
            </w:r>
          </w:p>
        </w:tc>
        <w:tc>
          <w:tcPr>
            <w:tcW w:type="dxa" w:w="828"/>
            <w:tcMar>
              <w:top w:w="60" w:type="dxa"/>
              <w:bottom w:w="60" w:type="dxa"/>
              <w:left w:w="100" w:type="dxa"/>
              <w:right w:w="100" w:type="dxa"/>
            </w:tcMar>
            <w:shd w:fill="FFFFFF"/>
          </w:tcPr>
          <w:p>
            <w:pPr>
              <w:spacing w:before="40" w:after="40"/>
            </w:pPr>
            <w:r>
              <w:rPr>
                <w:color w:val="1E293B"/>
                <w:sz w:val="17"/>
              </w:rPr>
              <w:t>`EPSG:7844`</w:t>
            </w:r>
          </w:p>
        </w:tc>
        <w:tc>
          <w:tcPr>
            <w:tcW w:type="dxa" w:w="828"/>
            <w:tcMar>
              <w:top w:w="60" w:type="dxa"/>
              <w:bottom w:w="60" w:type="dxa"/>
              <w:left w:w="100" w:type="dxa"/>
              <w:right w:w="100" w:type="dxa"/>
            </w:tcMar>
            <w:shd w:fill="FFFFFF"/>
          </w:tcPr>
          <w:p>
            <w:pPr>
              <w:spacing w:before="40" w:after="40"/>
            </w:pPr>
            <w:r>
              <w:rPr>
                <w:color w:val="1E293B"/>
                <w:sz w:val="17"/>
              </w:rPr>
              <w:t>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w:t>
            </w:r>
          </w:p>
        </w:tc>
        <w:tc>
          <w:tcPr>
            <w:tcW w:type="dxa" w:w="828"/>
            <w:tcMar>
              <w:top w:w="60" w:type="dxa"/>
              <w:bottom w:w="60" w:type="dxa"/>
              <w:left w:w="100" w:type="dxa"/>
              <w:right w:w="100" w:type="dxa"/>
            </w:tcMar>
            <w:shd w:fill="FFFFFF"/>
          </w:tcPr>
          <w:p>
            <w:pPr>
              <w:spacing w:before="40" w:after="40"/>
            </w:pPr>
            <w:r>
              <w:rPr>
                <w:color w:val="1E293B"/>
                <w:sz w:val="17"/>
              </w:rPr>
              <w:t>`CONFIG_VALIDATED`</w:t>
            </w:r>
          </w:p>
        </w:tc>
      </w:tr>
      <w:tr>
        <w:tc>
          <w:tcPr>
            <w:tcW w:type="dxa" w:w="828"/>
            <w:tcMar>
              <w:top w:w="60" w:type="dxa"/>
              <w:bottom w:w="60" w:type="dxa"/>
              <w:left w:w="100" w:type="dxa"/>
              <w:right w:w="100" w:type="dxa"/>
            </w:tcMar>
            <w:shd w:fill="F8FAFC"/>
          </w:tcPr>
          <w:p>
            <w:pPr>
              <w:spacing w:before="40" w:after="40"/>
            </w:pPr>
            <w:r>
              <w:rPr>
                <w:color w:val="1E293B"/>
                <w:sz w:val="17"/>
              </w:rPr>
              <w:t>`nsw_koala_habitat_khib`</w:t>
            </w:r>
          </w:p>
        </w:tc>
        <w:tc>
          <w:tcPr>
            <w:tcW w:type="dxa" w:w="828"/>
            <w:tcMar>
              <w:top w:w="60" w:type="dxa"/>
              <w:bottom w:w="60" w:type="dxa"/>
              <w:left w:w="100" w:type="dxa"/>
              <w:right w:w="100" w:type="dxa"/>
            </w:tcMar>
            <w:shd w:fill="F8FAFC"/>
          </w:tcPr>
          <w:p>
            <w:pPr>
              <w:spacing w:before="40" w:after="40"/>
            </w:pPr>
            <w:r>
              <w:rPr>
                <w:color w:val="1E293B"/>
                <w:sz w:val="17"/>
              </w:rPr>
              <w:t>NSW SEED Portal</w:t>
            </w:r>
          </w:p>
        </w:tc>
        <w:tc>
          <w:tcPr>
            <w:tcW w:type="dxa" w:w="828"/>
            <w:tcMar>
              <w:top w:w="60" w:type="dxa"/>
              <w:bottom w:w="60" w:type="dxa"/>
              <w:left w:w="100" w:type="dxa"/>
              <w:right w:w="100" w:type="dxa"/>
            </w:tcMar>
            <w:shd w:fill="F8FAFC"/>
          </w:tcPr>
          <w:p>
            <w:pPr>
              <w:spacing w:before="40" w:after="40"/>
            </w:pPr>
            <w:r>
              <w:rPr>
                <w:color w:val="1E293B"/>
                <w:sz w:val="17"/>
              </w:rPr>
              <w:t>`EPSG:7844`</w:t>
            </w:r>
          </w:p>
        </w:tc>
        <w:tc>
          <w:tcPr>
            <w:tcW w:type="dxa" w:w="828"/>
            <w:tcMar>
              <w:top w:w="60" w:type="dxa"/>
              <w:bottom w:w="60" w:type="dxa"/>
              <w:left w:w="100" w:type="dxa"/>
              <w:right w:w="100" w:type="dxa"/>
            </w:tcMar>
            <w:shd w:fill="F8FAFC"/>
          </w:tcPr>
          <w:p>
            <w:pPr>
              <w:spacing w:before="40" w:after="40"/>
            </w:pPr>
            <w:r>
              <w:rPr>
                <w:color w:val="1E293B"/>
                <w:sz w:val="17"/>
              </w:rPr>
              <w:t>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w:t>
            </w:r>
          </w:p>
        </w:tc>
        <w:tc>
          <w:tcPr>
            <w:tcW w:type="dxa" w:w="828"/>
            <w:tcMar>
              <w:top w:w="60" w:type="dxa"/>
              <w:bottom w:w="60" w:type="dxa"/>
              <w:left w:w="100" w:type="dxa"/>
              <w:right w:w="100" w:type="dxa"/>
            </w:tcMar>
            <w:shd w:fill="F8FAFC"/>
          </w:tcPr>
          <w:p>
            <w:pPr>
              <w:spacing w:before="40" w:after="40"/>
            </w:pPr>
            <w:r>
              <w:rPr>
                <w:color w:val="1E293B"/>
                <w:sz w:val="17"/>
              </w:rPr>
              <w:t>`CONFIG_VALIDATED`</w:t>
            </w:r>
          </w:p>
        </w:tc>
      </w:tr>
      <w:tr>
        <w:tc>
          <w:tcPr>
            <w:tcW w:type="dxa" w:w="828"/>
            <w:tcMar>
              <w:top w:w="60" w:type="dxa"/>
              <w:bottom w:w="60" w:type="dxa"/>
              <w:left w:w="100" w:type="dxa"/>
              <w:right w:w="100" w:type="dxa"/>
            </w:tcMar>
            <w:shd w:fill="FFFFFF"/>
          </w:tcPr>
          <w:p>
            <w:pPr>
              <w:spacing w:before="40" w:after="40"/>
            </w:pPr>
            <w:r>
              <w:rPr>
                <w:color w:val="1E293B"/>
                <w:sz w:val="17"/>
              </w:rPr>
              <w:t>`nsw_lep_standard_instrument_zoning`</w:t>
            </w:r>
          </w:p>
        </w:tc>
        <w:tc>
          <w:tcPr>
            <w:tcW w:type="dxa" w:w="828"/>
            <w:tcMar>
              <w:top w:w="60" w:type="dxa"/>
              <w:bottom w:w="60" w:type="dxa"/>
              <w:left w:w="100" w:type="dxa"/>
              <w:right w:w="100" w:type="dxa"/>
            </w:tcMar>
            <w:shd w:fill="FFFFFF"/>
          </w:tcPr>
          <w:p>
            <w:pPr>
              <w:spacing w:before="40" w:after="40"/>
            </w:pPr>
            <w:r>
              <w:rPr>
                <w:color w:val="1E293B"/>
                <w:sz w:val="17"/>
              </w:rPr>
              <w:t>NSW Planning Portal / SEED Portal</w:t>
            </w:r>
          </w:p>
        </w:tc>
        <w:tc>
          <w:tcPr>
            <w:tcW w:type="dxa" w:w="828"/>
            <w:tcMar>
              <w:top w:w="60" w:type="dxa"/>
              <w:bottom w:w="60" w:type="dxa"/>
              <w:left w:w="100" w:type="dxa"/>
              <w:right w:w="100" w:type="dxa"/>
            </w:tcMar>
            <w:shd w:fill="FFFFFF"/>
          </w:tcPr>
          <w:p>
            <w:pPr>
              <w:spacing w:before="40" w:after="40"/>
            </w:pPr>
            <w:r>
              <w:rPr>
                <w:color w:val="1E293B"/>
                <w:sz w:val="17"/>
              </w:rPr>
              <w:t>`EPSG:7844`</w:t>
            </w:r>
          </w:p>
        </w:tc>
        <w:tc>
          <w:tcPr>
            <w:tcW w:type="dxa" w:w="828"/>
            <w:tcMar>
              <w:top w:w="60" w:type="dxa"/>
              <w:bottom w:w="60" w:type="dxa"/>
              <w:left w:w="100" w:type="dxa"/>
              <w:right w:w="100" w:type="dxa"/>
            </w:tcMar>
            <w:shd w:fill="FFFFFF"/>
          </w:tcPr>
          <w:p>
            <w:pPr>
              <w:spacing w:before="40" w:after="40"/>
            </w:pPr>
            <w:r>
              <w:rPr>
                <w:color w:val="1E293B"/>
                <w:sz w:val="17"/>
              </w:rPr>
              <w:t>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w:t>
            </w:r>
          </w:p>
        </w:tc>
        <w:tc>
          <w:tcPr>
            <w:tcW w:type="dxa" w:w="828"/>
            <w:tcMar>
              <w:top w:w="60" w:type="dxa"/>
              <w:bottom w:w="60" w:type="dxa"/>
              <w:left w:w="100" w:type="dxa"/>
              <w:right w:w="100" w:type="dxa"/>
            </w:tcMar>
            <w:shd w:fill="FFFFFF"/>
          </w:tcPr>
          <w:p>
            <w:pPr>
              <w:spacing w:before="40" w:after="40"/>
            </w:pPr>
            <w:r>
              <w:rPr>
                <w:color w:val="1E293B"/>
                <w:sz w:val="17"/>
              </w:rPr>
              <w:t>`CONFIG_VALIDATED`</w:t>
            </w:r>
          </w:p>
        </w:tc>
      </w:tr>
      <w:tr>
        <w:tc>
          <w:tcPr>
            <w:tcW w:type="dxa" w:w="828"/>
            <w:tcMar>
              <w:top w:w="60" w:type="dxa"/>
              <w:bottom w:w="60" w:type="dxa"/>
              <w:left w:w="100" w:type="dxa"/>
              <w:right w:w="100" w:type="dxa"/>
            </w:tcMar>
            <w:shd w:fill="F8FAFC"/>
          </w:tcPr>
          <w:p>
            <w:pPr>
              <w:spacing w:before="40" w:after="40"/>
            </w:pPr>
            <w:r>
              <w:rPr>
                <w:color w:val="1E293B"/>
                <w:sz w:val="17"/>
              </w:rPr>
              <w:t>`nsw_mine_subsidence_districts`</w:t>
            </w:r>
          </w:p>
        </w:tc>
        <w:tc>
          <w:tcPr>
            <w:tcW w:type="dxa" w:w="828"/>
            <w:tcMar>
              <w:top w:w="60" w:type="dxa"/>
              <w:bottom w:w="60" w:type="dxa"/>
              <w:left w:w="100" w:type="dxa"/>
              <w:right w:w="100" w:type="dxa"/>
            </w:tcMar>
            <w:shd w:fill="F8FAFC"/>
          </w:tcPr>
          <w:p>
            <w:pPr>
              <w:spacing w:before="40" w:after="40"/>
            </w:pPr>
            <w:r>
              <w:rPr>
                <w:color w:val="1E293B"/>
                <w:sz w:val="17"/>
              </w:rPr>
              <w:t>NSW Spatial Services / Subsidence Advisory</w:t>
            </w:r>
          </w:p>
        </w:tc>
        <w:tc>
          <w:tcPr>
            <w:tcW w:type="dxa" w:w="828"/>
            <w:tcMar>
              <w:top w:w="60" w:type="dxa"/>
              <w:bottom w:w="60" w:type="dxa"/>
              <w:left w:w="100" w:type="dxa"/>
              <w:right w:w="100" w:type="dxa"/>
            </w:tcMar>
            <w:shd w:fill="F8FAFC"/>
          </w:tcPr>
          <w:p>
            <w:pPr>
              <w:spacing w:before="40" w:after="40"/>
            </w:pPr>
            <w:r>
              <w:rPr>
                <w:color w:val="1E293B"/>
                <w:sz w:val="17"/>
              </w:rPr>
              <w:t>`EPSG:7844`</w:t>
            </w:r>
          </w:p>
        </w:tc>
        <w:tc>
          <w:tcPr>
            <w:tcW w:type="dxa" w:w="828"/>
            <w:tcMar>
              <w:top w:w="60" w:type="dxa"/>
              <w:bottom w:w="60" w:type="dxa"/>
              <w:left w:w="100" w:type="dxa"/>
              <w:right w:w="100" w:type="dxa"/>
            </w:tcMar>
            <w:shd w:fill="F8FAFC"/>
          </w:tcPr>
          <w:p>
            <w:pPr>
              <w:spacing w:before="40" w:after="40"/>
            </w:pPr>
            <w:r>
              <w:rPr>
                <w:color w:val="1E293B"/>
                <w:sz w:val="17"/>
              </w:rPr>
              <w:t>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w:t>
            </w:r>
          </w:p>
        </w:tc>
        <w:tc>
          <w:tcPr>
            <w:tcW w:type="dxa" w:w="828"/>
            <w:tcMar>
              <w:top w:w="60" w:type="dxa"/>
              <w:bottom w:w="60" w:type="dxa"/>
              <w:left w:w="100" w:type="dxa"/>
              <w:right w:w="100" w:type="dxa"/>
            </w:tcMar>
            <w:shd w:fill="F8FAFC"/>
          </w:tcPr>
          <w:p>
            <w:pPr>
              <w:spacing w:before="40" w:after="40"/>
            </w:pPr>
            <w:r>
              <w:rPr>
                <w:color w:val="1E293B"/>
                <w:sz w:val="17"/>
              </w:rPr>
              <w:t>`CONFIG_VALIDATED`</w:t>
            </w:r>
          </w:p>
        </w:tc>
      </w:tr>
      <w:tr>
        <w:tc>
          <w:tcPr>
            <w:tcW w:type="dxa" w:w="828"/>
            <w:tcMar>
              <w:top w:w="60" w:type="dxa"/>
              <w:bottom w:w="60" w:type="dxa"/>
              <w:left w:w="100" w:type="dxa"/>
              <w:right w:w="100" w:type="dxa"/>
            </w:tcMar>
            <w:shd w:fill="FFFFFF"/>
          </w:tcPr>
          <w:p>
            <w:pPr>
              <w:spacing w:before="40" w:after="40"/>
            </w:pPr>
            <w:r>
              <w:rPr>
                <w:color w:val="1E293B"/>
                <w:sz w:val="17"/>
              </w:rPr>
              <w:t>`nsw_native_veg_regulatory_nvr`</w:t>
            </w:r>
          </w:p>
        </w:tc>
        <w:tc>
          <w:tcPr>
            <w:tcW w:type="dxa" w:w="828"/>
            <w:tcMar>
              <w:top w:w="60" w:type="dxa"/>
              <w:bottom w:w="60" w:type="dxa"/>
              <w:left w:w="100" w:type="dxa"/>
              <w:right w:w="100" w:type="dxa"/>
            </w:tcMar>
            <w:shd w:fill="FFFFFF"/>
          </w:tcPr>
          <w:p>
            <w:pPr>
              <w:spacing w:before="40" w:after="40"/>
            </w:pPr>
            <w:r>
              <w:rPr>
                <w:color w:val="1E293B"/>
                <w:sz w:val="17"/>
              </w:rPr>
              <w:t>NSW SEED Portal</w:t>
            </w:r>
          </w:p>
        </w:tc>
        <w:tc>
          <w:tcPr>
            <w:tcW w:type="dxa" w:w="828"/>
            <w:tcMar>
              <w:top w:w="60" w:type="dxa"/>
              <w:bottom w:w="60" w:type="dxa"/>
              <w:left w:w="100" w:type="dxa"/>
              <w:right w:w="100" w:type="dxa"/>
            </w:tcMar>
            <w:shd w:fill="FFFFFF"/>
          </w:tcPr>
          <w:p>
            <w:pPr>
              <w:spacing w:before="40" w:after="40"/>
            </w:pPr>
            <w:r>
              <w:rPr>
                <w:color w:val="1E293B"/>
                <w:sz w:val="17"/>
              </w:rPr>
              <w:t>`EPSG:7844`</w:t>
            </w:r>
          </w:p>
        </w:tc>
        <w:tc>
          <w:tcPr>
            <w:tcW w:type="dxa" w:w="828"/>
            <w:tcMar>
              <w:top w:w="60" w:type="dxa"/>
              <w:bottom w:w="60" w:type="dxa"/>
              <w:left w:w="100" w:type="dxa"/>
              <w:right w:w="100" w:type="dxa"/>
            </w:tcMar>
            <w:shd w:fill="FFFFFF"/>
          </w:tcPr>
          <w:p>
            <w:pPr>
              <w:spacing w:before="40" w:after="40"/>
            </w:pPr>
            <w:r>
              <w:rPr>
                <w:color w:val="1E293B"/>
                <w:sz w:val="17"/>
              </w:rPr>
              <w:t>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w:t>
            </w:r>
          </w:p>
        </w:tc>
        <w:tc>
          <w:tcPr>
            <w:tcW w:type="dxa" w:w="828"/>
            <w:tcMar>
              <w:top w:w="60" w:type="dxa"/>
              <w:bottom w:w="60" w:type="dxa"/>
              <w:left w:w="100" w:type="dxa"/>
              <w:right w:w="100" w:type="dxa"/>
            </w:tcMar>
            <w:shd w:fill="FFFFFF"/>
          </w:tcPr>
          <w:p>
            <w:pPr>
              <w:spacing w:before="40" w:after="40"/>
            </w:pPr>
            <w:r>
              <w:rPr>
                <w:color w:val="1E293B"/>
                <w:sz w:val="17"/>
              </w:rPr>
              <w:t>`CONFIG_VALIDATED`</w:t>
            </w:r>
          </w:p>
        </w:tc>
      </w:tr>
      <w:tr>
        <w:tc>
          <w:tcPr>
            <w:tcW w:type="dxa" w:w="828"/>
            <w:tcMar>
              <w:top w:w="60" w:type="dxa"/>
              <w:bottom w:w="60" w:type="dxa"/>
              <w:left w:w="100" w:type="dxa"/>
              <w:right w:w="100" w:type="dxa"/>
            </w:tcMar>
            <w:shd w:fill="F8FAFC"/>
          </w:tcPr>
          <w:p>
            <w:pPr>
              <w:spacing w:before="40" w:after="40"/>
            </w:pPr>
            <w:r>
              <w:rPr>
                <w:color w:val="1E293B"/>
                <w:sz w:val="17"/>
              </w:rPr>
              <w:t>`nsw_renewable_energy_zones_rez`</w:t>
            </w:r>
          </w:p>
        </w:tc>
        <w:tc>
          <w:tcPr>
            <w:tcW w:type="dxa" w:w="828"/>
            <w:tcMar>
              <w:top w:w="60" w:type="dxa"/>
              <w:bottom w:w="60" w:type="dxa"/>
              <w:left w:w="100" w:type="dxa"/>
              <w:right w:w="100" w:type="dxa"/>
            </w:tcMar>
            <w:shd w:fill="F8FAFC"/>
          </w:tcPr>
          <w:p>
            <w:pPr>
              <w:spacing w:before="40" w:after="40"/>
            </w:pPr>
            <w:r>
              <w:rPr>
                <w:color w:val="1E293B"/>
                <w:sz w:val="17"/>
              </w:rPr>
              <w:t>NSW SEED Portal</w:t>
            </w:r>
          </w:p>
        </w:tc>
        <w:tc>
          <w:tcPr>
            <w:tcW w:type="dxa" w:w="828"/>
            <w:tcMar>
              <w:top w:w="60" w:type="dxa"/>
              <w:bottom w:w="60" w:type="dxa"/>
              <w:left w:w="100" w:type="dxa"/>
              <w:right w:w="100" w:type="dxa"/>
            </w:tcMar>
            <w:shd w:fill="F8FAFC"/>
          </w:tcPr>
          <w:p>
            <w:pPr>
              <w:spacing w:before="40" w:after="40"/>
            </w:pPr>
            <w:r>
              <w:rPr>
                <w:color w:val="1E293B"/>
                <w:sz w:val="17"/>
              </w:rPr>
              <w:t>`EPSG:7844`</w:t>
            </w:r>
          </w:p>
        </w:tc>
        <w:tc>
          <w:tcPr>
            <w:tcW w:type="dxa" w:w="828"/>
            <w:tcMar>
              <w:top w:w="60" w:type="dxa"/>
              <w:bottom w:w="60" w:type="dxa"/>
              <w:left w:w="100" w:type="dxa"/>
              <w:right w:w="100" w:type="dxa"/>
            </w:tcMar>
            <w:shd w:fill="F8FAFC"/>
          </w:tcPr>
          <w:p>
            <w:pPr>
              <w:spacing w:before="40" w:after="40"/>
            </w:pPr>
            <w:r>
              <w:rPr>
                <w:color w:val="1E293B"/>
                <w:sz w:val="17"/>
              </w:rPr>
              <w:t>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w:t>
            </w:r>
          </w:p>
        </w:tc>
        <w:tc>
          <w:tcPr>
            <w:tcW w:type="dxa" w:w="828"/>
            <w:tcMar>
              <w:top w:w="60" w:type="dxa"/>
              <w:bottom w:w="60" w:type="dxa"/>
              <w:left w:w="100" w:type="dxa"/>
              <w:right w:w="100" w:type="dxa"/>
            </w:tcMar>
            <w:shd w:fill="F8FAFC"/>
          </w:tcPr>
          <w:p>
            <w:pPr>
              <w:spacing w:before="40" w:after="40"/>
            </w:pPr>
            <w:r>
              <w:rPr>
                <w:color w:val="1E293B"/>
                <w:sz w:val="17"/>
              </w:rPr>
              <w:t>`CONFIG_VALIDATED`</w:t>
            </w:r>
          </w:p>
        </w:tc>
      </w:tr>
      <w:tr>
        <w:tc>
          <w:tcPr>
            <w:tcW w:type="dxa" w:w="828"/>
            <w:tcMar>
              <w:top w:w="60" w:type="dxa"/>
              <w:bottom w:w="60" w:type="dxa"/>
              <w:left w:w="100" w:type="dxa"/>
              <w:right w:w="100" w:type="dxa"/>
            </w:tcMar>
            <w:shd w:fill="FFFFFF"/>
          </w:tcPr>
          <w:p>
            <w:pPr>
              <w:spacing w:before="40" w:after="40"/>
            </w:pPr>
            <w:r>
              <w:rPr>
                <w:color w:val="1E293B"/>
                <w:sz w:val="17"/>
              </w:rPr>
              <w:t>`nsw_rfs_bushfire_prone`</w:t>
            </w:r>
          </w:p>
        </w:tc>
        <w:tc>
          <w:tcPr>
            <w:tcW w:type="dxa" w:w="828"/>
            <w:tcMar>
              <w:top w:w="60" w:type="dxa"/>
              <w:bottom w:w="60" w:type="dxa"/>
              <w:left w:w="100" w:type="dxa"/>
              <w:right w:w="100" w:type="dxa"/>
            </w:tcMar>
            <w:shd w:fill="FFFFFF"/>
          </w:tcPr>
          <w:p>
            <w:pPr>
              <w:spacing w:before="40" w:after="40"/>
            </w:pPr>
            <w:r>
              <w:rPr>
                <w:color w:val="1E293B"/>
                <w:sz w:val="17"/>
              </w:rPr>
              <w:t>NSW SEED Portal / Spatial Services</w:t>
            </w:r>
          </w:p>
        </w:tc>
        <w:tc>
          <w:tcPr>
            <w:tcW w:type="dxa" w:w="828"/>
            <w:tcMar>
              <w:top w:w="60" w:type="dxa"/>
              <w:bottom w:w="60" w:type="dxa"/>
              <w:left w:w="100" w:type="dxa"/>
              <w:right w:w="100" w:type="dxa"/>
            </w:tcMar>
            <w:shd w:fill="FFFFFF"/>
          </w:tcPr>
          <w:p>
            <w:pPr>
              <w:spacing w:before="40" w:after="40"/>
            </w:pPr>
            <w:r>
              <w:rPr>
                <w:color w:val="1E293B"/>
                <w:sz w:val="17"/>
              </w:rPr>
              <w:t>`EPSG:7844`</w:t>
            </w:r>
          </w:p>
        </w:tc>
        <w:tc>
          <w:tcPr>
            <w:tcW w:type="dxa" w:w="828"/>
            <w:tcMar>
              <w:top w:w="60" w:type="dxa"/>
              <w:bottom w:w="60" w:type="dxa"/>
              <w:left w:w="100" w:type="dxa"/>
              <w:right w:w="100" w:type="dxa"/>
            </w:tcMar>
            <w:shd w:fill="FFFFFF"/>
          </w:tcPr>
          <w:p>
            <w:pPr>
              <w:spacing w:before="40" w:after="40"/>
            </w:pPr>
            <w:r>
              <w:rPr>
                <w:color w:val="1E293B"/>
                <w:sz w:val="17"/>
              </w:rPr>
              <w:t>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w:t>
            </w:r>
          </w:p>
        </w:tc>
        <w:tc>
          <w:tcPr>
            <w:tcW w:type="dxa" w:w="828"/>
            <w:tcMar>
              <w:top w:w="60" w:type="dxa"/>
              <w:bottom w:w="60" w:type="dxa"/>
              <w:left w:w="100" w:type="dxa"/>
              <w:right w:w="100" w:type="dxa"/>
            </w:tcMar>
            <w:shd w:fill="FFFFFF"/>
          </w:tcPr>
          <w:p>
            <w:pPr>
              <w:spacing w:before="40" w:after="40"/>
            </w:pPr>
            <w:r>
              <w:rPr>
                <w:color w:val="1E293B"/>
                <w:sz w:val="17"/>
              </w:rPr>
              <w:t>`CONFIG_VALIDATED`</w:t>
            </w:r>
          </w:p>
        </w:tc>
      </w:tr>
      <w:tr>
        <w:tc>
          <w:tcPr>
            <w:tcW w:type="dxa" w:w="828"/>
            <w:tcMar>
              <w:top w:w="60" w:type="dxa"/>
              <w:bottom w:w="60" w:type="dxa"/>
              <w:left w:w="100" w:type="dxa"/>
              <w:right w:w="100" w:type="dxa"/>
            </w:tcMar>
            <w:shd w:fill="F8FAFC"/>
          </w:tcPr>
          <w:p>
            <w:pPr>
              <w:spacing w:before="40" w:after="40"/>
            </w:pPr>
            <w:r>
              <w:rPr>
                <w:color w:val="1E293B"/>
                <w:sz w:val="17"/>
              </w:rPr>
              <w:t>`nsw_transmission_grid`</w:t>
            </w:r>
          </w:p>
        </w:tc>
        <w:tc>
          <w:tcPr>
            <w:tcW w:type="dxa" w:w="828"/>
            <w:tcMar>
              <w:top w:w="60" w:type="dxa"/>
              <w:bottom w:w="60" w:type="dxa"/>
              <w:left w:w="100" w:type="dxa"/>
              <w:right w:w="100" w:type="dxa"/>
            </w:tcMar>
            <w:shd w:fill="F8FAFC"/>
          </w:tcPr>
          <w:p>
            <w:pPr>
              <w:spacing w:before="40" w:after="40"/>
            </w:pPr>
            <w:r>
              <w:rPr>
                <w:color w:val="1E293B"/>
                <w:sz w:val="17"/>
              </w:rPr>
              <w:t>NSW Spatial Services / NationalMap</w:t>
            </w:r>
          </w:p>
        </w:tc>
        <w:tc>
          <w:tcPr>
            <w:tcW w:type="dxa" w:w="828"/>
            <w:tcMar>
              <w:top w:w="60" w:type="dxa"/>
              <w:bottom w:w="60" w:type="dxa"/>
              <w:left w:w="100" w:type="dxa"/>
              <w:right w:w="100" w:type="dxa"/>
            </w:tcMar>
            <w:shd w:fill="F8FAFC"/>
          </w:tcPr>
          <w:p>
            <w:pPr>
              <w:spacing w:before="40" w:after="40"/>
            </w:pPr>
            <w:r>
              <w:rPr>
                <w:color w:val="1E293B"/>
                <w:sz w:val="17"/>
              </w:rPr>
              <w:t>`EPSG:7844`</w:t>
            </w:r>
          </w:p>
        </w:tc>
        <w:tc>
          <w:tcPr>
            <w:tcW w:type="dxa" w:w="828"/>
            <w:tcMar>
              <w:top w:w="60" w:type="dxa"/>
              <w:bottom w:w="60" w:type="dxa"/>
              <w:left w:w="100" w:type="dxa"/>
              <w:right w:w="100" w:type="dxa"/>
            </w:tcMar>
            <w:shd w:fill="F8FAFC"/>
          </w:tcPr>
          <w:p>
            <w:pPr>
              <w:spacing w:before="40" w:after="40"/>
            </w:pPr>
            <w:r>
              <w:rPr>
                <w:color w:val="1E293B"/>
                <w:sz w:val="17"/>
              </w:rPr>
              <w:t>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**0.00**</w:t>
            </w:r>
          </w:p>
        </w:tc>
        <w:tc>
          <w:tcPr>
            <w:tcW w:type="dxa" w:w="828"/>
            <w:tcMar>
              <w:top w:w="60" w:type="dxa"/>
              <w:bottom w:w="60" w:type="dxa"/>
              <w:left w:w="100" w:type="dxa"/>
              <w:right w:w="100" w:type="dxa"/>
            </w:tcMar>
            <w:shd w:fill="F8FAFC"/>
          </w:tcPr>
          <w:p>
            <w:pPr>
              <w:spacing w:before="40" w:after="40"/>
            </w:pPr>
            <w:r>
              <w:rPr>
                <w:color w:val="1E293B"/>
                <w:sz w:val="17"/>
              </w:rPr>
              <w:t>0.0</w:t>
            </w:r>
          </w:p>
        </w:tc>
        <w:tc>
          <w:tcPr>
            <w:tcW w:type="dxa" w:w="828"/>
            <w:tcMar>
              <w:top w:w="60" w:type="dxa"/>
              <w:bottom w:w="60" w:type="dxa"/>
              <w:left w:w="100" w:type="dxa"/>
              <w:right w:w="100" w:type="dxa"/>
            </w:tcMar>
            <w:shd w:fill="F8FAFC"/>
          </w:tcPr>
          <w:p>
            <w:pPr>
              <w:spacing w:before="40" w:after="40"/>
            </w:pPr>
            <w:r>
              <w:rPr>
                <w:color w:val="1E293B"/>
                <w:sz w:val="17"/>
              </w:rPr>
              <w:t>`CONFIG_VALIDATED`</w:t>
            </w:r>
          </w:p>
        </w:tc>
      </w:tr>
      <w:tr>
        <w:tc>
          <w:tcPr>
            <w:tcW w:type="dxa" w:w="828"/>
            <w:tcMar>
              <w:top w:w="60" w:type="dxa"/>
              <w:bottom w:w="60" w:type="dxa"/>
              <w:left w:w="100" w:type="dxa"/>
              <w:right w:w="100" w:type="dxa"/>
            </w:tcMar>
            <w:shd w:fill="FFFFFF"/>
          </w:tcPr>
          <w:p>
            <w:pPr>
              <w:spacing w:before="40" w:after="40"/>
            </w:pPr>
            <w:r>
              <w:rPr>
                <w:color w:val="1E293B"/>
                <w:sz w:val="17"/>
              </w:rPr>
              <w:t>`nsw_wwtw_recycled_water`</w:t>
            </w:r>
          </w:p>
        </w:tc>
        <w:tc>
          <w:tcPr>
            <w:tcW w:type="dxa" w:w="828"/>
            <w:tcMar>
              <w:top w:w="60" w:type="dxa"/>
              <w:bottom w:w="60" w:type="dxa"/>
              <w:left w:w="100" w:type="dxa"/>
              <w:right w:w="100" w:type="dxa"/>
            </w:tcMar>
            <w:shd w:fill="FFFFFF"/>
          </w:tcPr>
          <w:p>
            <w:pPr>
              <w:spacing w:before="40" w:after="40"/>
            </w:pPr>
            <w:r>
              <w:rPr>
                <w:color w:val="1E293B"/>
                <w:sz w:val="17"/>
              </w:rPr>
              <w:t>NSW Spatial Services / Water Utility APIs</w:t>
            </w:r>
          </w:p>
        </w:tc>
        <w:tc>
          <w:tcPr>
            <w:tcW w:type="dxa" w:w="828"/>
            <w:tcMar>
              <w:top w:w="60" w:type="dxa"/>
              <w:bottom w:w="60" w:type="dxa"/>
              <w:left w:w="100" w:type="dxa"/>
              <w:right w:w="100" w:type="dxa"/>
            </w:tcMar>
            <w:shd w:fill="FFFFFF"/>
          </w:tcPr>
          <w:p>
            <w:pPr>
              <w:spacing w:before="40" w:after="40"/>
            </w:pPr>
            <w:r>
              <w:rPr>
                <w:color w:val="1E293B"/>
                <w:sz w:val="17"/>
              </w:rPr>
              <w:t>`EPSG:7844`</w:t>
            </w:r>
          </w:p>
        </w:tc>
        <w:tc>
          <w:tcPr>
            <w:tcW w:type="dxa" w:w="828"/>
            <w:tcMar>
              <w:top w:w="60" w:type="dxa"/>
              <w:bottom w:w="60" w:type="dxa"/>
              <w:left w:w="100" w:type="dxa"/>
              <w:right w:w="100" w:type="dxa"/>
            </w:tcMar>
            <w:shd w:fill="FFFFFF"/>
          </w:tcPr>
          <w:p>
            <w:pPr>
              <w:spacing w:before="40" w:after="40"/>
            </w:pPr>
            <w:r>
              <w:rPr>
                <w:color w:val="1E293B"/>
                <w:sz w:val="17"/>
              </w:rPr>
              <w:t>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**0.00**</w:t>
            </w:r>
          </w:p>
        </w:tc>
        <w:tc>
          <w:tcPr>
            <w:tcW w:type="dxa" w:w="828"/>
            <w:tcMar>
              <w:top w:w="60" w:type="dxa"/>
              <w:bottom w:w="60" w:type="dxa"/>
              <w:left w:w="100" w:type="dxa"/>
              <w:right w:w="100" w:type="dxa"/>
            </w:tcMar>
            <w:shd w:fill="FFFFFF"/>
          </w:tcPr>
          <w:p>
            <w:pPr>
              <w:spacing w:before="40" w:after="40"/>
            </w:pPr>
            <w:r>
              <w:rPr>
                <w:color w:val="1E293B"/>
                <w:sz w:val="17"/>
              </w:rPr>
              <w:t>0.0</w:t>
            </w:r>
          </w:p>
        </w:tc>
        <w:tc>
          <w:tcPr>
            <w:tcW w:type="dxa" w:w="828"/>
            <w:tcMar>
              <w:top w:w="60" w:type="dxa"/>
              <w:bottom w:w="60" w:type="dxa"/>
              <w:left w:w="100" w:type="dxa"/>
              <w:right w:w="100" w:type="dxa"/>
            </w:tcMar>
            <w:shd w:fill="FFFFFF"/>
          </w:tcPr>
          <w:p>
            <w:pPr>
              <w:spacing w:before="40" w:after="40"/>
            </w:pPr>
            <w:r>
              <w:rPr>
                <w:color w:val="1E293B"/>
                <w:sz w:val="17"/>
              </w:rPr>
              <w:t>`CONFIG_VALIDATED`</w:t>
            </w:r>
          </w:p>
        </w:tc>
      </w:tr>
    </w:tbl>
    <w:p/>
    <w:p>
      <w:pPr>
        <w:spacing w:before="40" w:after="80" w:line="276" w:lineRule="auto"/>
      </w:pPr>
      <w:r>
        <w:rPr>
          <w:color w:val="334155"/>
          <w:sz w:val="19"/>
        </w:rPr>
        <w:t>---</w:t>
      </w:r>
    </w:p>
    <w:p>
      <w:pPr>
        <w:pStyle w:val="Heading2"/>
        <w:keepNext/>
        <w:spacing w:before="240" w:after="80"/>
      </w:pPr>
      <w:r>
        <w:rPr>
          <w:b/>
          <w:color w:val="0284C7"/>
        </w:rPr>
        <w:t>2. Architectural Efficiency &amp; Optimization Notes</w:t>
      </w:r>
    </w:p>
    <w:p>
      <w:pPr>
        <w:pStyle w:val="ListBullet"/>
        <w:spacing w:before="20" w:after="40"/>
      </w:pPr>
      <w:r>
        <w:rPr>
          <w:b/>
          <w:color w:val="1E293B"/>
          <w:sz w:val="19"/>
        </w:rPr>
        <w:t>Phase 1 Separation:</w:t>
      </w:r>
      <w:r>
        <w:rPr>
          <w:color w:val="334155"/>
          <w:sz w:val="19"/>
        </w:rPr>
        <w:t xml:space="preserve"> All authoritative vector layers were harvested, cleaned, and standardized to </w:t>
      </w:r>
      <w:r>
        <w:rPr>
          <w:rFonts w:ascii="Consolas" w:hAnsi="Consolas"/>
          <w:color w:val="0E7490"/>
          <w:sz w:val="17"/>
        </w:rPr>
        <w:t>EPSG:7844</w:t>
      </w:r>
      <w:r>
        <w:rPr>
          <w:color w:val="334155"/>
          <w:sz w:val="19"/>
        </w:rPr>
        <w:t xml:space="preserve"> prior to performing any multi-layer topological operations.</w:t>
      </w:r>
    </w:p>
    <w:p>
      <w:pPr>
        <w:pStyle w:val="ListBullet"/>
        <w:spacing w:before="20" w:after="40"/>
      </w:pPr>
      <w:r>
        <w:rPr>
          <w:b/>
          <w:color w:val="1E293B"/>
          <w:sz w:val="19"/>
        </w:rPr>
        <w:t>Metric Buffering:</w:t>
      </w:r>
      <w:r>
        <w:rPr>
          <w:color w:val="334155"/>
          <w:sz w:val="19"/>
        </w:rPr>
        <w:t xml:space="preserve"> Buffers were dynamically projected to </w:t>
      </w:r>
      <w:r>
        <w:rPr>
          <w:rFonts w:ascii="Consolas" w:hAnsi="Consolas"/>
          <w:color w:val="0E7490"/>
          <w:sz w:val="17"/>
        </w:rPr>
        <w:t>EPSG:3112</w:t>
      </w:r>
      <w:r>
        <w:rPr>
          <w:color w:val="334155"/>
          <w:sz w:val="19"/>
        </w:rPr>
        <w:t xml:space="preserve"> (Geoscience Australia National Albers) for exact meter calculations and persisted back to </w:t>
      </w:r>
      <w:r>
        <w:rPr>
          <w:rFonts w:ascii="Consolas" w:hAnsi="Consolas"/>
          <w:color w:val="0E7490"/>
          <w:sz w:val="17"/>
        </w:rPr>
        <w:t>EPSG:7844</w:t>
      </w:r>
      <w:r>
        <w:rPr>
          <w:color w:val="334155"/>
          <w:sz w:val="19"/>
        </w:rPr>
        <w:t>.</w:t>
      </w:r>
    </w:p>
    <w:p>
      <w:pPr>
        <w:pStyle w:val="ListBullet"/>
        <w:spacing w:before="20" w:after="40"/>
      </w:pPr>
      <w:r>
        <w:rPr>
          <w:b/>
          <w:color w:val="1E293B"/>
          <w:sz w:val="19"/>
        </w:rPr>
        <w:t>Compute Cost Guardrail:</w:t>
      </w:r>
      <w:r>
        <w:rPr>
          <w:color w:val="334155"/>
          <w:sz w:val="19"/>
        </w:rPr>
        <w:t xml:space="preserve"> Sessions terminated gracefully with </w:t>
      </w:r>
      <w:r>
        <w:rPr>
          <w:rFonts w:ascii="Consolas" w:hAnsi="Consolas"/>
          <w:color w:val="0E7490"/>
          <w:sz w:val="17"/>
        </w:rPr>
        <w:t>sedona.stop()</w:t>
      </w:r>
      <w:r>
        <w:rPr>
          <w:color w:val="334155"/>
          <w:sz w:val="19"/>
        </w:rPr>
        <w:t xml:space="preserve"> to eliminate idle cluster charges.</w:t>
      </w:r>
    </w:p>
    <w:p>
      <w:pPr>
        <w:pStyle w:val="ListBullet"/>
        <w:spacing w:before="20" w:after="40"/>
      </w:pPr>
      <w:r>
        <w:rPr>
          <w:b/>
          <w:color w:val="1E293B"/>
          <w:sz w:val="19"/>
        </w:rPr>
        <w:t>Future State Comparison:</w:t>
      </w:r>
      <w:r>
        <w:rPr>
          <w:color w:val="334155"/>
          <w:sz w:val="19"/>
        </w:rPr>
        <w:t xml:space="preserve"> This benchmark log provides the baseline for measuring cloud savings when enabling Delta Partition processing and ETag cache skipping.</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Outfit" w:hAnsi="Outfit"/>
        <w:color w:val="94A3B8"/>
        <w:sz w:val="16"/>
      </w:rPr>
      <w:t>©® 2026 GetBack2Basics • https://aura.getback2basics.net • External Review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Outfit" w:hAnsi="Outfit"/>
        <w:color w:val="94A3B8"/>
        <w:sz w:val="16"/>
      </w:rPr>
      <w:t>AURA Siting Crafter | Master Technical &amp; Review Compendium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