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CollectRx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Payment Process &amp; Financial Plan</w:t>
      </w:r>
    </w:p>
    <w:p>
      <w:pPr>
        <w:spacing w:after="36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Pilot phase: Dr. Hasan + 3 practices  ·  Prepared April 19, 2026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CollectRx operates as a pure SaaS-plus-performance model: insurance money flows directly between insurer and practice; CollectRx is never a fiduciary intermediary. Revenue comes from a monthly platform fee plus a success fee on recovered AR attributed to CollectRx activity.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Recommended pilot pricing: $299 CAD/month base fee + 12% of recovered AR. At four active practices, the model reaches break-even by month 5 and ends year one with roughly $5.2K in net income, exiting at an annualized run-rate near $46.6K. Maximum cash drawdown during the ramp is approximately $1,950 — so ~$2,500 in working capital is sufficient to bridge.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financial structure you should adopt: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Keep money flows clean. </w:t>
      </w:r>
      <w:r>
        <w:rPr>
          <w:rFonts w:ascii="Arial" w:cs="Arial" w:eastAsia="Arial" w:hAnsi="Arial"/>
          <w:sz w:val="22"/>
          <w:szCs w:val="22"/>
        </w:rPr>
        <w:t xml:space="preserve">Insurer pays practice directly. You invoice the practice, never the insurer or the patient.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Charge in two parts. </w:t>
      </w:r>
      <w:r>
        <w:rPr>
          <w:rFonts w:ascii="Arial" w:cs="Arial" w:eastAsia="Arial" w:hAnsi="Arial"/>
          <w:sz w:val="22"/>
          <w:szCs w:val="22"/>
        </w:rPr>
        <w:t xml:space="preserve">A small monthly base (covers your fixed costs and justifies onboarding effort) + a success fee (aligns incentives and lets you capture upside as your AI improves).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Auto-debit via Stripe. </w:t>
      </w:r>
      <w:r>
        <w:rPr>
          <w:rFonts w:ascii="Arial" w:cs="Arial" w:eastAsia="Arial" w:hAnsi="Arial"/>
          <w:sz w:val="22"/>
          <w:szCs w:val="22"/>
        </w:rPr>
        <w:t xml:space="preserve">Pre-authorized ACH on the 1st of each month. Zero collection work for you.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Hold HST in trust. </w:t>
      </w:r>
      <w:r>
        <w:rPr>
          <w:rFonts w:ascii="Arial" w:cs="Arial" w:eastAsia="Arial" w:hAnsi="Arial"/>
          <w:sz w:val="22"/>
          <w:szCs w:val="22"/>
        </w:rPr>
        <w:t xml:space="preserve">13% Ontario HST is on top of your fee, collected from practices, remitted to CRA quarterly — it's not your money.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How Money Flows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There are four distinct money movements in the CollectRx model. Only one of them — the invoice from you to the practice — involves your bank account. This is deliberate: staying out of the insurer-to-practice payment rail keeps you out of money-transmitter regulation and PHIPA fiduciary territory.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Insurer → Practice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an insurance claim is resolved (whether manually or via CollectRx's Vapi squad chasing a stuck claim), the insurer processes payment and remits funds — by EFT or cheque — directly to the practice's bank account. This is the same flow every practice already has in place. CollectRx changes what gets recovered and how fast, not where the money lands.</w:t>
      </w:r>
    </w:p>
    <w:p>
      <w:pPr>
        <w:spacing w:after="1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Why this matters: if CollectRx were in the money flow, you would likely be classified as a payment processor or a billing service under PIPEDA/PHIPA and subject to much heavier licensing, bonding, and reserve requirements. Staying out is a strategic choice.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Patient → Practice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insurance has adjudicated, the patient owes the residual balance (copay, deductible, or non-covered portion). The practice collects this the way it always has — reception counter, post-visit invoice, or standing credit card on file. CollectRx's eligibility and reconciliation engine improves the accuracy of what gets charged, but the cash still flows from patient to practice.</w:t>
      </w:r>
    </w:p>
    <w:p>
      <w:pPr>
        <w:spacing w:after="1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Future phase: once the MVP is stable, CollectRx can layer in a patient-pay module via Stripe Connect — patient pays CollectRx, you remit net to the practice. That introduces Stripe Connect custodial complexity, so defer it beyond the pilot.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CollectRx → Practice (the invoice)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 the 1st of every month, CollectRx generates an invoice that covers the prior calendar month. The invoice has three line items: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Monthly base fee. </w:t>
      </w:r>
      <w:r>
        <w:rPr>
          <w:rFonts w:ascii="Arial" w:cs="Arial" w:eastAsia="Arial" w:hAnsi="Arial"/>
          <w:sz w:val="22"/>
          <w:szCs w:val="22"/>
        </w:rPr>
        <w:t xml:space="preserve">$299 CAD flat — for platform access, voice agent squad, eligibility engine, dashboard.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Success fee. </w:t>
      </w:r>
      <w:r>
        <w:rPr>
          <w:rFonts w:ascii="Arial" w:cs="Arial" w:eastAsia="Arial" w:hAnsi="Arial"/>
          <w:sz w:val="22"/>
          <w:szCs w:val="22"/>
        </w:rPr>
        <w:t xml:space="preserve">12% of the AR recovered during the month that CollectRx touched. Attribution is defined as: claims the Vapi squad called, claims that transitioned from 30+ days to paid in the billing period, or claims flagged by the reconciliation engine.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HST. </w:t>
      </w:r>
      <w:r>
        <w:rPr>
          <w:rFonts w:ascii="Arial" w:cs="Arial" w:eastAsia="Arial" w:hAnsi="Arial"/>
          <w:sz w:val="22"/>
          <w:szCs w:val="22"/>
        </w:rPr>
        <w:t xml:space="preserve">13% of the subtotal, shown as a separate line.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invoice is delivered via Stripe Billing and enforced with ACH pre-authorization — the practice signs a Stripe-backed debit mandate during onboarding, so collection is automatic on the 1st.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2.4 Practice → CollectRx (the payment)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Stripe debits the invoice total from the practice's bank account. Funds land in CollectRx's Stripe balance within 2 business days, minus Stripe's 2.9% processing fee (which you should bake into pricing, not pass through). Stripe transfers to your operating account on your chosen payout schedule — weekly is safest for cash flow visibility.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Recommended Pricing Structure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Why hybrid (base + success) beats pure SaaS or pure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it's wrong for CollectRx right now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Pure SaaS ($1,500/mo flat)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Practices resist a high fixed fee before they see results. Hard to land pilots.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Pure success fee (20% of recovered)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Your revenue is variable and delayed — you can't forecast MRR, can't plan infra spend, and Vapi bills hit regardless of recovery. You wear all the risk.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Hybrid (base + success) — recommended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 fee covers your Vapi and Twilio variable costs even in a slow month. Success fee aligns incentives and lets you share in upside when a practice has a high AR backlog. Both sides have skin in the game.</w:t>
            </w:r>
          </w:p>
        </w:tc>
      </w:tr>
    </w:tbl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Specific numbers for the pilot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Monthly base fee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$299 CAD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 enough to get a signature; high enough that four practices cover fixed costs.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Success fee %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12% of recovered AR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Industry range is 10–25% for AI-assisted RCM. 12% leaves you room to raise on v2.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Billing cycle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Monthly in arrears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Invoice on the 1st for the prior month; auto-debit Net 0.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Minimum term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3-month pilot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Long enough for CollectRx to hit steady state (month 3 per ramp model).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Cancellation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30-day notice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Standard for SaaS; prevents overnight churn during bad months.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Price lock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 months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Reassures practices; gives you a review date to renegotiate to v2 pricing.</w:t>
            </w:r>
          </w:p>
        </w:tc>
      </w:tr>
    </w:tbl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How to think about pricing for practice #5 and beyond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Once you have recovery data from Dr. Hasan and case studies from pilot practices, you have pricing power. Plan to raise to $399 base + 15% success for new practices by month 9 of the pilot. Grandfather the pilot four on original terms for another year as a good-faith gesture — cheap loyalty, expensive churn.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Monthly Billing Mechanics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the operational checklist for what needs to happen every month. Automate it in year one — don't build a finance hire until you're past 10 practices.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The monthly close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960"/>
        <w:gridCol w:w="36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/ how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1st of month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 calculates recovered AR for prior month per practice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Automated cron: query claims table for status = paid AND collectrx_touched = true AND paid_date in prior month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1st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Generate invoice PDFs + push to Stripe Billing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Stripe API; attach invoice to practice's customer record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1st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Stripe initiates ACH debit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Auto-triggered on invoice creation since practice has pre-auth mandate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3rd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Verify all invoices paid; chase failures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Stripe dashboard + email alert on failed payment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10th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Reconcile Stripe deposits to your operating account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Export Stripe report; match to bank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15th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Stripe fees + HST reconciliation for bookkeeping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 to CPA or enter in bookkeeping software (Xero/QuickBooks)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Quarterly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File HST return with CRA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Include HST collected on all invoices minus HST paid on business expenses</w:t>
            </w:r>
          </w:p>
        </w:tc>
      </w:tr>
    </w:tbl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Attribution rules (the thing you'll argue about)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success fee works only if 'recovered AR attributed to CollectRx' is a defensible number. Build these rules into the code so neither party can dispute the invoice: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Scope of work: </w:t>
      </w:r>
      <w:r>
        <w:rPr>
          <w:rFonts w:ascii="Arial" w:cs="Arial" w:eastAsia="Arial" w:hAnsi="Arial"/>
          <w:sz w:val="22"/>
          <w:szCs w:val="22"/>
        </w:rPr>
        <w:t xml:space="preserve">claims that were 30+ days aged when CollectRx took them into the queue.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Attribution trigger: </w:t>
      </w:r>
      <w:r>
        <w:rPr>
          <w:rFonts w:ascii="Arial" w:cs="Arial" w:eastAsia="Arial" w:hAnsi="Arial"/>
          <w:sz w:val="22"/>
          <w:szCs w:val="22"/>
        </w:rPr>
        <w:t xml:space="preserve">any claim the Vapi squad placed at least one call on OR any claim where the reconciliation engine flagged a write-off/payment adjustment.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Recovery window: </w:t>
      </w:r>
      <w:r>
        <w:rPr>
          <w:rFonts w:ascii="Arial" w:cs="Arial" w:eastAsia="Arial" w:hAnsi="Arial"/>
          <w:sz w:val="22"/>
          <w:szCs w:val="22"/>
        </w:rPr>
        <w:t xml:space="preserve">claim must be paid within 90 days of first CollectRx action to count.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Exclusion: </w:t>
      </w:r>
      <w:r>
        <w:rPr>
          <w:rFonts w:ascii="Arial" w:cs="Arial" w:eastAsia="Arial" w:hAnsi="Arial"/>
          <w:sz w:val="22"/>
          <w:szCs w:val="22"/>
        </w:rPr>
        <w:t xml:space="preserve">claims the practice explicitly paused or escalated to human before CollectRx acted — those are excluded.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Expose these rules in the practice dashboard as a per-claim audit trail. Every invoice line item should click through to the underlying claim ledger. Transparency prevents disputes.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Dispute handling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the pilot, disputes will come. Build a simple process: practice flags a line item in the dashboard, you have 7 days to review, either credit back or defend. Keep a running dispute log. If any single practice disputes more than 10% of their invoice over 2 months, that's a signal that your attribution rules need tightening, not that the practice is wrong.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Per-Practice Unit Economics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One practice, fully ramped, at the recommended pricing: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4160"/>
      </w:tblGrid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 item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 (CAD)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Monthly base fee revenue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$299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Flat; invoiced monthly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Success fee revenue (steady)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$672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12% × ($8,000 × 70% recovery)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monthly revenue per practice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$971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Vapi (voice AI)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($280)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Variable per practice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Twilio (telephony)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($75)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Variable per practice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Stripe processing fee (2.9%)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($28)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 invoice total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Other variable (PIIVault, misc)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($50)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variable cost per practice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($433)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Gross profit per practice (monthly)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$538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55.4% gross margin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Gross profit annualized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$6,456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 practice, steady state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Steady state assumes month 3+ of a practice being live. Month 1 runs at 30% of success-fee volume (ramp-up while calibrating the Vapi squad to the practice's call patterns); month 2 runs at 65%.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12-Month Pilot Outlook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Assuming staggered onboarding (Dr. Hasan M1, P2 in M3, P3 in M5, P4 in M7) and the ramp curve above: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1 value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Year 1 total revenue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$32,134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Year 1 total costs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$26,912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Year 1 net income (pre-tax)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$5,222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Year 1 gross margin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~52% (blended; improves to 55%+ as practices hit steady state)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Exit run-rate MRR (Month 12)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$3,884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Exit run-rate ARR (annualized)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$46,608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 cash drawdown (M4)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($1,943)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Cashflow-positive month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 5 (monthly); Month 8 (cumulative)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Break-even practice count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(at steady state)</w:t>
            </w:r>
          </w:p>
        </w:tc>
      </w:tr>
    </w:tbl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Cash curve interpretation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cash curve dips during the first four months while you're paying $950/mo fixed costs with only one or two practices live, then turns positive from month 5 as the second and third practices ramp. The nadir is about $1,943 in month 4 — that's the maximum capital you need to front. Practically: keep $2,500–$5,000 in the operating account as working capital, and don't take a founder draw until cumulative cash is positive (month 8).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 What pushes this curve up or down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Faster onboarding. </w:t>
      </w:r>
      <w:r>
        <w:rPr>
          <w:rFonts w:ascii="Arial" w:cs="Arial" w:eastAsia="Arial" w:hAnsi="Arial"/>
          <w:sz w:val="22"/>
          <w:szCs w:val="22"/>
        </w:rPr>
        <w:t xml:space="preserve">If you can land P2, P3, P4 a month earlier each, year 1 net jumps roughly $4–6K.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Higher recovery rate. </w:t>
      </w:r>
      <w:r>
        <w:rPr>
          <w:rFonts w:ascii="Arial" w:cs="Arial" w:eastAsia="Arial" w:hAnsi="Arial"/>
          <w:sz w:val="22"/>
          <w:szCs w:val="22"/>
        </w:rPr>
        <w:t xml:space="preserve">If the Vapi squad hits 80% recovery instead of 70%, per-practice monthly revenue rises to ~$1,035 — adds ~$3K to year 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Vapi cost control. </w:t>
      </w:r>
      <w:r>
        <w:rPr>
          <w:rFonts w:ascii="Arial" w:cs="Arial" w:eastAsia="Arial" w:hAnsi="Arial"/>
          <w:sz w:val="22"/>
          <w:szCs w:val="22"/>
        </w:rPr>
        <w:t xml:space="preserve">Every $50/mo shaved off Vapi per practice adds $1,200 to year 1 at four practices.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Churn. </w:t>
      </w:r>
      <w:r>
        <w:rPr>
          <w:rFonts w:ascii="Arial" w:cs="Arial" w:eastAsia="Arial" w:hAnsi="Arial"/>
          <w:sz w:val="22"/>
          <w:szCs w:val="22"/>
        </w:rPr>
        <w:t xml:space="preserve">Losing a single practice mid-year is catastrophic at pilot scale: you lose 25% of revenue and break-even slides by ~2 months. Over-invest in retention — weekly check-ins, visible wins, fast response on complaints.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Working Capital, Taxes &amp; Structure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7.1 Capital you need to have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Before Practice 1 goes live, have in the business account: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$5,000 working capital (covers max drawdown + buffer)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$2,000 legal/compliance reserve (contract templates, HST registration, incorporation)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$1,500 insurance down payment (E&amp;O + cyber; essential before handling PHI workflows)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Total pre-pilot runway: ~$8,500 CAD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7.2 Taxes — the traps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HST registration: </w:t>
      </w:r>
      <w:r>
        <w:rPr>
          <w:rFonts w:ascii="Arial" w:cs="Arial" w:eastAsia="Arial" w:hAnsi="Arial"/>
          <w:sz w:val="22"/>
          <w:szCs w:val="22"/>
        </w:rPr>
        <w:t xml:space="preserve">mandatory once you exceed $30,000/year in revenue. Register proactively at incorporation — you want to charge HST from day one to avoid having to go back and re-invoice.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HST is not your money: </w:t>
      </w:r>
      <w:r>
        <w:rPr>
          <w:rFonts w:ascii="Arial" w:cs="Arial" w:eastAsia="Arial" w:hAnsi="Arial"/>
          <w:sz w:val="22"/>
          <w:szCs w:val="22"/>
        </w:rPr>
        <w:t xml:space="preserve">hold it in a separate bank account. CRA is unforgiving on missed remittances.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Income tax: </w:t>
      </w:r>
      <w:r>
        <w:rPr>
          <w:rFonts w:ascii="Arial" w:cs="Arial" w:eastAsia="Arial" w:hAnsi="Arial"/>
          <w:sz w:val="22"/>
          <w:szCs w:val="22"/>
        </w:rPr>
        <w:t xml:space="preserve">as a CCPC, first $500K of active business income is taxed at ~12.2% in Ontario (small business deduction). Keep money in the corp and draw by dividend or salary once cashflow-positive — talk to a CPA about the mix.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Vapi + Twilio + Stripe invoices: </w:t>
      </w:r>
      <w:r>
        <w:rPr>
          <w:rFonts w:ascii="Arial" w:cs="Arial" w:eastAsia="Arial" w:hAnsi="Arial"/>
          <w:sz w:val="22"/>
          <w:szCs w:val="22"/>
        </w:rPr>
        <w:t xml:space="preserve">these are US-based suppliers. Self-assess HST on imported services if they don't charge it (most don't). Your CPA handles this on the HST return.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7.3 Legal structure to have in place before Practice 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Federal or Ontario incorporation for CollectRx Inc. (not sole prop — liability shield is non-negotiable given PHIPA exposure).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Standard Master Services Agreement with each practice: attribution rules, success-fee mechanics, PHIPA data processing addendum, limitation of liability, term &amp; termination.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Stripe ACH pre-authorization agreement embedded in onboarding.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E&amp;O + cyber liability insurance policy active.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Strategic Considerations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8.1 What to watch in the pilot data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numbers that determine whether you can raise prices in v2: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Recovery lift. </w:t>
      </w:r>
      <w:r>
        <w:rPr>
          <w:rFonts w:ascii="Arial" w:cs="Arial" w:eastAsia="Arial" w:hAnsi="Arial"/>
          <w:sz w:val="22"/>
          <w:szCs w:val="22"/>
        </w:rPr>
        <w:t xml:space="preserve">Compare recovered AR per practice under CollectRx to the 3-month pre-CollectRx baseline. If you're lifting recovery by 30%+, you have a premium pricing story.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Hours saved. </w:t>
      </w:r>
      <w:r>
        <w:rPr>
          <w:rFonts w:ascii="Arial" w:cs="Arial" w:eastAsia="Arial" w:hAnsi="Arial"/>
          <w:sz w:val="22"/>
          <w:szCs w:val="22"/>
        </w:rPr>
        <w:t xml:space="preserve">Track actual dental staff time saved weekly. Even a modest $25/hr × 8 hrs = $200/week savings is a practice-side ROI story that justifies your fee.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Unit cost trend. </w:t>
      </w:r>
      <w:r>
        <w:rPr>
          <w:rFonts w:ascii="Arial" w:cs="Arial" w:eastAsia="Arial" w:hAnsi="Arial"/>
          <w:sz w:val="22"/>
          <w:szCs w:val="22"/>
        </w:rPr>
        <w:t xml:space="preserve">Vapi costs should fall per resolved claim as agent prompts improve. Track per-claim variable cost monthly.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Practice NPS. </w:t>
      </w:r>
      <w:r>
        <w:rPr>
          <w:rFonts w:ascii="Arial" w:cs="Arial" w:eastAsia="Arial" w:hAnsi="Arial"/>
          <w:sz w:val="22"/>
          <w:szCs w:val="22"/>
        </w:rPr>
        <w:t xml:space="preserve">Ask every practice monthly: 'Would you recommend CollectRx to another practice?' 9–10 is your moat.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8.2 When to raise prices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Two triggers: (a) you have 3 months of recovery lift data showing &gt;25% improvement, AND (b) you have a waitlist of 3+ practices that found you organically. Move new practices to $399 + 15% at that point. Hold pilot four at original pricing for 12 months — the goodwill pays back in referrals.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8.3 When to add a patient-pay layer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Not in year one. The patient-pay module is where CollectRx becomes interesting as a two-sided payments platform — but it adds Stripe Connect custodial complexity, PCI scope, and PHIPA fiduciary risk. Add it only after: pilot is stable, you have a CPA and legal advisor on retainer, and you've seen &gt;6 months of clean monthly closes. Realistic timing: month 10–14.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8.4 When to raise outside capital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model says you don't need to. $8,500 gets you through pilot, and cumulative cash turns positive by month 8. But if you want to hire before month 12 or expand beyond Ontario before you're cashflow-positive enough to self-fund, $250K–$500K at the end of the pilot — with recovery-lift data in hand — will be an easier raise than raising now. Hold off.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Next 30 Days — Financial Setup Checklist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Incorporate CollectRx (Ontario or federal). Federal costs more but gives cross-provincial name protection.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 business bank account + separate HST holding account.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Register for HST/GST with CRA (use the corp's BN).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Stripe account under the corp; enable Stripe Billing and ACH pre-authorization (Canada PAD).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Get E&amp;O + cyber liability quotes (typical: $1,500–$3,000/year for early-stage SaaS). Bind before Dr. Hasan goes live.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Draft Master Services Agreement — use a SaaS template, add PHIPA data processing addendum. Have a Canadian health-tech lawyer review (~$1,500 one-time).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 up bookkeeping in Xero or QuickBooks Online (~$30/mo); categorize chart of accounts: Revenue / Base Fees, Revenue / Success Fees, COGS / Vapi, COGS / Twilio, etc.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Hire a CPA on a modest retainer ($250–500/mo) to handle HST returns and year-end. Worth it — saves 10x that in penalties.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Lock pricing in the practice contract: $299 base + 12% success, 3-month pilot, 12-month price lock, 30-day termination.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Disclaimer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is a founder-level financial plan and operational walkthrough, not accounting, legal, or tax advice. Confirm HST handling, contractual structure, and insurance adequacy with a Canadian CPA and a health-tech-aware lawyer before executing.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2026-04-19T20:34:35.892Z</dcterms:created>
  <dcterms:modified xsi:type="dcterms:W3CDTF">2026-04-19T20:34:35.909Z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