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</w:rPr>
        <w:t xml:space="preserve">Subject: </w:t>
      </w:r>
      <w:r>
        <w:t xml:space="preserve">Need 30 min on your Abeldent machine (blocks pilot launch)</w:t>
      </w:r>
    </w:p>
    <w:p>
      <w:pPr>
        <w:spacing w:after="300"/>
      </w:pPr>
    </w:p>
    <w:p>
      <w:pPr>
        <w:spacing w:after="200"/>
      </w:pPr>
      <w:r>
        <w:t xml:space="preserve">Dr. Hasan,</w:t>
      </w:r>
    </w:p>
    <w:p>
      <w:pPr>
        <w:spacing w:after="200"/>
      </w:pPr>
      <w:r>
        <w:t xml:space="preserve">CollectRx is fully built. The one thing blocking go-live is a 30-minute visit to your office so I can run a read-only script on your Abeldent machine. It maps your database’s table names so our sync actually works. Without it, nothing connects.</w:t>
      </w:r>
    </w:p>
    <w:p>
      <w:pPr>
        <w:spacing w:after="200"/>
      </w:pPr>
      <w:r>
        <w:t xml:space="preserve">No patient data leaves the machine. I just need to sit at the workstation, run the script, and confirm the column names match. I’ll update the sync queries on the spot and verify with a test pull before I leave.</w:t>
      </w:r>
    </w:p>
    <w:p>
      <w:pPr>
        <w:spacing w:after="200"/>
      </w:pPr>
      <w:r>
        <w:t xml:space="preserve">Can we book a slot this week or next? Before/after patient hours or over lunch works. Whatever’s easiest for you. Once this is done, I’ll have staging live within 48 hours.</w:t>
      </w:r>
    </w:p>
    <w:p>
      <w:pPr>
        <w:spacing w:after="60" w:before="300"/>
      </w:pPr>
      <w:r>
        <w:t xml:space="preserve">Khalid</w:t>
      </w:r>
    </w:p>
    <w:p>
      <w:r>
        <w:rPr>
          <w:color w:val="10B981"/>
        </w:rPr>
        <w:t xml:space="preserve">khalidegeh97@gmail.com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2026-04-06T17:13:01.628Z</dcterms:created>
  <dcterms:modified xsi:type="dcterms:W3CDTF">2026-04-06T17:13:01.630Z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