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pPr>
      <w:r>
        <w:rPr>
          <w:rFonts w:ascii="Arial" w:cs="Arial" w:eastAsia="Arial" w:hAnsi="Arial"/>
          <w:b/>
          <w:bCs/>
          <w:color w:val="0F6E56"/>
          <w:sz w:val="64"/>
          <w:szCs w:val="64"/>
        </w:rPr>
        <w:t xml:space="preserve">CollectRx</w:t>
      </w:r>
    </w:p>
    <w:p>
      <w:pPr>
        <w:spacing w:before="0" w:after="200"/>
      </w:pPr>
      <w:r>
        <w:rPr>
          <w:rFonts w:ascii="Arial" w:cs="Arial" w:eastAsia="Arial" w:hAnsi="Arial"/>
          <w:color w:val="444444"/>
          <w:sz w:val="36"/>
          <w:szCs w:val="36"/>
        </w:rPr>
        <w:t xml:space="preserve">Desktop App — Cowork Build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Pilot partner</w:t>
            </w:r>
          </w:p>
          <w:p>
            <w:r>
              <w:rPr>
                <w:rFonts w:ascii="Arial" w:cs="Arial" w:eastAsia="Arial" w:hAnsi="Arial"/>
                <w:b/>
                <w:bCs/>
                <w:color w:val="1A1A1A"/>
                <w:sz w:val="20"/>
                <w:szCs w:val="20"/>
              </w:rPr>
              <w:t xml:space="preserve">Dr. Hasan — Tenth Line Family Dentistry</w:t>
            </w:r>
          </w:p>
        </w:tc>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Location</w:t>
            </w:r>
          </w:p>
          <w:p>
            <w:r>
              <w:rPr>
                <w:rFonts w:ascii="Arial" w:cs="Arial" w:eastAsia="Arial" w:hAnsi="Arial"/>
                <w:b/>
                <w:bCs/>
                <w:color w:val="1A1A1A"/>
                <w:sz w:val="20"/>
                <w:szCs w:val="20"/>
              </w:rPr>
              <w:t xml:space="preserve">Ottawa, 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Build target</w:t>
            </w:r>
          </w:p>
          <w:p>
            <w:r>
              <w:rPr>
                <w:rFonts w:ascii="Arial" w:cs="Arial" w:eastAsia="Arial" w:hAnsi="Arial"/>
                <w:b/>
                <w:bCs/>
                <w:color w:val="1A1A1A"/>
                <w:sz w:val="20"/>
                <w:szCs w:val="20"/>
              </w:rPr>
              <w:t xml:space="preserve">Electron desktop app (.exe installer)</w:t>
            </w:r>
          </w:p>
        </w:tc>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Backend</w:t>
            </w:r>
          </w:p>
          <w:p>
            <w:r>
              <w:rPr>
                <w:rFonts w:ascii="Arial" w:cs="Arial" w:eastAsia="Arial" w:hAnsi="Arial"/>
                <w:b/>
                <w:bCs/>
                <w:color w:val="1A1A1A"/>
                <w:sz w:val="20"/>
                <w:szCs w:val="20"/>
              </w:rPr>
              <w:t xml:space="preserve">Railway (Node.js + PostgreSQL)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Date</w:t>
            </w:r>
          </w:p>
          <w:p>
            <w:r>
              <w:rPr>
                <w:rFonts w:ascii="Arial" w:cs="Arial" w:eastAsia="Arial" w:hAnsi="Arial"/>
                <w:b/>
                <w:bCs/>
                <w:color w:val="1A1A1A"/>
                <w:sz w:val="20"/>
                <w:szCs w:val="20"/>
              </w:rPr>
              <w:t xml:space="preserve">March 2026</w:t>
            </w:r>
          </w:p>
        </w:tc>
        <w:tc>
          <w:tcPr>
            <w:tcW w:type="dxa" w:w="4680"/>
            <w:tcBorders>
              <w:top w:val="none" w:color="FFFFFF" w:sz="0"/>
              <w:left w:val="none" w:color="FFFFFF" w:sz="0"/>
              <w:bottom w:val="none" w:color="FFFFFF" w:sz="0"/>
              <w:right w:val="none" w:color="FFFFFF" w:sz="0"/>
            </w:tcBorders>
            <w:shd w:fill="F5F5F3" w:val="clear"/>
            <w:tcMar>
              <w:top w:type="dxa" w:w="120"/>
              <w:left w:type="dxa" w:w="160"/>
              <w:bottom w:type="dxa" w:w="120"/>
              <w:right w:type="dxa" w:w="160"/>
            </w:tcMar>
          </w:tcPr>
          <w:p>
            <w:r>
              <w:rPr>
                <w:rFonts w:ascii="Arial" w:cs="Arial" w:eastAsia="Arial" w:hAnsi="Arial"/>
                <w:b/>
                <w:bCs/>
                <w:color w:val="666666"/>
                <w:sz w:val="16"/>
                <w:szCs w:val="16"/>
              </w:rPr>
              <w:t xml:space="preserve">Repo</w:t>
            </w:r>
          </w:p>
          <w:p>
            <w:r>
              <w:rPr>
                <w:rFonts w:ascii="Arial" w:cs="Arial" w:eastAsia="Arial" w:hAnsi="Arial"/>
                <w:b/>
                <w:bCs/>
                <w:color w:val="1A1A1A"/>
                <w:sz w:val="20"/>
                <w:szCs w:val="20"/>
              </w:rPr>
              <w:t xml:space="preserve">github.com/khalidegeh/Click</w:t>
            </w:r>
          </w:p>
        </w:tc>
      </w:tr>
    </w:tbl>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What we are building</w:t>
      </w:r>
    </w:p>
    <w:p>
      <w:pPr>
        <w:spacing w:before="80" w:after="80"/>
      </w:pPr>
      <w:r>
        <w:rPr>
          <w:rFonts w:ascii="Arial" w:cs="Arial" w:eastAsia="Arial" w:hAnsi="Arial"/>
          <w:color w:val="1A1A1A"/>
          <w:sz w:val="20"/>
          <w:szCs w:val="20"/>
        </w:rPr>
        <w:t xml:space="preserve">CollectRx is a desktop application for dental practices that automates the two biggest sources of uncollected revenue: outstanding insurance claims and unpaid patient balances after insurance has paid. The practice installs a single .exe file. Everything else runs in the cloud.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b/>
                <w:bCs/>
                <w:color w:val="0F6E56"/>
                <w:sz w:val="18"/>
                <w:szCs w:val="18"/>
              </w:rPr>
              <w:t xml:space="preserve">Core value proposition</w:t>
            </w:r>
          </w:p>
          <w:p>
            <w:r>
              <w:rPr>
                <w:rFonts w:ascii="Arial" w:cs="Arial" w:eastAsia="Arial" w:hAnsi="Arial"/>
                <w:color w:val="0F6E56"/>
                <w:sz w:val="18"/>
                <w:szCs w:val="18"/>
              </w:rPr>
              <w:t xml:space="preserve">A dental practice should never be left underwater because money is stuck between an insurance company and a patient. CollectRx surfaces exactly what is owed, by whom, and why — and takes automated action to collect it.</w:t>
            </w:r>
          </w:p>
        </w:tc>
      </w:tr>
    </w:tbl>
    <w:p>
      <w:pPr>
        <w:spacing w:before="160" w:after="0"/>
      </w:pPr>
      <w:r>
        <w:t xml:space="preserve"/>
      </w:r>
    </w:p>
    <w:p>
      <w:pPr>
        <w:pStyle w:val="Heading2"/>
        <w:spacing w:before="320" w:after="120"/>
      </w:pPr>
      <w:r>
        <w:rPr>
          <w:rFonts w:ascii="Arial" w:cs="Arial" w:eastAsia="Arial" w:hAnsi="Arial"/>
          <w:b/>
          <w:bCs/>
          <w:color w:val="1A1A1A"/>
          <w:sz w:val="24"/>
          <w:szCs w:val="24"/>
        </w:rPr>
        <w:t xml:space="preserve">The two AR problems CollectRx solves</w:t>
      </w:r>
    </w:p>
    <w:p>
      <w:pPr>
        <w:pStyle w:val="Heading3"/>
        <w:spacing w:before="240" w:after="80"/>
      </w:pPr>
      <w:r>
        <w:rPr>
          <w:rFonts w:ascii="Arial" w:cs="Arial" w:eastAsia="Arial" w:hAnsi="Arial"/>
          <w:b/>
          <w:bCs/>
          <w:color w:val="1A1A1A"/>
          <w:sz w:val="20"/>
          <w:szCs w:val="20"/>
        </w:rPr>
        <w:t xml:space="preserve">1. Insurance AR — chasing carriers</w:t>
      </w:r>
    </w:p>
    <w:p>
      <w:pPr>
        <w:spacing w:before="80" w:after="80"/>
      </w:pPr>
      <w:r>
        <w:rPr>
          <w:rFonts w:ascii="Arial" w:cs="Arial" w:eastAsia="Arial" w:hAnsi="Arial"/>
          <w:color w:val="1A1A1A"/>
          <w:sz w:val="20"/>
          <w:szCs w:val="20"/>
        </w:rPr>
        <w:t xml:space="preserve">After a claim is submitted, dental staff have no visibility into whether it was received, is processing, was denied, or has a cheque issued. Finding out requires calling each carrier — navigating IVR systems, authenticating, and waiting on hold — for dozens of claims per week. CollectRx replaces this entirely with automated voice AI agents that call carriers, get status, and log outcomes.</w:t>
      </w:r>
    </w:p>
    <w:p>
      <w:pPr>
        <w:spacing w:before="120" w:after="0"/>
      </w:pPr>
      <w:r>
        <w:t xml:space="preserve"/>
      </w:r>
    </w:p>
    <w:p>
      <w:pPr>
        <w:pStyle w:val="Heading3"/>
        <w:spacing w:before="240" w:after="80"/>
      </w:pPr>
      <w:r>
        <w:rPr>
          <w:rFonts w:ascii="Arial" w:cs="Arial" w:eastAsia="Arial" w:hAnsi="Arial"/>
          <w:b/>
          <w:bCs/>
          <w:color w:val="1A1A1A"/>
          <w:sz w:val="20"/>
          <w:szCs w:val="20"/>
        </w:rPr>
        <w:t xml:space="preserve">2. Patient AR — collecting balances</w:t>
      </w:r>
    </w:p>
    <w:p>
      <w:pPr>
        <w:spacing w:before="80" w:after="80"/>
      </w:pPr>
      <w:r>
        <w:rPr>
          <w:rFonts w:ascii="Arial" w:cs="Arial" w:eastAsia="Arial" w:hAnsi="Arial"/>
          <w:color w:val="1A1A1A"/>
          <w:sz w:val="20"/>
          <w:szCs w:val="20"/>
        </w:rPr>
        <w:t xml:space="preserve">After insurance pays their portion, the patient owes the remainder. These balances frequently go uncollected simply because the practice has no automated way to remind patients and offer a frictionless payment path. CollectRx sends SMS and email reminders with a direct Stripe payment link.</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Revenue cycle logic</w:t>
      </w:r>
    </w:p>
    <w:p>
      <w:pPr>
        <w:spacing w:before="80" w:after="80"/>
      </w:pPr>
      <w:r>
        <w:rPr>
          <w:rFonts w:ascii="Arial" w:cs="Arial" w:eastAsia="Arial" w:hAnsi="Arial"/>
          <w:color w:val="1A1A1A"/>
          <w:sz w:val="20"/>
          <w:szCs w:val="20"/>
        </w:rPr>
        <w:t xml:space="preserve">The financial logic CollectRx must implement covers two distinct moments in the patient billing lifecycle.</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Before treatment — pre-treatment estimate</w:t>
      </w:r>
    </w:p>
    <w:p>
      <w:pPr>
        <w:spacing w:before="80" w:after="80"/>
      </w:pPr>
      <w:r>
        <w:rPr>
          <w:rFonts w:ascii="Arial" w:cs="Arial" w:eastAsia="Arial" w:hAnsi="Arial"/>
          <w:color w:val="1A1A1A"/>
          <w:sz w:val="20"/>
          <w:szCs w:val="20"/>
        </w:rPr>
        <w:t xml:space="preserve">Before the procedure is performed, the practice needs to know what insurance will cover so they can give the patient an accurate out-of-pocket estimate. CollectRx handles this via an automated eligibility call to the carrier using the same Vapi voice agent infrastructure.</w:t>
      </w:r>
    </w:p>
    <w:p>
      <w:pPr>
        <w:spacing w:before="120" w:after="0"/>
      </w:pPr>
      <w:r>
        <w:t xml:space="preserve"/>
      </w:r>
    </w:p>
    <w:p>
      <w:pPr>
        <w:spacing w:before="80" w:after="80"/>
      </w:pPr>
      <w:r>
        <w:rPr>
          <w:rFonts w:ascii="Arial" w:cs="Arial" w:eastAsia="Arial" w:hAnsi="Arial"/>
          <w:color w:val="1A1A1A"/>
          <w:sz w:val="20"/>
          <w:szCs w:val="20"/>
        </w:rPr>
        <w:t xml:space="preserve">The eligibility call retrieves:</w:t>
      </w:r>
    </w:p>
    <w:p>
      <w:pPr>
        <w:pStyle w:val="ListParagraph"/>
        <w:numPr>
          <w:ilvl w:val="0"/>
          <w:numId w:val="2"/>
        </w:numPr>
        <w:spacing w:before="40" w:after="40"/>
      </w:pPr>
      <w:r>
        <w:rPr>
          <w:rFonts w:ascii="Arial" w:cs="Arial" w:eastAsia="Arial" w:hAnsi="Arial"/>
          <w:b w:val="false"/>
          <w:bCs w:val="false"/>
          <w:color w:val="1A1A1A"/>
          <w:sz w:val="20"/>
          <w:szCs w:val="20"/>
        </w:rPr>
        <w:t xml:space="preserve">Annual maximum — total the plan covers per calendar year</w:t>
      </w:r>
    </w:p>
    <w:p>
      <w:pPr>
        <w:pStyle w:val="ListParagraph"/>
        <w:numPr>
          <w:ilvl w:val="0"/>
          <w:numId w:val="2"/>
        </w:numPr>
        <w:spacing w:before="40" w:after="40"/>
      </w:pPr>
      <w:r>
        <w:rPr>
          <w:rFonts w:ascii="Arial" w:cs="Arial" w:eastAsia="Arial" w:hAnsi="Arial"/>
          <w:b w:val="false"/>
          <w:bCs w:val="false"/>
          <w:color w:val="1A1A1A"/>
          <w:sz w:val="20"/>
          <w:szCs w:val="20"/>
        </w:rPr>
        <w:t xml:space="preserve">Annual maximum used — how much has already been claimed this year</w:t>
      </w:r>
    </w:p>
    <w:p>
      <w:pPr>
        <w:pStyle w:val="ListParagraph"/>
        <w:numPr>
          <w:ilvl w:val="0"/>
          <w:numId w:val="2"/>
        </w:numPr>
        <w:spacing w:before="40" w:after="40"/>
      </w:pPr>
      <w:r>
        <w:rPr>
          <w:rFonts w:ascii="Arial" w:cs="Arial" w:eastAsia="Arial" w:hAnsi="Arial"/>
          <w:b w:val="false"/>
          <w:bCs w:val="false"/>
          <w:color w:val="1A1A1A"/>
          <w:sz w:val="20"/>
          <w:szCs w:val="20"/>
        </w:rPr>
        <w:t xml:space="preserve">Annual maximum remaining — what is still available</w:t>
      </w:r>
    </w:p>
    <w:p>
      <w:pPr>
        <w:pStyle w:val="ListParagraph"/>
        <w:numPr>
          <w:ilvl w:val="0"/>
          <w:numId w:val="2"/>
        </w:numPr>
        <w:spacing w:before="40" w:after="40"/>
      </w:pPr>
      <w:r>
        <w:rPr>
          <w:rFonts w:ascii="Arial" w:cs="Arial" w:eastAsia="Arial" w:hAnsi="Arial"/>
          <w:b w:val="false"/>
          <w:bCs w:val="false"/>
          <w:color w:val="1A1A1A"/>
          <w:sz w:val="20"/>
          <w:szCs w:val="20"/>
        </w:rPr>
        <w:t xml:space="preserve">Deductible — patient's annual deductible amount</w:t>
      </w:r>
    </w:p>
    <w:p>
      <w:pPr>
        <w:pStyle w:val="ListParagraph"/>
        <w:numPr>
          <w:ilvl w:val="0"/>
          <w:numId w:val="2"/>
        </w:numPr>
        <w:spacing w:before="40" w:after="40"/>
      </w:pPr>
      <w:r>
        <w:rPr>
          <w:rFonts w:ascii="Arial" w:cs="Arial" w:eastAsia="Arial" w:hAnsi="Arial"/>
          <w:b w:val="false"/>
          <w:bCs w:val="false"/>
          <w:color w:val="1A1A1A"/>
          <w:sz w:val="20"/>
          <w:szCs w:val="20"/>
        </w:rPr>
        <w:t xml:space="preserve">Deductible met — how much of the deductible has been satisfied</w:t>
      </w:r>
    </w:p>
    <w:p>
      <w:pPr>
        <w:pStyle w:val="ListParagraph"/>
        <w:numPr>
          <w:ilvl w:val="0"/>
          <w:numId w:val="2"/>
        </w:numPr>
        <w:spacing w:before="40" w:after="40"/>
      </w:pPr>
      <w:r>
        <w:rPr>
          <w:rFonts w:ascii="Arial" w:cs="Arial" w:eastAsia="Arial" w:hAnsi="Arial"/>
          <w:b w:val="false"/>
          <w:bCs w:val="false"/>
          <w:color w:val="1A1A1A"/>
          <w:sz w:val="20"/>
          <w:szCs w:val="20"/>
        </w:rPr>
        <w:t xml:space="preserve">Coverage percentage by procedure category:</w:t>
      </w:r>
    </w:p>
    <w:p>
      <w:pPr>
        <w:pStyle w:val="ListParagraph"/>
        <w:numPr>
          <w:ilvl w:val="1"/>
          <w:numId w:val="2"/>
        </w:numPr>
        <w:spacing w:before="20" w:after="20"/>
      </w:pPr>
      <w:r>
        <w:rPr>
          <w:rFonts w:ascii="Arial" w:cs="Arial" w:eastAsia="Arial" w:hAnsi="Arial"/>
          <w:color w:val="444444"/>
          <w:sz w:val="18"/>
          <w:szCs w:val="18"/>
        </w:rPr>
        <w:t xml:space="preserve">Preventive (exams, cleanings, X-rays) — typically 80–100%</w:t>
      </w:r>
    </w:p>
    <w:p>
      <w:pPr>
        <w:pStyle w:val="ListParagraph"/>
        <w:numPr>
          <w:ilvl w:val="1"/>
          <w:numId w:val="2"/>
        </w:numPr>
        <w:spacing w:before="20" w:after="20"/>
      </w:pPr>
      <w:r>
        <w:rPr>
          <w:rFonts w:ascii="Arial" w:cs="Arial" w:eastAsia="Arial" w:hAnsi="Arial"/>
          <w:color w:val="444444"/>
          <w:sz w:val="18"/>
          <w:szCs w:val="18"/>
        </w:rPr>
        <w:t xml:space="preserve">Basic restorative (fillings, extractions) — typically 70–80%</w:t>
      </w:r>
    </w:p>
    <w:p>
      <w:pPr>
        <w:pStyle w:val="ListParagraph"/>
        <w:numPr>
          <w:ilvl w:val="1"/>
          <w:numId w:val="2"/>
        </w:numPr>
        <w:spacing w:before="20" w:after="20"/>
      </w:pPr>
      <w:r>
        <w:rPr>
          <w:rFonts w:ascii="Arial" w:cs="Arial" w:eastAsia="Arial" w:hAnsi="Arial"/>
          <w:color w:val="444444"/>
          <w:sz w:val="18"/>
          <w:szCs w:val="18"/>
        </w:rPr>
        <w:t xml:space="preserve">Major restorative (crowns, bridges, dentures) — typically 50%</w:t>
      </w:r>
    </w:p>
    <w:p>
      <w:pPr>
        <w:pStyle w:val="ListParagraph"/>
        <w:numPr>
          <w:ilvl w:val="1"/>
          <w:numId w:val="2"/>
        </w:numPr>
        <w:spacing w:before="20" w:after="20"/>
      </w:pPr>
      <w:r>
        <w:rPr>
          <w:rFonts w:ascii="Arial" w:cs="Arial" w:eastAsia="Arial" w:hAnsi="Arial"/>
          <w:color w:val="444444"/>
          <w:sz w:val="18"/>
          <w:szCs w:val="18"/>
        </w:rPr>
        <w:t xml:space="preserve">Orthodontics — typically 50%, lifetime maximum applies</w:t>
      </w:r>
    </w:p>
    <w:p>
      <w:pPr>
        <w:spacing w:before="120" w:after="0"/>
      </w:pPr>
      <w:r>
        <w:t xml:space="preserve"/>
      </w:r>
    </w:p>
    <w:p>
      <w:pPr>
        <w:spacing w:before="80" w:after="80"/>
      </w:pPr>
      <w:r>
        <w:rPr>
          <w:rFonts w:ascii="Arial" w:cs="Arial" w:eastAsia="Arial" w:hAnsi="Arial"/>
          <w:color w:val="1A1A1A"/>
          <w:sz w:val="20"/>
          <w:szCs w:val="20"/>
        </w:rPr>
        <w:t xml:space="preserve">The pre-treatment estimate calculation: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r>
              <w:rPr>
                <w:rFonts w:ascii="Arial" w:cs="Arial" w:eastAsia="Arial" w:hAnsi="Arial"/>
                <w:b/>
                <w:bCs/>
                <w:color w:val="534AB7"/>
                <w:sz w:val="18"/>
                <w:szCs w:val="18"/>
              </w:rPr>
              <w:t xml:space="preserve">Estimate formula</w:t>
            </w:r>
          </w:p>
          <w:p>
            <w:r>
              <w:rPr>
                <w:rFonts w:ascii="Arial" w:cs="Arial" w:eastAsia="Arial" w:hAnsi="Arial"/>
                <w:color w:val="534AB7"/>
                <w:sz w:val="18"/>
                <w:szCs w:val="18"/>
              </w:rPr>
              <w:t xml:space="preserve">Patient estimate = Procedure fee − (Procedure fee × Coverage %) + Deductible remaining (if not yet met)
Capped at: Annual maximum remaining (if claim would exceed it, patient owes the excess)</w:t>
            </w:r>
          </w:p>
        </w:tc>
      </w:tr>
    </w:tbl>
    <w:p>
      <w:pPr>
        <w:spacing w:before="160" w:after="0"/>
      </w:pPr>
      <w:r>
        <w:t xml:space="preserve"/>
      </w:r>
    </w:p>
    <w:p>
      <w:pPr>
        <w:spacing w:before="80" w:after="80"/>
      </w:pPr>
      <w:r>
        <w:rPr>
          <w:rFonts w:ascii="Arial" w:cs="Arial" w:eastAsia="Arial" w:hAnsi="Arial"/>
          <w:color w:val="1A1A1A"/>
          <w:sz w:val="20"/>
          <w:szCs w:val="20"/>
        </w:rPr>
        <w:t xml:space="preserve">These benefit values are stored in PostgreSQL against the patient + carrier combination so the practice does not need to call for every appointment — only when the plan year resets or coverage changes.</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After insurance pays — post-adjudication reconciliation</w:t>
      </w:r>
    </w:p>
    <w:p>
      <w:pPr>
        <w:spacing w:before="80" w:after="80"/>
      </w:pPr>
      <w:r>
        <w:rPr>
          <w:rFonts w:ascii="Arial" w:cs="Arial" w:eastAsia="Arial" w:hAnsi="Arial"/>
          <w:color w:val="1A1A1A"/>
          <w:sz w:val="20"/>
          <w:szCs w:val="20"/>
        </w:rPr>
        <w:t xml:space="preserve">After the carrier processes the claim, they issue an EOB (Explanation of Benefits). The adjudicated amount — what they actually paid — is recorded back into Abeldent. CollectRx reads this from the database and calculates the patient's remaining balance.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r>
              <w:rPr>
                <w:rFonts w:ascii="Arial" w:cs="Arial" w:eastAsia="Arial" w:hAnsi="Arial"/>
                <w:b/>
                <w:bCs/>
                <w:color w:val="854F0B"/>
                <w:sz w:val="18"/>
                <w:szCs w:val="18"/>
              </w:rPr>
              <w:t xml:space="preserve">Reconciliation formula</w:t>
            </w:r>
          </w:p>
          <w:p>
            <w:r>
              <w:rPr>
                <w:rFonts w:ascii="Arial" w:cs="Arial" w:eastAsia="Arial" w:hAnsi="Arial"/>
                <w:color w:val="854F0B"/>
                <w:sz w:val="18"/>
                <w:szCs w:val="18"/>
              </w:rPr>
              <w:t xml:space="preserve">Patient balance = Amount billed − Insurance paid − Any writeoffs/adjustments
If patient balance &gt; $0 and no payment received within X days → trigger reminder sequence</w:t>
            </w:r>
          </w:p>
        </w:tc>
      </w:tr>
    </w:tbl>
    <w:p>
      <w:pPr>
        <w:spacing w:before="160" w:after="0"/>
      </w:pPr>
      <w:r>
        <w:t xml:space="preserve"/>
      </w:r>
    </w:p>
    <w:p>
      <w:pPr>
        <w:pStyle w:val="Heading2"/>
        <w:spacing w:before="320" w:after="120"/>
      </w:pPr>
      <w:r>
        <w:rPr>
          <w:rFonts w:ascii="Arial" w:cs="Arial" w:eastAsia="Arial" w:hAnsi="Arial"/>
          <w:b/>
          <w:bCs/>
          <w:color w:val="1A1A1A"/>
          <w:sz w:val="24"/>
          <w:szCs w:val="24"/>
        </w:rPr>
        <w:t xml:space="preserve">Coverage breakdown by CDT procedure code</w:t>
      </w:r>
    </w:p>
    <w:p>
      <w:pPr>
        <w:spacing w:before="80" w:after="80"/>
      </w:pPr>
      <w:r>
        <w:rPr>
          <w:rFonts w:ascii="Arial" w:cs="Arial" w:eastAsia="Arial" w:hAnsi="Arial"/>
          <w:color w:val="1A1A1A"/>
          <w:sz w:val="20"/>
          <w:szCs w:val="20"/>
        </w:rPr>
        <w:t xml:space="preserve">Each dental procedure maps to a CDT (Code on Dental Procedures and Nomenclature) code. Coverage percentages apply at the category level, but some plans have code-specific exclusions or waiting periods. CollectRx stores per-carrier, per-category coverage rules retrieved during eligibility calls and applies them to procedure codes in the Abeldent treatment plan.</w:t>
      </w:r>
    </w:p>
    <w:p>
      <w:pPr>
        <w:spacing w:before="120" w:after="0"/>
      </w:pPr>
      <w:r>
        <w:t xml:space="preserve"/>
      </w:r>
    </w:p>
    <w:p>
      <w:pPr>
        <w:spacing w:before="80" w:after="80"/>
      </w:pPr>
      <w:r>
        <w:rPr>
          <w:rFonts w:ascii="Arial" w:cs="Arial" w:eastAsia="Arial" w:hAnsi="Arial"/>
          <w:color w:val="1A1A1A"/>
          <w:sz w:val="20"/>
          <w:szCs w:val="20"/>
        </w:rPr>
        <w:t xml:space="preserve">CDT code categories in scope:</w:t>
      </w:r>
    </w:p>
    <w:p>
      <w:pPr>
        <w:pStyle w:val="ListParagraph"/>
        <w:numPr>
          <w:ilvl w:val="0"/>
          <w:numId w:val="2"/>
        </w:numPr>
        <w:spacing w:before="40" w:after="40"/>
      </w:pPr>
      <w:r>
        <w:rPr>
          <w:rFonts w:ascii="Arial" w:cs="Arial" w:eastAsia="Arial" w:hAnsi="Arial"/>
          <w:b w:val="false"/>
          <w:bCs w:val="false"/>
          <w:color w:val="1A1A1A"/>
          <w:sz w:val="20"/>
          <w:szCs w:val="20"/>
        </w:rPr>
        <w:t xml:space="preserve">D0100–D0999: Diagnostic (exams, X-rays)</w:t>
      </w:r>
    </w:p>
    <w:p>
      <w:pPr>
        <w:pStyle w:val="ListParagraph"/>
        <w:numPr>
          <w:ilvl w:val="0"/>
          <w:numId w:val="2"/>
        </w:numPr>
        <w:spacing w:before="40" w:after="40"/>
      </w:pPr>
      <w:r>
        <w:rPr>
          <w:rFonts w:ascii="Arial" w:cs="Arial" w:eastAsia="Arial" w:hAnsi="Arial"/>
          <w:b w:val="false"/>
          <w:bCs w:val="false"/>
          <w:color w:val="1A1A1A"/>
          <w:sz w:val="20"/>
          <w:szCs w:val="20"/>
        </w:rPr>
        <w:t xml:space="preserve">D1000–D1999: Preventive (cleanings, fluoride, sealants)</w:t>
      </w:r>
    </w:p>
    <w:p>
      <w:pPr>
        <w:pStyle w:val="ListParagraph"/>
        <w:numPr>
          <w:ilvl w:val="0"/>
          <w:numId w:val="2"/>
        </w:numPr>
        <w:spacing w:before="40" w:after="40"/>
      </w:pPr>
      <w:r>
        <w:rPr>
          <w:rFonts w:ascii="Arial" w:cs="Arial" w:eastAsia="Arial" w:hAnsi="Arial"/>
          <w:b w:val="false"/>
          <w:bCs w:val="false"/>
          <w:color w:val="1A1A1A"/>
          <w:sz w:val="20"/>
          <w:szCs w:val="20"/>
        </w:rPr>
        <w:t xml:space="preserve">D2000–D2999: Restorative (fillings, crowns)</w:t>
      </w:r>
    </w:p>
    <w:p>
      <w:pPr>
        <w:pStyle w:val="ListParagraph"/>
        <w:numPr>
          <w:ilvl w:val="0"/>
          <w:numId w:val="2"/>
        </w:numPr>
        <w:spacing w:before="40" w:after="40"/>
      </w:pPr>
      <w:r>
        <w:rPr>
          <w:rFonts w:ascii="Arial" w:cs="Arial" w:eastAsia="Arial" w:hAnsi="Arial"/>
          <w:b w:val="false"/>
          <w:bCs w:val="false"/>
          <w:color w:val="1A1A1A"/>
          <w:sz w:val="20"/>
          <w:szCs w:val="20"/>
        </w:rPr>
        <w:t xml:space="preserve">D3000–D3999: Endodontics (root canals)</w:t>
      </w:r>
    </w:p>
    <w:p>
      <w:pPr>
        <w:pStyle w:val="ListParagraph"/>
        <w:numPr>
          <w:ilvl w:val="0"/>
          <w:numId w:val="2"/>
        </w:numPr>
        <w:spacing w:before="40" w:after="40"/>
      </w:pPr>
      <w:r>
        <w:rPr>
          <w:rFonts w:ascii="Arial" w:cs="Arial" w:eastAsia="Arial" w:hAnsi="Arial"/>
          <w:b w:val="false"/>
          <w:bCs w:val="false"/>
          <w:color w:val="1A1A1A"/>
          <w:sz w:val="20"/>
          <w:szCs w:val="20"/>
        </w:rPr>
        <w:t xml:space="preserve">D4000–D4999: Periodontics (gum treatment)</w:t>
      </w:r>
    </w:p>
    <w:p>
      <w:pPr>
        <w:pStyle w:val="ListParagraph"/>
        <w:numPr>
          <w:ilvl w:val="0"/>
          <w:numId w:val="2"/>
        </w:numPr>
        <w:spacing w:before="40" w:after="40"/>
      </w:pPr>
      <w:r>
        <w:rPr>
          <w:rFonts w:ascii="Arial" w:cs="Arial" w:eastAsia="Arial" w:hAnsi="Arial"/>
          <w:b w:val="false"/>
          <w:bCs w:val="false"/>
          <w:color w:val="1A1A1A"/>
          <w:sz w:val="20"/>
          <w:szCs w:val="20"/>
        </w:rPr>
        <w:t xml:space="preserve">D5000–D5899: Prosthodontics removable (dentures)</w:t>
      </w:r>
    </w:p>
    <w:p>
      <w:pPr>
        <w:pStyle w:val="ListParagraph"/>
        <w:numPr>
          <w:ilvl w:val="0"/>
          <w:numId w:val="2"/>
        </w:numPr>
        <w:spacing w:before="40" w:after="40"/>
      </w:pPr>
      <w:r>
        <w:rPr>
          <w:rFonts w:ascii="Arial" w:cs="Arial" w:eastAsia="Arial" w:hAnsi="Arial"/>
          <w:b w:val="false"/>
          <w:bCs w:val="false"/>
          <w:color w:val="1A1A1A"/>
          <w:sz w:val="20"/>
          <w:szCs w:val="20"/>
        </w:rPr>
        <w:t xml:space="preserve">D6000–D6199: Implants</w:t>
      </w:r>
    </w:p>
    <w:p>
      <w:pPr>
        <w:pStyle w:val="ListParagraph"/>
        <w:numPr>
          <w:ilvl w:val="0"/>
          <w:numId w:val="2"/>
        </w:numPr>
        <w:spacing w:before="40" w:after="40"/>
      </w:pPr>
      <w:r>
        <w:rPr>
          <w:rFonts w:ascii="Arial" w:cs="Arial" w:eastAsia="Arial" w:hAnsi="Arial"/>
          <w:b w:val="false"/>
          <w:bCs w:val="false"/>
          <w:color w:val="1A1A1A"/>
          <w:sz w:val="20"/>
          <w:szCs w:val="20"/>
        </w:rPr>
        <w:t xml:space="preserve">D7000–D7999: Oral surgery (extractions)</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System architecture</w:t>
      </w:r>
    </w:p>
    <w:p>
      <w:pPr>
        <w:pStyle w:val="Heading2"/>
        <w:spacing w:before="320" w:after="120"/>
      </w:pPr>
      <w:r>
        <w:rPr>
          <w:rFonts w:ascii="Arial" w:cs="Arial" w:eastAsia="Arial" w:hAnsi="Arial"/>
          <w:b/>
          <w:bCs/>
          <w:color w:val="1A1A1A"/>
          <w:sz w:val="24"/>
          <w:szCs w:val="24"/>
        </w:rPr>
        <w:t xml:space="preserve">What runs on Dr. Hasan's machine (Electron app)</w:t>
      </w:r>
    </w:p>
    <w:p>
      <w:pPr>
        <w:spacing w:before="80" w:after="80"/>
      </w:pPr>
      <w:r>
        <w:rPr>
          <w:rFonts w:ascii="Arial" w:cs="Arial" w:eastAsia="Arial" w:hAnsi="Arial"/>
          <w:color w:val="1A1A1A"/>
          <w:sz w:val="20"/>
          <w:szCs w:val="20"/>
        </w:rPr>
        <w:t xml:space="preserve">A single Windows .exe installs the Electron application. It contains:</w:t>
      </w:r>
    </w:p>
    <w:p>
      <w:pPr>
        <w:pStyle w:val="ListParagraph"/>
        <w:numPr>
          <w:ilvl w:val="0"/>
          <w:numId w:val="2"/>
        </w:numPr>
        <w:spacing w:before="40" w:after="40"/>
      </w:pPr>
      <w:r>
        <w:rPr>
          <w:rFonts w:ascii="Arial" w:cs="Arial" w:eastAsia="Arial" w:hAnsi="Arial"/>
          <w:b w:val="false"/>
          <w:bCs w:val="false"/>
          <w:color w:val="1A1A1A"/>
          <w:sz w:val="20"/>
          <w:szCs w:val="20"/>
        </w:rPr>
        <w:t xml:space="preserve">Abeldent sync service — reads outstanding insurance claims AND post-insurance patient balances from the on-premise SQL Server on a scheduled basis, syncs to Railway PostgreSQL via API</w:t>
      </w:r>
    </w:p>
    <w:p>
      <w:pPr>
        <w:pStyle w:val="ListParagraph"/>
        <w:numPr>
          <w:ilvl w:val="0"/>
          <w:numId w:val="2"/>
        </w:numPr>
        <w:spacing w:before="40" w:after="40"/>
      </w:pPr>
      <w:r>
        <w:rPr>
          <w:rFonts w:ascii="Arial" w:cs="Arial" w:eastAsia="Arial" w:hAnsi="Arial"/>
          <w:b w:val="false"/>
          <w:bCs w:val="false"/>
          <w:color w:val="1A1A1A"/>
          <w:sz w:val="20"/>
          <w:szCs w:val="20"/>
        </w:rPr>
        <w:t xml:space="preserve">System tray icon — ambient indicator showing sync status (green = healthy, red = error) without requiring an open window</w:t>
      </w:r>
    </w:p>
    <w:p>
      <w:pPr>
        <w:pStyle w:val="ListParagraph"/>
        <w:numPr>
          <w:ilvl w:val="0"/>
          <w:numId w:val="2"/>
        </w:numPr>
        <w:spacing w:before="40" w:after="40"/>
      </w:pPr>
      <w:r>
        <w:rPr>
          <w:rFonts w:ascii="Arial" w:cs="Arial" w:eastAsia="Arial" w:hAnsi="Arial"/>
          <w:b w:val="false"/>
          <w:bCs w:val="false"/>
          <w:color w:val="1A1A1A"/>
          <w:sz w:val="20"/>
          <w:szCs w:val="20"/>
        </w:rPr>
        <w:t xml:space="preserve">Carrier priority panel — UI control that sets today's call focus before the queue runs (e.g. run all Sun Life claims first today)</w:t>
      </w:r>
    </w:p>
    <w:p>
      <w:pPr>
        <w:pStyle w:val="ListParagraph"/>
        <w:numPr>
          <w:ilvl w:val="0"/>
          <w:numId w:val="2"/>
        </w:numPr>
        <w:spacing w:before="40" w:after="40"/>
      </w:pPr>
      <w:r>
        <w:rPr>
          <w:rFonts w:ascii="Arial" w:cs="Arial" w:eastAsia="Arial" w:hAnsi="Arial"/>
          <w:b w:val="false"/>
          <w:bCs w:val="false"/>
          <w:color w:val="1A1A1A"/>
          <w:sz w:val="20"/>
          <w:szCs w:val="20"/>
        </w:rPr>
        <w:t xml:space="preserve">Dashboard webview — an embedded browser frame rendering the Railway-hosted React dashboard; looks native, requires no changes to the existing frontend</w:t>
      </w:r>
    </w:p>
    <w:p>
      <w:pPr>
        <w:pStyle w:val="ListParagraph"/>
        <w:numPr>
          <w:ilvl w:val="0"/>
          <w:numId w:val="2"/>
        </w:numPr>
        <w:spacing w:before="40" w:after="40"/>
      </w:pPr>
      <w:r>
        <w:rPr>
          <w:rFonts w:ascii="Arial" w:cs="Arial" w:eastAsia="Arial" w:hAnsi="Arial"/>
          <w:b w:val="false"/>
          <w:bCs w:val="false"/>
          <w:color w:val="1A1A1A"/>
          <w:sz w:val="20"/>
          <w:szCs w:val="20"/>
        </w:rPr>
        <w:t xml:space="preserve">Patient AR view — second tab in the webview showing patient balances, reminder status, payment status</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What stays in the cloud (Railway)</w:t>
      </w:r>
    </w:p>
    <w:p>
      <w:pPr>
        <w:spacing w:before="80" w:after="80"/>
      </w:pPr>
      <w:r>
        <w:rPr>
          <w:rFonts w:ascii="Arial" w:cs="Arial" w:eastAsia="Arial" w:hAnsi="Arial"/>
          <w:color w:val="1A1A1A"/>
          <w:sz w:val="20"/>
          <w:szCs w:val="20"/>
        </w:rPr>
        <w:t xml:space="preserve">The backend, database, and all integrations remain on Railway. This is non-negotiable — Vapi webhooks need a public URL to post call outcomes back to. Moving the backend to the clinic machine would require port-forwarding at every new practice.</w:t>
      </w:r>
    </w:p>
    <w:p>
      <w:pPr>
        <w:pStyle w:val="ListParagraph"/>
        <w:numPr>
          <w:ilvl w:val="0"/>
          <w:numId w:val="2"/>
        </w:numPr>
        <w:spacing w:before="40" w:after="40"/>
      </w:pPr>
      <w:r>
        <w:rPr>
          <w:rFonts w:ascii="Arial" w:cs="Arial" w:eastAsia="Arial" w:hAnsi="Arial"/>
          <w:b w:val="false"/>
          <w:bCs w:val="false"/>
          <w:color w:val="1A1A1A"/>
          <w:sz w:val="20"/>
          <w:szCs w:val="20"/>
        </w:rPr>
        <w:t xml:space="preserve">Node.js / Express backend — PHI vault, call orchestration, patient AR queue, reminder engine</w:t>
      </w:r>
    </w:p>
    <w:p>
      <w:pPr>
        <w:pStyle w:val="ListParagraph"/>
        <w:numPr>
          <w:ilvl w:val="0"/>
          <w:numId w:val="2"/>
        </w:numPr>
        <w:spacing w:before="40" w:after="40"/>
      </w:pPr>
      <w:r>
        <w:rPr>
          <w:rFonts w:ascii="Arial" w:cs="Arial" w:eastAsia="Arial" w:hAnsi="Arial"/>
          <w:b w:val="false"/>
          <w:bCs w:val="false"/>
          <w:color w:val="1A1A1A"/>
          <w:sz w:val="20"/>
          <w:szCs w:val="20"/>
        </w:rPr>
        <w:t xml:space="preserve">PostgreSQL — claims, patient balances, benefit data, call outcomes, payment records</w:t>
      </w:r>
    </w:p>
    <w:p>
      <w:pPr>
        <w:pStyle w:val="ListParagraph"/>
        <w:numPr>
          <w:ilvl w:val="0"/>
          <w:numId w:val="2"/>
        </w:numPr>
        <w:spacing w:before="40" w:after="40"/>
      </w:pPr>
      <w:r>
        <w:rPr>
          <w:rFonts w:ascii="Arial" w:cs="Arial" w:eastAsia="Arial" w:hAnsi="Arial"/>
          <w:b w:val="false"/>
          <w:bCs w:val="false"/>
          <w:color w:val="1A1A1A"/>
          <w:sz w:val="20"/>
          <w:szCs w:val="20"/>
        </w:rPr>
        <w:t xml:space="preserve">React dashboard — served over HTTPS, rendered inside the Electron webview</w:t>
      </w:r>
    </w:p>
    <w:p>
      <w:pPr>
        <w:pStyle w:val="ListParagraph"/>
        <w:numPr>
          <w:ilvl w:val="0"/>
          <w:numId w:val="2"/>
        </w:numPr>
        <w:spacing w:before="40" w:after="40"/>
      </w:pPr>
      <w:r>
        <w:rPr>
          <w:rFonts w:ascii="Arial" w:cs="Arial" w:eastAsia="Arial" w:hAnsi="Arial"/>
          <w:b w:val="false"/>
          <w:bCs w:val="false"/>
          <w:color w:val="1A1A1A"/>
          <w:sz w:val="20"/>
          <w:szCs w:val="20"/>
        </w:rPr>
        <w:t xml:space="preserve">Vapi squad — 4-agent voice AI (IVR_Navigator, Claims_Agent, Resolution_Closer, Escalation_Closer)</w:t>
      </w:r>
    </w:p>
    <w:p>
      <w:pPr>
        <w:pStyle w:val="ListParagraph"/>
        <w:numPr>
          <w:ilvl w:val="0"/>
          <w:numId w:val="2"/>
        </w:numPr>
        <w:spacing w:before="40" w:after="40"/>
      </w:pPr>
      <w:r>
        <w:rPr>
          <w:rFonts w:ascii="Arial" w:cs="Arial" w:eastAsia="Arial" w:hAnsi="Arial"/>
          <w:b w:val="false"/>
          <w:bCs w:val="false"/>
          <w:color w:val="1A1A1A"/>
          <w:sz w:val="20"/>
          <w:szCs w:val="20"/>
        </w:rPr>
        <w:t xml:space="preserve">Stripe Connect — practice's bank account connected; patient payments go directly to the practice</w:t>
      </w:r>
    </w:p>
    <w:p>
      <w:pPr>
        <w:pStyle w:val="ListParagraph"/>
        <w:numPr>
          <w:ilvl w:val="0"/>
          <w:numId w:val="2"/>
        </w:numPr>
        <w:spacing w:before="40" w:after="40"/>
      </w:pPr>
      <w:r>
        <w:rPr>
          <w:rFonts w:ascii="Arial" w:cs="Arial" w:eastAsia="Arial" w:hAnsi="Arial"/>
          <w:b w:val="false"/>
          <w:bCs w:val="false"/>
          <w:color w:val="1A1A1A"/>
          <w:sz w:val="20"/>
          <w:szCs w:val="20"/>
        </w:rPr>
        <w:t xml:space="preserve">SendGrid — email reminders to patients</w:t>
      </w:r>
    </w:p>
    <w:p>
      <w:pPr>
        <w:pStyle w:val="ListParagraph"/>
        <w:numPr>
          <w:ilvl w:val="0"/>
          <w:numId w:val="2"/>
        </w:numPr>
        <w:spacing w:before="40" w:after="40"/>
      </w:pPr>
      <w:r>
        <w:rPr>
          <w:rFonts w:ascii="Arial" w:cs="Arial" w:eastAsia="Arial" w:hAnsi="Arial"/>
          <w:b w:val="false"/>
          <w:bCs w:val="false"/>
          <w:color w:val="1A1A1A"/>
          <w:sz w:val="20"/>
          <w:szCs w:val="20"/>
        </w:rPr>
        <w:t xml:space="preserve">Twilio — telephony for voice AI calls AND SMS reminders to patients</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PHI / PHIPA compliance (unchanged)</w:t>
      </w:r>
    </w:p>
    <w:p>
      <w:pPr>
        <w:spacing w:before="80" w:after="80"/>
      </w:pPr>
      <w:r>
        <w:rPr>
          <w:rFonts w:ascii="Arial" w:cs="Arial" w:eastAsia="Arial" w:hAnsi="Arial"/>
          <w:color w:val="1A1A1A"/>
          <w:sz w:val="20"/>
          <w:szCs w:val="20"/>
        </w:rPr>
        <w:t xml:space="preserve">The existing compliance architecture remains in place. The Node.js backend is the only component that ever handles patient health information. Vapi and its LLMs only ever see UUID tokens — never patient names, DOBs, or health card numbers. All PHI stays within the Railway backend boundary.</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Feature specification</w:t>
      </w:r>
    </w:p>
    <w:p>
      <w:pPr>
        <w:pStyle w:val="Heading2"/>
        <w:spacing w:before="320" w:after="120"/>
      </w:pPr>
      <w:r>
        <w:rPr>
          <w:rFonts w:ascii="Arial" w:cs="Arial" w:eastAsia="Arial" w:hAnsi="Arial"/>
          <w:b/>
          <w:bCs/>
          <w:color w:val="1A1A1A"/>
          <w:sz w:val="24"/>
          <w:szCs w:val="24"/>
        </w:rPr>
        <w:t xml:space="preserve">Feature 1 — Insurance claim follow-up (voice AI)</w:t>
      </w:r>
    </w:p>
    <w:p>
      <w:pPr>
        <w:spacing w:before="80" w:after="80"/>
      </w:pPr>
      <w:r>
        <w:rPr>
          <w:rFonts w:ascii="Arial" w:cs="Arial" w:eastAsia="Arial" w:hAnsi="Arial"/>
          <w:color w:val="1A1A1A"/>
          <w:sz w:val="20"/>
          <w:szCs w:val="20"/>
        </w:rPr>
        <w:t xml:space="preserve">Automated voice agents call insurance carriers to get status on outstanding claims.</w:t>
      </w:r>
    </w:p>
    <w:p>
      <w:pPr>
        <w:pStyle w:val="ListParagraph"/>
        <w:numPr>
          <w:ilvl w:val="0"/>
          <w:numId w:val="2"/>
        </w:numPr>
        <w:spacing w:before="40" w:after="40"/>
      </w:pPr>
      <w:r>
        <w:rPr>
          <w:rFonts w:ascii="Arial" w:cs="Arial" w:eastAsia="Arial" w:hAnsi="Arial"/>
          <w:b w:val="false"/>
          <w:bCs w:val="false"/>
          <w:color w:val="1A1A1A"/>
          <w:sz w:val="20"/>
          <w:szCs w:val="20"/>
        </w:rPr>
        <w:t xml:space="preserve">Trigger: Claims in Abeldent with status 'submitted' and age &gt; configurable threshold (default 14 days)</w:t>
      </w:r>
    </w:p>
    <w:p>
      <w:pPr>
        <w:pStyle w:val="ListParagraph"/>
        <w:numPr>
          <w:ilvl w:val="0"/>
          <w:numId w:val="2"/>
        </w:numPr>
        <w:spacing w:before="40" w:after="40"/>
      </w:pPr>
      <w:r>
        <w:rPr>
          <w:rFonts w:ascii="Arial" w:cs="Arial" w:eastAsia="Arial" w:hAnsi="Arial"/>
          <w:b w:val="false"/>
          <w:bCs w:val="false"/>
          <w:color w:val="1A1A1A"/>
          <w:sz w:val="20"/>
          <w:szCs w:val="20"/>
        </w:rPr>
        <w:t xml:space="preserve">Process: IVR_Navigator navigates phone tree → Claims_Agent authenticates and queries claim → Closer logs outcome</w:t>
      </w:r>
    </w:p>
    <w:p>
      <w:pPr>
        <w:pStyle w:val="ListParagraph"/>
        <w:numPr>
          <w:ilvl w:val="0"/>
          <w:numId w:val="2"/>
        </w:numPr>
        <w:spacing w:before="40" w:after="40"/>
      </w:pPr>
      <w:r>
        <w:rPr>
          <w:rFonts w:ascii="Arial" w:cs="Arial" w:eastAsia="Arial" w:hAnsi="Arial"/>
          <w:b w:val="false"/>
          <w:bCs w:val="false"/>
          <w:color w:val="1A1A1A"/>
          <w:sz w:val="20"/>
          <w:szCs w:val="20"/>
        </w:rPr>
        <w:t xml:space="preserve">Carriers: Sun Life, Canada Life, Manulife, Green Shield Canada, RBC Insurance, TELUS AdjudiCare</w:t>
      </w:r>
    </w:p>
    <w:p>
      <w:pPr>
        <w:pStyle w:val="ListParagraph"/>
        <w:numPr>
          <w:ilvl w:val="0"/>
          <w:numId w:val="2"/>
        </w:numPr>
        <w:spacing w:before="40" w:after="40"/>
      </w:pPr>
      <w:r>
        <w:rPr>
          <w:rFonts w:ascii="Arial" w:cs="Arial" w:eastAsia="Arial" w:hAnsi="Arial"/>
          <w:b w:val="false"/>
          <w:bCs w:val="false"/>
          <w:color w:val="1A1A1A"/>
          <w:sz w:val="20"/>
          <w:szCs w:val="20"/>
        </w:rPr>
        <w:t xml:space="preserve">Outcomes logged: Received/processing, approved + payment date, denied + reason code, more info required</w:t>
      </w:r>
    </w:p>
    <w:p>
      <w:pPr>
        <w:pStyle w:val="ListParagraph"/>
        <w:numPr>
          <w:ilvl w:val="0"/>
          <w:numId w:val="2"/>
        </w:numPr>
        <w:spacing w:before="40" w:after="40"/>
      </w:pPr>
      <w:r>
        <w:rPr>
          <w:rFonts w:ascii="Arial" w:cs="Arial" w:eastAsia="Arial" w:hAnsi="Arial"/>
          <w:b w:val="false"/>
          <w:bCs w:val="false"/>
          <w:color w:val="1A1A1A"/>
          <w:sz w:val="20"/>
          <w:szCs w:val="20"/>
        </w:rPr>
        <w:t xml:space="preserve">Carrier priority: Practice sets daily focus carrier via the desktop app panel before queue starts</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2 — Pre-treatment eligibility check (voice AI)</w:t>
      </w:r>
    </w:p>
    <w:p>
      <w:pPr>
        <w:spacing w:before="80" w:after="80"/>
      </w:pPr>
      <w:r>
        <w:rPr>
          <w:rFonts w:ascii="Arial" w:cs="Arial" w:eastAsia="Arial" w:hAnsi="Arial"/>
          <w:color w:val="1A1A1A"/>
          <w:sz w:val="20"/>
          <w:szCs w:val="20"/>
        </w:rPr>
        <w:t xml:space="preserve">Before a procedure, the voice agent calls the carrier to retrieve the patient's current benefit status.</w:t>
      </w:r>
    </w:p>
    <w:p>
      <w:pPr>
        <w:pStyle w:val="ListParagraph"/>
        <w:numPr>
          <w:ilvl w:val="0"/>
          <w:numId w:val="2"/>
        </w:numPr>
        <w:spacing w:before="40" w:after="40"/>
      </w:pPr>
      <w:r>
        <w:rPr>
          <w:rFonts w:ascii="Arial" w:cs="Arial" w:eastAsia="Arial" w:hAnsi="Arial"/>
          <w:b w:val="false"/>
          <w:bCs w:val="false"/>
          <w:color w:val="1A1A1A"/>
          <w:sz w:val="20"/>
          <w:szCs w:val="20"/>
        </w:rPr>
        <w:t xml:space="preserve">Trigger: Manual request from front desk, or automatic when a treatment plan is created in Abeldent</w:t>
      </w:r>
    </w:p>
    <w:p>
      <w:pPr>
        <w:pStyle w:val="ListParagraph"/>
        <w:numPr>
          <w:ilvl w:val="0"/>
          <w:numId w:val="2"/>
        </w:numPr>
        <w:spacing w:before="40" w:after="40"/>
      </w:pPr>
      <w:r>
        <w:rPr>
          <w:rFonts w:ascii="Arial" w:cs="Arial" w:eastAsia="Arial" w:hAnsi="Arial"/>
          <w:b w:val="false"/>
          <w:bCs w:val="false"/>
          <w:color w:val="1A1A1A"/>
          <w:sz w:val="20"/>
          <w:szCs w:val="20"/>
        </w:rPr>
        <w:t xml:space="preserve">Data retrieved: Annual max, annual max used, deductible, deductible met, coverage % by CDT category</w:t>
      </w:r>
    </w:p>
    <w:p>
      <w:pPr>
        <w:pStyle w:val="ListParagraph"/>
        <w:numPr>
          <w:ilvl w:val="0"/>
          <w:numId w:val="2"/>
        </w:numPr>
        <w:spacing w:before="40" w:after="40"/>
      </w:pPr>
      <w:r>
        <w:rPr>
          <w:rFonts w:ascii="Arial" w:cs="Arial" w:eastAsia="Arial" w:hAnsi="Arial"/>
          <w:b w:val="false"/>
          <w:bCs w:val="false"/>
          <w:color w:val="1A1A1A"/>
          <w:sz w:val="20"/>
          <w:szCs w:val="20"/>
        </w:rPr>
        <w:t xml:space="preserve">Storage: Benefits stored in PostgreSQL against patient + carrier + plan year</w:t>
      </w:r>
    </w:p>
    <w:p>
      <w:pPr>
        <w:pStyle w:val="ListParagraph"/>
        <w:numPr>
          <w:ilvl w:val="0"/>
          <w:numId w:val="2"/>
        </w:numPr>
        <w:spacing w:before="40" w:after="40"/>
      </w:pPr>
      <w:r>
        <w:rPr>
          <w:rFonts w:ascii="Arial" w:cs="Arial" w:eastAsia="Arial" w:hAnsi="Arial"/>
          <w:b w:val="false"/>
          <w:bCs w:val="false"/>
          <w:color w:val="1A1A1A"/>
          <w:sz w:val="20"/>
          <w:szCs w:val="20"/>
        </w:rPr>
        <w:t xml:space="preserve">Output: Pre-treatment estimate shown in dashboard — patient owes X, insurance covers Y</w:t>
      </w:r>
    </w:p>
    <w:p>
      <w:pPr>
        <w:pStyle w:val="ListParagraph"/>
        <w:numPr>
          <w:ilvl w:val="0"/>
          <w:numId w:val="2"/>
        </w:numPr>
        <w:spacing w:before="40" w:after="40"/>
      </w:pPr>
      <w:r>
        <w:rPr>
          <w:rFonts w:ascii="Arial" w:cs="Arial" w:eastAsia="Arial" w:hAnsi="Arial"/>
          <w:b w:val="false"/>
          <w:bCs w:val="false"/>
          <w:color w:val="1A1A1A"/>
          <w:sz w:val="20"/>
          <w:szCs w:val="20"/>
        </w:rPr>
        <w:t xml:space="preserve">Refresh logic: Re-check only when plan year resets or practice flags coverage as changed</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3 — Annual maximum tracker</w:t>
      </w:r>
    </w:p>
    <w:p>
      <w:pPr>
        <w:spacing w:before="80" w:after="80"/>
      </w:pPr>
      <w:r>
        <w:rPr>
          <w:rFonts w:ascii="Arial" w:cs="Arial" w:eastAsia="Arial" w:hAnsi="Arial"/>
          <w:color w:val="1A1A1A"/>
          <w:sz w:val="20"/>
          <w:szCs w:val="20"/>
        </w:rPr>
        <w:t xml:space="preserve">Visual display of each patient's benefit utilization for the current plan year.</w:t>
      </w:r>
    </w:p>
    <w:p>
      <w:pPr>
        <w:pStyle w:val="ListParagraph"/>
        <w:numPr>
          <w:ilvl w:val="0"/>
          <w:numId w:val="2"/>
        </w:numPr>
        <w:spacing w:before="40" w:after="40"/>
      </w:pPr>
      <w:r>
        <w:rPr>
          <w:rFonts w:ascii="Arial" w:cs="Arial" w:eastAsia="Arial" w:hAnsi="Arial"/>
          <w:b w:val="false"/>
          <w:bCs w:val="false"/>
          <w:color w:val="1A1A1A"/>
          <w:sz w:val="20"/>
          <w:szCs w:val="20"/>
        </w:rPr>
        <w:t xml:space="preserve">Shows: Annual maximum, amount used (from submitted + paid claims), amount remaining</w:t>
      </w:r>
    </w:p>
    <w:p>
      <w:pPr>
        <w:pStyle w:val="ListParagraph"/>
        <w:numPr>
          <w:ilvl w:val="0"/>
          <w:numId w:val="2"/>
        </w:numPr>
        <w:spacing w:before="40" w:after="40"/>
      </w:pPr>
      <w:r>
        <w:rPr>
          <w:rFonts w:ascii="Arial" w:cs="Arial" w:eastAsia="Arial" w:hAnsi="Arial"/>
          <w:b w:val="false"/>
          <w:bCs w:val="false"/>
          <w:color w:val="1A1A1A"/>
          <w:sz w:val="20"/>
          <w:szCs w:val="20"/>
        </w:rPr>
        <w:t xml:space="preserve">Warning indicator when remaining maximum is less than a planned procedure's estimated insurance portion</w:t>
      </w:r>
    </w:p>
    <w:p>
      <w:pPr>
        <w:pStyle w:val="ListParagraph"/>
        <w:numPr>
          <w:ilvl w:val="0"/>
          <w:numId w:val="2"/>
        </w:numPr>
        <w:spacing w:before="40" w:after="40"/>
      </w:pPr>
      <w:r>
        <w:rPr>
          <w:rFonts w:ascii="Arial" w:cs="Arial" w:eastAsia="Arial" w:hAnsi="Arial"/>
          <w:b w:val="false"/>
          <w:bCs w:val="false"/>
          <w:color w:val="1A1A1A"/>
          <w:sz w:val="20"/>
          <w:szCs w:val="20"/>
        </w:rPr>
        <w:t xml:space="preserve">Resets at plan year anniversary date (stored per patient, not always January 1)</w:t>
      </w:r>
    </w:p>
    <w:p>
      <w:pPr>
        <w:pStyle w:val="ListParagraph"/>
        <w:numPr>
          <w:ilvl w:val="0"/>
          <w:numId w:val="2"/>
        </w:numPr>
        <w:spacing w:before="40" w:after="40"/>
      </w:pPr>
      <w:r>
        <w:rPr>
          <w:rFonts w:ascii="Arial" w:cs="Arial" w:eastAsia="Arial" w:hAnsi="Arial"/>
          <w:b w:val="false"/>
          <w:bCs w:val="false"/>
          <w:color w:val="1A1A1A"/>
          <w:sz w:val="20"/>
          <w:szCs w:val="20"/>
        </w:rPr>
        <w:t xml:space="preserve">Data source: Populated from eligibility calls; updated as claims are adjudicated</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4 — Coverage breakdown by procedure type</w:t>
      </w:r>
    </w:p>
    <w:p>
      <w:pPr>
        <w:spacing w:before="80" w:after="80"/>
      </w:pPr>
      <w:r>
        <w:rPr>
          <w:rFonts w:ascii="Arial" w:cs="Arial" w:eastAsia="Arial" w:hAnsi="Arial"/>
          <w:color w:val="1A1A1A"/>
          <w:sz w:val="20"/>
          <w:szCs w:val="20"/>
        </w:rPr>
        <w:t xml:space="preserve">Per-patient, per-carrier view of what percentage is covered for each CDT category.</w:t>
      </w:r>
    </w:p>
    <w:p>
      <w:pPr>
        <w:pStyle w:val="ListParagraph"/>
        <w:numPr>
          <w:ilvl w:val="0"/>
          <w:numId w:val="2"/>
        </w:numPr>
        <w:spacing w:before="40" w:after="40"/>
      </w:pPr>
      <w:r>
        <w:rPr>
          <w:rFonts w:ascii="Arial" w:cs="Arial" w:eastAsia="Arial" w:hAnsi="Arial"/>
          <w:b w:val="false"/>
          <w:bCs w:val="false"/>
          <w:color w:val="1A1A1A"/>
          <w:sz w:val="20"/>
          <w:szCs w:val="20"/>
        </w:rPr>
        <w:t xml:space="preserve">Displays coverage % for each category: Diagnostic, Preventive, Basic, Major, Endo, Perio, Ortho</w:t>
      </w:r>
    </w:p>
    <w:p>
      <w:pPr>
        <w:pStyle w:val="ListParagraph"/>
        <w:numPr>
          <w:ilvl w:val="0"/>
          <w:numId w:val="2"/>
        </w:numPr>
        <w:spacing w:before="40" w:after="40"/>
      </w:pPr>
      <w:r>
        <w:rPr>
          <w:rFonts w:ascii="Arial" w:cs="Arial" w:eastAsia="Arial" w:hAnsi="Arial"/>
          <w:b w:val="false"/>
          <w:bCs w:val="false"/>
          <w:color w:val="1A1A1A"/>
          <w:sz w:val="20"/>
          <w:szCs w:val="20"/>
        </w:rPr>
        <w:t xml:space="preserve">Flags waiting periods (e.g. major restorative not covered until 12 months on plan)</w:t>
      </w:r>
    </w:p>
    <w:p>
      <w:pPr>
        <w:pStyle w:val="ListParagraph"/>
        <w:numPr>
          <w:ilvl w:val="0"/>
          <w:numId w:val="2"/>
        </w:numPr>
        <w:spacing w:before="40" w:after="40"/>
      </w:pPr>
      <w:r>
        <w:rPr>
          <w:rFonts w:ascii="Arial" w:cs="Arial" w:eastAsia="Arial" w:hAnsi="Arial"/>
          <w:b w:val="false"/>
          <w:bCs w:val="false"/>
          <w:color w:val="1A1A1A"/>
          <w:sz w:val="20"/>
          <w:szCs w:val="20"/>
        </w:rPr>
        <w:t xml:space="preserve">Flags frequency limitations (e.g. full exam covered once per 12 months)</w:t>
      </w:r>
    </w:p>
    <w:p>
      <w:pPr>
        <w:pStyle w:val="ListParagraph"/>
        <w:numPr>
          <w:ilvl w:val="0"/>
          <w:numId w:val="2"/>
        </w:numPr>
        <w:spacing w:before="40" w:after="40"/>
      </w:pPr>
      <w:r>
        <w:rPr>
          <w:rFonts w:ascii="Arial" w:cs="Arial" w:eastAsia="Arial" w:hAnsi="Arial"/>
          <w:b w:val="false"/>
          <w:bCs w:val="false"/>
          <w:color w:val="1A1A1A"/>
          <w:sz w:val="20"/>
          <w:szCs w:val="20"/>
        </w:rPr>
        <w:t xml:space="preserve">Source: Populated from eligibility call responses, manually editable by practice staff</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5 — Post-insurance patient balance reconciliation</w:t>
      </w:r>
    </w:p>
    <w:p>
      <w:pPr>
        <w:spacing w:before="80" w:after="80"/>
      </w:pPr>
      <w:r>
        <w:rPr>
          <w:rFonts w:ascii="Arial" w:cs="Arial" w:eastAsia="Arial" w:hAnsi="Arial"/>
          <w:color w:val="1A1A1A"/>
          <w:sz w:val="20"/>
          <w:szCs w:val="20"/>
        </w:rPr>
        <w:t xml:space="preserve">After insurance adjudicates, calculates what the patient owes and tracks payment status.</w:t>
      </w:r>
    </w:p>
    <w:p>
      <w:pPr>
        <w:pStyle w:val="ListParagraph"/>
        <w:numPr>
          <w:ilvl w:val="0"/>
          <w:numId w:val="2"/>
        </w:numPr>
        <w:spacing w:before="40" w:after="40"/>
      </w:pPr>
      <w:r>
        <w:rPr>
          <w:rFonts w:ascii="Arial" w:cs="Arial" w:eastAsia="Arial" w:hAnsi="Arial"/>
          <w:b w:val="false"/>
          <w:bCs w:val="false"/>
          <w:color w:val="1A1A1A"/>
          <w:sz w:val="20"/>
          <w:szCs w:val="20"/>
        </w:rPr>
        <w:t xml:space="preserve">Data source: Abeldent EOB data — amount billed, insurance paid, adjustments/writeoffs</w:t>
      </w:r>
    </w:p>
    <w:p>
      <w:pPr>
        <w:pStyle w:val="ListParagraph"/>
        <w:numPr>
          <w:ilvl w:val="0"/>
          <w:numId w:val="2"/>
        </w:numPr>
        <w:spacing w:before="40" w:after="40"/>
      </w:pPr>
      <w:r>
        <w:rPr>
          <w:rFonts w:ascii="Arial" w:cs="Arial" w:eastAsia="Arial" w:hAnsi="Arial"/>
          <w:b w:val="false"/>
          <w:bCs w:val="false"/>
          <w:color w:val="1A1A1A"/>
          <w:sz w:val="20"/>
          <w:szCs w:val="20"/>
        </w:rPr>
        <w:t xml:space="preserve">Calculation: Patient balance = billed − insurance paid − writeoffs</w:t>
      </w:r>
    </w:p>
    <w:p>
      <w:pPr>
        <w:pStyle w:val="ListParagraph"/>
        <w:numPr>
          <w:ilvl w:val="0"/>
          <w:numId w:val="2"/>
        </w:numPr>
        <w:spacing w:before="40" w:after="40"/>
      </w:pPr>
      <w:r>
        <w:rPr>
          <w:rFonts w:ascii="Arial" w:cs="Arial" w:eastAsia="Arial" w:hAnsi="Arial"/>
          <w:b w:val="false"/>
          <w:bCs w:val="false"/>
          <w:color w:val="1A1A1A"/>
          <w:sz w:val="20"/>
          <w:szCs w:val="20"/>
        </w:rPr>
        <w:t xml:space="preserve">Display: Patient name, procedure, date, billed amount, insurance paid, patient owes, days outstanding</w:t>
      </w:r>
    </w:p>
    <w:p>
      <w:pPr>
        <w:pStyle w:val="ListParagraph"/>
        <w:numPr>
          <w:ilvl w:val="0"/>
          <w:numId w:val="2"/>
        </w:numPr>
        <w:spacing w:before="40" w:after="40"/>
      </w:pPr>
      <w:r>
        <w:rPr>
          <w:rFonts w:ascii="Arial" w:cs="Arial" w:eastAsia="Arial" w:hAnsi="Arial"/>
          <w:b w:val="false"/>
          <w:bCs w:val="false"/>
          <w:color w:val="1A1A1A"/>
          <w:sz w:val="20"/>
          <w:szCs w:val="20"/>
        </w:rPr>
        <w:t xml:space="preserve">Status tracking: Balance outstanding / reminder sent / paid / written off</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6 — Patient payment reminders (SMS + email)</w:t>
      </w:r>
    </w:p>
    <w:p>
      <w:pPr>
        <w:spacing w:before="80" w:after="80"/>
      </w:pPr>
      <w:r>
        <w:rPr>
          <w:rFonts w:ascii="Arial" w:cs="Arial" w:eastAsia="Arial" w:hAnsi="Arial"/>
          <w:color w:val="1A1A1A"/>
          <w:sz w:val="20"/>
          <w:szCs w:val="20"/>
        </w:rPr>
        <w:t xml:space="preserve">Automated outreach to patients with outstanding balances after insurance has paid.</w:t>
      </w:r>
    </w:p>
    <w:p>
      <w:pPr>
        <w:pStyle w:val="ListParagraph"/>
        <w:numPr>
          <w:ilvl w:val="0"/>
          <w:numId w:val="2"/>
        </w:numPr>
        <w:spacing w:before="40" w:after="40"/>
      </w:pPr>
      <w:r>
        <w:rPr>
          <w:rFonts w:ascii="Arial" w:cs="Arial" w:eastAsia="Arial" w:hAnsi="Arial"/>
          <w:b w:val="false"/>
          <w:bCs w:val="false"/>
          <w:color w:val="1A1A1A"/>
          <w:sz w:val="20"/>
          <w:szCs w:val="20"/>
        </w:rPr>
        <w:t xml:space="preserve">Trigger: Patient balance &gt; $0 and no payment received after configurable days (default 7 days post-adjudication)</w:t>
      </w:r>
    </w:p>
    <w:p>
      <w:pPr>
        <w:pStyle w:val="ListParagraph"/>
        <w:numPr>
          <w:ilvl w:val="0"/>
          <w:numId w:val="2"/>
        </w:numPr>
        <w:spacing w:before="40" w:after="40"/>
      </w:pPr>
      <w:r>
        <w:rPr>
          <w:rFonts w:ascii="Arial" w:cs="Arial" w:eastAsia="Arial" w:hAnsi="Arial"/>
          <w:b w:val="false"/>
          <w:bCs w:val="false"/>
          <w:color w:val="1A1A1A"/>
          <w:sz w:val="20"/>
          <w:szCs w:val="20"/>
        </w:rPr>
        <w:t xml:space="preserve">Channels: SMS via Twilio, email via SendGrid</w:t>
      </w:r>
    </w:p>
    <w:p>
      <w:pPr>
        <w:pStyle w:val="ListParagraph"/>
        <w:numPr>
          <w:ilvl w:val="0"/>
          <w:numId w:val="2"/>
        </w:numPr>
        <w:spacing w:before="40" w:after="40"/>
      </w:pPr>
      <w:r>
        <w:rPr>
          <w:rFonts w:ascii="Arial" w:cs="Arial" w:eastAsia="Arial" w:hAnsi="Arial"/>
          <w:b w:val="false"/>
          <w:bCs w:val="false"/>
          <w:color w:val="1A1A1A"/>
          <w:sz w:val="20"/>
          <w:szCs w:val="20"/>
        </w:rPr>
        <w:t xml:space="preserve">Reminder cadence: Day 7, Day 21, Day 45 (configurable per practice)</w:t>
      </w:r>
    </w:p>
    <w:p>
      <w:pPr>
        <w:pStyle w:val="ListParagraph"/>
        <w:numPr>
          <w:ilvl w:val="0"/>
          <w:numId w:val="2"/>
        </w:numPr>
        <w:spacing w:before="40" w:after="40"/>
      </w:pPr>
      <w:r>
        <w:rPr>
          <w:rFonts w:ascii="Arial" w:cs="Arial" w:eastAsia="Arial" w:hAnsi="Arial"/>
          <w:b w:val="false"/>
          <w:bCs w:val="false"/>
          <w:color w:val="1A1A1A"/>
          <w:sz w:val="20"/>
          <w:szCs w:val="20"/>
        </w:rPr>
        <w:t xml:space="preserve">Content: Personalized message with amount owed, procedure date, and Stripe payment link</w:t>
      </w:r>
    </w:p>
    <w:p>
      <w:pPr>
        <w:pStyle w:val="ListParagraph"/>
        <w:numPr>
          <w:ilvl w:val="0"/>
          <w:numId w:val="2"/>
        </w:numPr>
        <w:spacing w:before="40" w:after="40"/>
      </w:pPr>
      <w:r>
        <w:rPr>
          <w:rFonts w:ascii="Arial" w:cs="Arial" w:eastAsia="Arial" w:hAnsi="Arial"/>
          <w:b w:val="false"/>
          <w:bCs w:val="false"/>
          <w:color w:val="1A1A1A"/>
          <w:sz w:val="20"/>
          <w:szCs w:val="20"/>
        </w:rPr>
        <w:t xml:space="preserve">Throttle: Max 1 reminder per channel per 7-day window per patient</w:t>
      </w:r>
    </w:p>
    <w:p>
      <w:pPr>
        <w:pStyle w:val="ListParagraph"/>
        <w:numPr>
          <w:ilvl w:val="0"/>
          <w:numId w:val="2"/>
        </w:numPr>
        <w:spacing w:before="40" w:after="40"/>
      </w:pPr>
      <w:r>
        <w:rPr>
          <w:rFonts w:ascii="Arial" w:cs="Arial" w:eastAsia="Arial" w:hAnsi="Arial"/>
          <w:b w:val="false"/>
          <w:bCs w:val="false"/>
          <w:color w:val="1A1A1A"/>
          <w:sz w:val="20"/>
          <w:szCs w:val="20"/>
        </w:rPr>
        <w:t xml:space="preserve">Manual override: Practice can send reminder immediately from dashboard</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Feature 7 — Stripe payment collection</w:t>
      </w:r>
    </w:p>
    <w:p>
      <w:pPr>
        <w:spacing w:before="80" w:after="80"/>
      </w:pPr>
      <w:r>
        <w:rPr>
          <w:rFonts w:ascii="Arial" w:cs="Arial" w:eastAsia="Arial" w:hAnsi="Arial"/>
          <w:color w:val="1A1A1A"/>
          <w:sz w:val="20"/>
          <w:szCs w:val="20"/>
        </w:rPr>
        <w:t xml:space="preserve">Patients pay their balance via a secure, mobile-friendly Stripe-hosted payment page.</w:t>
      </w:r>
    </w:p>
    <w:p>
      <w:pPr>
        <w:pStyle w:val="ListParagraph"/>
        <w:numPr>
          <w:ilvl w:val="0"/>
          <w:numId w:val="2"/>
        </w:numPr>
        <w:spacing w:before="40" w:after="40"/>
      </w:pPr>
      <w:r>
        <w:rPr>
          <w:rFonts w:ascii="Arial" w:cs="Arial" w:eastAsia="Arial" w:hAnsi="Arial"/>
          <w:b w:val="false"/>
          <w:bCs w:val="false"/>
          <w:color w:val="1A1A1A"/>
          <w:sz w:val="20"/>
          <w:szCs w:val="20"/>
        </w:rPr>
        <w:t xml:space="preserve">Stripe Connect: Practice onboards their bank account; funds go directly to the practice</w:t>
      </w:r>
    </w:p>
    <w:p>
      <w:pPr>
        <w:pStyle w:val="ListParagraph"/>
        <w:numPr>
          <w:ilvl w:val="0"/>
          <w:numId w:val="2"/>
        </w:numPr>
        <w:spacing w:before="40" w:after="40"/>
      </w:pPr>
      <w:r>
        <w:rPr>
          <w:rFonts w:ascii="Arial" w:cs="Arial" w:eastAsia="Arial" w:hAnsi="Arial"/>
          <w:b w:val="false"/>
          <w:bCs w:val="false"/>
          <w:color w:val="1A1A1A"/>
          <w:sz w:val="20"/>
          <w:szCs w:val="20"/>
        </w:rPr>
        <w:t xml:space="preserve">Payment link: Unique per patient balance, pre-filled with amount owed</w:t>
      </w:r>
    </w:p>
    <w:p>
      <w:pPr>
        <w:pStyle w:val="ListParagraph"/>
        <w:numPr>
          <w:ilvl w:val="0"/>
          <w:numId w:val="2"/>
        </w:numPr>
        <w:spacing w:before="40" w:after="40"/>
      </w:pPr>
      <w:r>
        <w:rPr>
          <w:rFonts w:ascii="Arial" w:cs="Arial" w:eastAsia="Arial" w:hAnsi="Arial"/>
          <w:b w:val="false"/>
          <w:bCs w:val="false"/>
          <w:color w:val="1A1A1A"/>
          <w:sz w:val="20"/>
          <w:szCs w:val="20"/>
        </w:rPr>
        <w:t xml:space="preserve">On payment: Webhook updates PostgreSQL balance to 'paid'; dashboard reflects immediately</w:t>
      </w:r>
    </w:p>
    <w:p>
      <w:pPr>
        <w:pStyle w:val="ListParagraph"/>
        <w:numPr>
          <w:ilvl w:val="0"/>
          <w:numId w:val="2"/>
        </w:numPr>
        <w:spacing w:before="40" w:after="40"/>
      </w:pPr>
      <w:r>
        <w:rPr>
          <w:rFonts w:ascii="Arial" w:cs="Arial" w:eastAsia="Arial" w:hAnsi="Arial"/>
          <w:b w:val="false"/>
          <w:bCs w:val="false"/>
          <w:color w:val="1A1A1A"/>
          <w:sz w:val="20"/>
          <w:szCs w:val="20"/>
        </w:rPr>
        <w:t xml:space="preserve">Partial payments: Supported — remaining balance updated and reminder cadence continues</w:t>
      </w:r>
    </w:p>
    <w:p>
      <w:pPr>
        <w:pStyle w:val="ListParagraph"/>
        <w:numPr>
          <w:ilvl w:val="0"/>
          <w:numId w:val="2"/>
        </w:numPr>
        <w:spacing w:before="40" w:after="40"/>
      </w:pPr>
      <w:r>
        <w:rPr>
          <w:rFonts w:ascii="Arial" w:cs="Arial" w:eastAsia="Arial" w:hAnsi="Arial"/>
          <w:b w:val="false"/>
          <w:bCs w:val="false"/>
          <w:color w:val="1A1A1A"/>
          <w:sz w:val="20"/>
          <w:szCs w:val="20"/>
        </w:rPr>
        <w:t xml:space="preserve">Receipt: Stripe sends automatic receipt to patient email</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Build status</w:t>
      </w:r>
    </w:p>
    <w:p>
      <w:pPr>
        <w:spacing w:before="80" w:after="80"/>
      </w:pPr>
      <w:r>
        <w:rPr>
          <w:rFonts w:ascii="Arial" w:cs="Arial" w:eastAsia="Arial" w:hAnsi="Arial"/>
          <w:color w:val="1A1A1A"/>
          <w:sz w:val="20"/>
          <w:szCs w:val="20"/>
        </w:rPr>
        <w:t xml:space="preserve">What exists today versus what needs to be built in this Cowork session.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Component</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Status</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Abeldent SQL Server connector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Windows service, mssql, Windows Integrated Auth, dry-run mode</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PHI vault / PHIPA compliance layer</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UUID tokenization, backend-only PHI, audit logging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Per-carrier JSON knowledge base (6 carriers)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IVR trees, auth fields, denial codes for all 6 carriers</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4-agent Vapi squad</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IVR_Navigator, Claims_Agent, Resolution_Closer, Escalation_Closer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Node.js / Express backend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Railway-hosted, PostgreSQL, webhook handling</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React dashboard (insurance AR view)</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0F6E56"/>
                <w:sz w:val="18"/>
                <w:szCs w:val="18"/>
              </w:rPr>
              <w:t xml:space="preserve">Complete</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Stats rendering bug fixed in Dashboard.jsx</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Abeldent patient balance query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Second SQL query in existing connector for post-insurance balances</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Electron app shell</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main.js, preload.js, BrowserWindow, tray icon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Carrier priority panel</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React component, posts daily filter to backend API</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Pre-treatment eligibility agent</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New Vapi agent config, eligibility call flow per carrier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Benefit storage (PostgreSQL)</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New tables: patient_benefits, benefit_history, plan_years</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Annual maximum tracker (UI)</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React component, reads from benefit tables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Coverage breakdown view (UI)</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React component, CDT category grid per patient</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Pre-treatment estimate calculator</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Backend logic: fee × coverage % − deductible remaining</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Patient AR queue (backend)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Queue management, balance ingestion, status tracking</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Reminder engine</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Scheduler, cadence logic, throttle, SendGrid + Twilio dispatch</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Patient AR dashboard view (React)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Balance list, reminder status, payment status</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Stripe Connect integration</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Practice onboarding, payment links, webhook handler</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Electron installer build config</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534AB7"/>
                <w:sz w:val="18"/>
                <w:szCs w:val="18"/>
              </w:rPr>
              <w:t xml:space="preserve">New — build</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electron-builder, Windows .exe, code signing config</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Schema discovery (discover-schema.js)</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993C1D"/>
                <w:sz w:val="18"/>
                <w:szCs w:val="18"/>
              </w:rPr>
              <w:t xml:space="preserve">Blocked</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Must run on Dr. Hasan's machine before go-live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Credential rotation (Vapi + Railway)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Pending</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Rotate keys exposed in uploaded .env file</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Webhook secret (VAPI_WEBHOOK_SECRET)</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Pending</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Generate via openssl rand -hex 32, set in Vapi dashboard</w:t>
            </w:r>
          </w:p>
        </w:tc>
      </w:tr>
    </w:tbl>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Recommended build order</w:t>
      </w:r>
    </w:p>
    <w:p>
      <w:pPr>
        <w:spacing w:before="80" w:after="80"/>
      </w:pPr>
      <w:r>
        <w:rPr>
          <w:rFonts w:ascii="Arial" w:cs="Arial" w:eastAsia="Arial" w:hAnsi="Arial"/>
          <w:color w:val="1A1A1A"/>
          <w:sz w:val="20"/>
          <w:szCs w:val="20"/>
        </w:rPr>
        <w:t xml:space="preserve">Sequence optimized to have something runnable at each phase and to defer Abeldent-dependent features until schema discovery is complete.</w:t>
      </w:r>
    </w:p>
    <w:p>
      <w:pPr>
        <w:spacing w:before="120" w:after="0"/>
      </w:pPr>
      <w:r>
        <w:t xml:space="preserve"/>
      </w:r>
    </w:p>
    <w:p>
      <w:pPr>
        <w:pStyle w:val="Heading3"/>
        <w:spacing w:before="240" w:after="80"/>
      </w:pPr>
      <w:r>
        <w:rPr>
          <w:rFonts w:ascii="Arial" w:cs="Arial" w:eastAsia="Arial" w:hAnsi="Arial"/>
          <w:b/>
          <w:bCs/>
          <w:color w:val="1A1A1A"/>
          <w:sz w:val="20"/>
          <w:szCs w:val="20"/>
        </w:rPr>
        <w:t xml:space="preserve">Phase 1 — Electron shell (day 1)</w:t>
      </w:r>
    </w:p>
    <w:p>
      <w:pPr>
        <w:pStyle w:val="ListParagraph"/>
        <w:numPr>
          <w:ilvl w:val="0"/>
          <w:numId w:val="2"/>
        </w:numPr>
        <w:spacing w:before="40" w:after="40"/>
      </w:pPr>
      <w:r>
        <w:rPr>
          <w:rFonts w:ascii="Arial" w:cs="Arial" w:eastAsia="Arial" w:hAnsi="Arial"/>
          <w:b w:val="false"/>
          <w:bCs w:val="false"/>
          <w:color w:val="1A1A1A"/>
          <w:sz w:val="20"/>
          <w:szCs w:val="20"/>
        </w:rPr>
        <w:t xml:space="preserve">electron/main.js — app entry, BrowserWindow, tray icon, spawn sync service</w:t>
      </w:r>
    </w:p>
    <w:p>
      <w:pPr>
        <w:pStyle w:val="ListParagraph"/>
        <w:numPr>
          <w:ilvl w:val="0"/>
          <w:numId w:val="2"/>
        </w:numPr>
        <w:spacing w:before="40" w:after="40"/>
      </w:pPr>
      <w:r>
        <w:rPr>
          <w:rFonts w:ascii="Arial" w:cs="Arial" w:eastAsia="Arial" w:hAnsi="Arial"/>
          <w:b w:val="false"/>
          <w:bCs w:val="false"/>
          <w:color w:val="1A1A1A"/>
          <w:sz w:val="20"/>
          <w:szCs w:val="20"/>
        </w:rPr>
        <w:t xml:space="preserve">electron/preload.js — contextBridge API</w:t>
      </w:r>
    </w:p>
    <w:p>
      <w:pPr>
        <w:pStyle w:val="ListParagraph"/>
        <w:numPr>
          <w:ilvl w:val="0"/>
          <w:numId w:val="2"/>
        </w:numPr>
        <w:spacing w:before="40" w:after="40"/>
      </w:pPr>
      <w:r>
        <w:rPr>
          <w:rFonts w:ascii="Arial" w:cs="Arial" w:eastAsia="Arial" w:hAnsi="Arial"/>
          <w:b w:val="false"/>
          <w:bCs w:val="false"/>
          <w:color w:val="1A1A1A"/>
          <w:sz w:val="20"/>
          <w:szCs w:val="20"/>
        </w:rPr>
        <w:t xml:space="preserve">electron-builder config — package.json additions, Windows target</w:t>
      </w:r>
    </w:p>
    <w:p>
      <w:pPr>
        <w:pStyle w:val="ListParagraph"/>
        <w:numPr>
          <w:ilvl w:val="0"/>
          <w:numId w:val="2"/>
        </w:numPr>
        <w:spacing w:before="40" w:after="40"/>
      </w:pPr>
      <w:r>
        <w:rPr>
          <w:rFonts w:ascii="Arial" w:cs="Arial" w:eastAsia="Arial" w:hAnsi="Arial"/>
          <w:b w:val="false"/>
          <w:bCs w:val="false"/>
          <w:color w:val="1A1A1A"/>
          <w:sz w:val="20"/>
          <w:szCs w:val="20"/>
        </w:rPr>
        <w:t xml:space="preserve">Carrier priority panel — React component + backend API endpoint</w:t>
      </w:r>
    </w:p>
    <w:p>
      <w:pPr>
        <w:pStyle w:val="ListParagraph"/>
        <w:numPr>
          <w:ilvl w:val="0"/>
          <w:numId w:val="2"/>
        </w:numPr>
        <w:spacing w:before="40" w:after="40"/>
      </w:pPr>
      <w:r>
        <w:rPr>
          <w:rFonts w:ascii="Arial" w:cs="Arial" w:eastAsia="Arial" w:hAnsi="Arial"/>
          <w:b w:val="false"/>
          <w:bCs w:val="false"/>
          <w:color w:val="1A1A1A"/>
          <w:sz w:val="20"/>
          <w:szCs w:val="20"/>
        </w:rPr>
        <w:t xml:space="preserve">Outcome: Installable .exe that opens the existing dashboard in a native window</w:t>
      </w:r>
    </w:p>
    <w:p>
      <w:pPr>
        <w:spacing w:before="120" w:after="0"/>
      </w:pPr>
      <w:r>
        <w:t xml:space="preserve"/>
      </w:r>
    </w:p>
    <w:p>
      <w:pPr>
        <w:pStyle w:val="Heading3"/>
        <w:spacing w:before="240" w:after="80"/>
      </w:pPr>
      <w:r>
        <w:rPr>
          <w:rFonts w:ascii="Arial" w:cs="Arial" w:eastAsia="Arial" w:hAnsi="Arial"/>
          <w:b/>
          <w:bCs/>
          <w:color w:val="1A1A1A"/>
          <w:sz w:val="20"/>
          <w:szCs w:val="20"/>
        </w:rPr>
        <w:t xml:space="preserve">Phase 2 — Patient AR backend (day 1–2)</w:t>
      </w:r>
    </w:p>
    <w:p>
      <w:pPr>
        <w:pStyle w:val="ListParagraph"/>
        <w:numPr>
          <w:ilvl w:val="0"/>
          <w:numId w:val="2"/>
        </w:numPr>
        <w:spacing w:before="40" w:after="40"/>
      </w:pPr>
      <w:r>
        <w:rPr>
          <w:rFonts w:ascii="Arial" w:cs="Arial" w:eastAsia="Arial" w:hAnsi="Arial"/>
          <w:b w:val="false"/>
          <w:bCs w:val="false"/>
          <w:color w:val="1A1A1A"/>
          <w:sz w:val="20"/>
          <w:szCs w:val="20"/>
        </w:rPr>
        <w:t xml:space="preserve">Abeldent patient balance query — add to existing connector</w:t>
      </w:r>
    </w:p>
    <w:p>
      <w:pPr>
        <w:pStyle w:val="ListParagraph"/>
        <w:numPr>
          <w:ilvl w:val="0"/>
          <w:numId w:val="2"/>
        </w:numPr>
        <w:spacing w:before="40" w:after="40"/>
      </w:pPr>
      <w:r>
        <w:rPr>
          <w:rFonts w:ascii="Arial" w:cs="Arial" w:eastAsia="Arial" w:hAnsi="Arial"/>
          <w:b w:val="false"/>
          <w:bCs w:val="false"/>
          <w:color w:val="1A1A1A"/>
          <w:sz w:val="20"/>
          <w:szCs w:val="20"/>
        </w:rPr>
        <w:t xml:space="preserve">Patient AR queue — new backend routes, PostgreSQL tables</w:t>
      </w:r>
    </w:p>
    <w:p>
      <w:pPr>
        <w:pStyle w:val="ListParagraph"/>
        <w:numPr>
          <w:ilvl w:val="0"/>
          <w:numId w:val="2"/>
        </w:numPr>
        <w:spacing w:before="40" w:after="40"/>
      </w:pPr>
      <w:r>
        <w:rPr>
          <w:rFonts w:ascii="Arial" w:cs="Arial" w:eastAsia="Arial" w:hAnsi="Arial"/>
          <w:b w:val="false"/>
          <w:bCs w:val="false"/>
          <w:color w:val="1A1A1A"/>
          <w:sz w:val="20"/>
          <w:szCs w:val="20"/>
        </w:rPr>
        <w:t xml:space="preserve">Reminder engine — scheduler, SendGrid, Twilio SMS</w:t>
      </w:r>
    </w:p>
    <w:p>
      <w:pPr>
        <w:pStyle w:val="ListParagraph"/>
        <w:numPr>
          <w:ilvl w:val="0"/>
          <w:numId w:val="2"/>
        </w:numPr>
        <w:spacing w:before="40" w:after="40"/>
      </w:pPr>
      <w:r>
        <w:rPr>
          <w:rFonts w:ascii="Arial" w:cs="Arial" w:eastAsia="Arial" w:hAnsi="Arial"/>
          <w:b w:val="false"/>
          <w:bCs w:val="false"/>
          <w:color w:val="1A1A1A"/>
          <w:sz w:val="20"/>
          <w:szCs w:val="20"/>
        </w:rPr>
        <w:t xml:space="preserve">Stripe Connect — practice onboarding, payment link generation, webhook</w:t>
      </w:r>
    </w:p>
    <w:p>
      <w:pPr>
        <w:pStyle w:val="ListParagraph"/>
        <w:numPr>
          <w:ilvl w:val="0"/>
          <w:numId w:val="2"/>
        </w:numPr>
        <w:spacing w:before="40" w:after="40"/>
      </w:pPr>
      <w:r>
        <w:rPr>
          <w:rFonts w:ascii="Arial" w:cs="Arial" w:eastAsia="Arial" w:hAnsi="Arial"/>
          <w:b w:val="false"/>
          <w:bCs w:val="false"/>
          <w:color w:val="1A1A1A"/>
          <w:sz w:val="20"/>
          <w:szCs w:val="20"/>
        </w:rPr>
        <w:t xml:space="preserve">Patient AR dashboard view — React tab</w:t>
      </w:r>
    </w:p>
    <w:p>
      <w:pPr>
        <w:pStyle w:val="ListParagraph"/>
        <w:numPr>
          <w:ilvl w:val="0"/>
          <w:numId w:val="2"/>
        </w:numPr>
        <w:spacing w:before="40" w:after="40"/>
      </w:pPr>
      <w:r>
        <w:rPr>
          <w:rFonts w:ascii="Arial" w:cs="Arial" w:eastAsia="Arial" w:hAnsi="Arial"/>
          <w:b w:val="false"/>
          <w:bCs w:val="false"/>
          <w:color w:val="1A1A1A"/>
          <w:sz w:val="20"/>
          <w:szCs w:val="20"/>
        </w:rPr>
        <w:t xml:space="preserve">Outcome: Full patient AR flow from balance detection to payment collection</w:t>
      </w:r>
    </w:p>
    <w:p>
      <w:pPr>
        <w:spacing w:before="120" w:after="0"/>
      </w:pPr>
      <w:r>
        <w:t xml:space="preserve"/>
      </w:r>
    </w:p>
    <w:p>
      <w:pPr>
        <w:pStyle w:val="Heading3"/>
        <w:spacing w:before="240" w:after="80"/>
      </w:pPr>
      <w:r>
        <w:rPr>
          <w:rFonts w:ascii="Arial" w:cs="Arial" w:eastAsia="Arial" w:hAnsi="Arial"/>
          <w:b/>
          <w:bCs/>
          <w:color w:val="1A1A1A"/>
          <w:sz w:val="20"/>
          <w:szCs w:val="20"/>
        </w:rPr>
        <w:t xml:space="preserve">Phase 3 — Benefits and estimates (day 2–3)</w:t>
      </w:r>
    </w:p>
    <w:p>
      <w:pPr>
        <w:pStyle w:val="ListParagraph"/>
        <w:numPr>
          <w:ilvl w:val="0"/>
          <w:numId w:val="2"/>
        </w:numPr>
        <w:spacing w:before="40" w:after="40"/>
      </w:pPr>
      <w:r>
        <w:rPr>
          <w:rFonts w:ascii="Arial" w:cs="Arial" w:eastAsia="Arial" w:hAnsi="Arial"/>
          <w:b w:val="false"/>
          <w:bCs w:val="false"/>
          <w:color w:val="1A1A1A"/>
          <w:sz w:val="20"/>
          <w:szCs w:val="20"/>
        </w:rPr>
        <w:t xml:space="preserve">Eligibility agent — new Vapi agent config per carrier, eligibility call flow</w:t>
      </w:r>
    </w:p>
    <w:p>
      <w:pPr>
        <w:pStyle w:val="ListParagraph"/>
        <w:numPr>
          <w:ilvl w:val="0"/>
          <w:numId w:val="2"/>
        </w:numPr>
        <w:spacing w:before="40" w:after="40"/>
      </w:pPr>
      <w:r>
        <w:rPr>
          <w:rFonts w:ascii="Arial" w:cs="Arial" w:eastAsia="Arial" w:hAnsi="Arial"/>
          <w:b w:val="false"/>
          <w:bCs w:val="false"/>
          <w:color w:val="1A1A1A"/>
          <w:sz w:val="20"/>
          <w:szCs w:val="20"/>
        </w:rPr>
        <w:t xml:space="preserve">Benefit storage — PostgreSQL schema for patient_benefits, plan_years</w:t>
      </w:r>
    </w:p>
    <w:p>
      <w:pPr>
        <w:pStyle w:val="ListParagraph"/>
        <w:numPr>
          <w:ilvl w:val="0"/>
          <w:numId w:val="2"/>
        </w:numPr>
        <w:spacing w:before="40" w:after="40"/>
      </w:pPr>
      <w:r>
        <w:rPr>
          <w:rFonts w:ascii="Arial" w:cs="Arial" w:eastAsia="Arial" w:hAnsi="Arial"/>
          <w:b w:val="false"/>
          <w:bCs w:val="false"/>
          <w:color w:val="1A1A1A"/>
          <w:sz w:val="20"/>
          <w:szCs w:val="20"/>
        </w:rPr>
        <w:t xml:space="preserve">Pre-treatment estimate calculator — backend logic</w:t>
      </w:r>
    </w:p>
    <w:p>
      <w:pPr>
        <w:pStyle w:val="ListParagraph"/>
        <w:numPr>
          <w:ilvl w:val="0"/>
          <w:numId w:val="2"/>
        </w:numPr>
        <w:spacing w:before="40" w:after="40"/>
      </w:pPr>
      <w:r>
        <w:rPr>
          <w:rFonts w:ascii="Arial" w:cs="Arial" w:eastAsia="Arial" w:hAnsi="Arial"/>
          <w:b w:val="false"/>
          <w:bCs w:val="false"/>
          <w:color w:val="1A1A1A"/>
          <w:sz w:val="20"/>
          <w:szCs w:val="20"/>
        </w:rPr>
        <w:t xml:space="preserve">Annual maximum tracker — React component</w:t>
      </w:r>
    </w:p>
    <w:p>
      <w:pPr>
        <w:pStyle w:val="ListParagraph"/>
        <w:numPr>
          <w:ilvl w:val="0"/>
          <w:numId w:val="2"/>
        </w:numPr>
        <w:spacing w:before="40" w:after="40"/>
      </w:pPr>
      <w:r>
        <w:rPr>
          <w:rFonts w:ascii="Arial" w:cs="Arial" w:eastAsia="Arial" w:hAnsi="Arial"/>
          <w:b w:val="false"/>
          <w:bCs w:val="false"/>
          <w:color w:val="1A1A1A"/>
          <w:sz w:val="20"/>
          <w:szCs w:val="20"/>
        </w:rPr>
        <w:t xml:space="preserve">Coverage breakdown view — React CDT category grid</w:t>
      </w:r>
    </w:p>
    <w:p>
      <w:pPr>
        <w:pStyle w:val="ListParagraph"/>
        <w:numPr>
          <w:ilvl w:val="0"/>
          <w:numId w:val="2"/>
        </w:numPr>
        <w:spacing w:before="40" w:after="40"/>
      </w:pPr>
      <w:r>
        <w:rPr>
          <w:rFonts w:ascii="Arial" w:cs="Arial" w:eastAsia="Arial" w:hAnsi="Arial"/>
          <w:b w:val="false"/>
          <w:bCs w:val="false"/>
          <w:color w:val="1A1A1A"/>
          <w:sz w:val="20"/>
          <w:szCs w:val="20"/>
        </w:rPr>
        <w:t xml:space="preserve">Outcome: Full pre-treatment estimate workflow</w:t>
      </w:r>
    </w:p>
    <w:p>
      <w:pPr>
        <w:spacing w:before="120" w:after="0"/>
      </w:pPr>
      <w:r>
        <w:t xml:space="preserve"/>
      </w:r>
    </w:p>
    <w:p>
      <w:pPr>
        <w:pStyle w:val="Heading3"/>
        <w:spacing w:before="240" w:after="80"/>
      </w:pPr>
      <w:r>
        <w:rPr>
          <w:rFonts w:ascii="Arial" w:cs="Arial" w:eastAsia="Arial" w:hAnsi="Arial"/>
          <w:b/>
          <w:bCs/>
          <w:color w:val="1A1A1A"/>
          <w:sz w:val="20"/>
          <w:szCs w:val="20"/>
        </w:rPr>
        <w:t xml:space="preserve">Phase 4 — Pilot go-live prep</w:t>
      </w:r>
    </w:p>
    <w:p>
      <w:pPr>
        <w:pStyle w:val="ListParagraph"/>
        <w:numPr>
          <w:ilvl w:val="0"/>
          <w:numId w:val="2"/>
        </w:numPr>
        <w:spacing w:before="40" w:after="40"/>
      </w:pPr>
      <w:r>
        <w:rPr>
          <w:rFonts w:ascii="Arial" w:cs="Arial" w:eastAsia="Arial" w:hAnsi="Arial"/>
          <w:b w:val="false"/>
          <w:bCs w:val="false"/>
          <w:color w:val="1A1A1A"/>
          <w:sz w:val="20"/>
          <w:szCs w:val="20"/>
        </w:rPr>
        <w:t xml:space="preserve">Run discover-schema.js on Dr. Hasan's machine</w:t>
      </w:r>
    </w:p>
    <w:p>
      <w:pPr>
        <w:pStyle w:val="ListParagraph"/>
        <w:numPr>
          <w:ilvl w:val="0"/>
          <w:numId w:val="2"/>
        </w:numPr>
        <w:spacing w:before="40" w:after="40"/>
      </w:pPr>
      <w:r>
        <w:rPr>
          <w:rFonts w:ascii="Arial" w:cs="Arial" w:eastAsia="Arial" w:hAnsi="Arial"/>
          <w:b w:val="false"/>
          <w:bCs w:val="false"/>
          <w:color w:val="1A1A1A"/>
          <w:sz w:val="20"/>
          <w:szCs w:val="20"/>
        </w:rPr>
        <w:t xml:space="preserve">Validate/correct all Abeldent SQL column names</w:t>
      </w:r>
    </w:p>
    <w:p>
      <w:pPr>
        <w:pStyle w:val="ListParagraph"/>
        <w:numPr>
          <w:ilvl w:val="0"/>
          <w:numId w:val="2"/>
        </w:numPr>
        <w:spacing w:before="40" w:after="40"/>
      </w:pPr>
      <w:r>
        <w:rPr>
          <w:rFonts w:ascii="Arial" w:cs="Arial" w:eastAsia="Arial" w:hAnsi="Arial"/>
          <w:b w:val="false"/>
          <w:bCs w:val="false"/>
          <w:color w:val="1A1A1A"/>
          <w:sz w:val="20"/>
          <w:szCs w:val="20"/>
        </w:rPr>
        <w:t xml:space="preserve">Rotate Vapi API key and Railway PostgreSQL credentials</w:t>
      </w:r>
    </w:p>
    <w:p>
      <w:pPr>
        <w:pStyle w:val="ListParagraph"/>
        <w:numPr>
          <w:ilvl w:val="0"/>
          <w:numId w:val="2"/>
        </w:numPr>
        <w:spacing w:before="40" w:after="40"/>
      </w:pPr>
      <w:r>
        <w:rPr>
          <w:rFonts w:ascii="Arial" w:cs="Arial" w:eastAsia="Arial" w:hAnsi="Arial"/>
          <w:b w:val="false"/>
          <w:bCs w:val="false"/>
          <w:color w:val="1A1A1A"/>
          <w:sz w:val="20"/>
          <w:szCs w:val="20"/>
        </w:rPr>
        <w:t xml:space="preserve">Set VAPI_WEBHOOK_SECRET via openssl rand -hex 32</w:t>
      </w:r>
    </w:p>
    <w:p>
      <w:pPr>
        <w:pStyle w:val="ListParagraph"/>
        <w:numPr>
          <w:ilvl w:val="0"/>
          <w:numId w:val="2"/>
        </w:numPr>
        <w:spacing w:before="40" w:after="40"/>
      </w:pPr>
      <w:r>
        <w:rPr>
          <w:rFonts w:ascii="Arial" w:cs="Arial" w:eastAsia="Arial" w:hAnsi="Arial"/>
          <w:b w:val="false"/>
          <w:bCs w:val="false"/>
          <w:color w:val="1A1A1A"/>
          <w:sz w:val="20"/>
          <w:szCs w:val="20"/>
        </w:rPr>
        <w:t xml:space="preserve">Dry-run test call: node test-call.js processing</w:t>
      </w:r>
    </w:p>
    <w:p>
      <w:pPr>
        <w:pStyle w:val="ListParagraph"/>
        <w:numPr>
          <w:ilvl w:val="0"/>
          <w:numId w:val="2"/>
        </w:numPr>
        <w:spacing w:before="40" w:after="40"/>
      </w:pPr>
      <w:r>
        <w:rPr>
          <w:rFonts w:ascii="Arial" w:cs="Arial" w:eastAsia="Arial" w:hAnsi="Arial"/>
          <w:b w:val="false"/>
          <w:bCs w:val="false"/>
          <w:color w:val="1A1A1A"/>
          <w:sz w:val="20"/>
          <w:szCs w:val="20"/>
        </w:rPr>
        <w:t xml:space="preserve">Live pilot calls — validate three core assumptions</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Critical constraints for the build</w:t>
      </w:r>
    </w:p>
    <w:p>
      <w:pPr>
        <w:pStyle w:val="Heading2"/>
        <w:spacing w:before="320" w:after="120"/>
      </w:pPr>
      <w:r>
        <w:rPr>
          <w:rFonts w:ascii="Arial" w:cs="Arial" w:eastAsia="Arial" w:hAnsi="Arial"/>
          <w:b/>
          <w:bCs/>
          <w:color w:val="1A1A1A"/>
          <w:sz w:val="24"/>
          <w:szCs w:val="24"/>
        </w:rPr>
        <w:t xml:space="preserve">PHI boundary — non-negotiable</w:t>
      </w:r>
    </w:p>
    <w:p>
      <w:pPr>
        <w:spacing w:before="80" w:after="80"/>
      </w:pPr>
      <w:r>
        <w:rPr>
          <w:rFonts w:ascii="Arial" w:cs="Arial" w:eastAsia="Arial" w:hAnsi="Arial"/>
          <w:color w:val="1A1A1A"/>
          <w:sz w:val="20"/>
          <w:szCs w:val="20"/>
        </w:rPr>
        <w:t xml:space="preserve">The Node.js backend is the only system that handles patient health information. Vapi, SendGrid, Twilio, and Stripe never receive patient names, DOBs, health card numbers, or clinical data. All PHI is tokenized to UUIDs before leaving the backend. This is the core PHIPA/PIPEDA compliance mechanism and must not be bypassed for any feature.</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Webhook architecture — do not move backend to Electron</w:t>
      </w:r>
    </w:p>
    <w:p>
      <w:pPr>
        <w:spacing w:before="80" w:after="80"/>
      </w:pPr>
      <w:r>
        <w:rPr>
          <w:rFonts w:ascii="Arial" w:cs="Arial" w:eastAsia="Arial" w:hAnsi="Arial"/>
          <w:color w:val="1A1A1A"/>
          <w:sz w:val="20"/>
          <w:szCs w:val="20"/>
        </w:rPr>
        <w:t xml:space="preserve">Vapi posts call outcome webhooks to a public URL. This must remain the Railway backend. If the backend runs inside Electron on the clinic machine, every new practice requires firewall/port configuration — this kills the product's scalability. The Electron app is a shell and sync service only.</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Abeldent schema — do not assume column names</w:t>
      </w:r>
    </w:p>
    <w:p>
      <w:pPr>
        <w:spacing w:before="80" w:after="80"/>
      </w:pPr>
      <w:r>
        <w:rPr>
          <w:rFonts w:ascii="Arial" w:cs="Arial" w:eastAsia="Arial" w:hAnsi="Arial"/>
          <w:color w:val="1A1A1A"/>
          <w:sz w:val="20"/>
          <w:szCs w:val="20"/>
        </w:rPr>
        <w:t xml:space="preserve">The Abeldent SQL connector exists but uses assumed column names from documentation. Before any production data flows through the system, discover-schema.js must be run on Dr. Hasan's actual machine and all SQL query column names must be verified against the output. Running with wrong column names causes silent data failures.</w:t>
      </w:r>
    </w:p>
    <w:p>
      <w:pPr>
        <w:spacing w:before="120" w:after="0"/>
      </w:pPr>
      <w:r>
        <w:t xml:space="preserve"/>
      </w:r>
    </w:p>
    <w:p>
      <w:pPr>
        <w:pStyle w:val="Heading2"/>
        <w:spacing w:before="320" w:after="120"/>
      </w:pPr>
      <w:r>
        <w:rPr>
          <w:rFonts w:ascii="Arial" w:cs="Arial" w:eastAsia="Arial" w:hAnsi="Arial"/>
          <w:b/>
          <w:bCs/>
          <w:color w:val="1A1A1A"/>
          <w:sz w:val="24"/>
          <w:szCs w:val="24"/>
        </w:rPr>
        <w:t xml:space="preserve">Stripe Connect — not standard Stripe</w:t>
      </w:r>
    </w:p>
    <w:p>
      <w:pPr>
        <w:spacing w:before="80" w:after="80"/>
      </w:pPr>
      <w:r>
        <w:rPr>
          <w:rFonts w:ascii="Arial" w:cs="Arial" w:eastAsia="Arial" w:hAnsi="Arial"/>
          <w:color w:val="1A1A1A"/>
          <w:sz w:val="20"/>
          <w:szCs w:val="20"/>
        </w:rPr>
        <w:t xml:space="preserve">The practice receives funds directly. Use Stripe Connect (not a standard Stripe account) so each practice has their own connected account. CollectRx can optionally take a platform fee per transaction via application_fee_amount on the PaymentIntent.</w:t>
      </w:r>
    </w:p>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Environment variables required</w:t>
      </w:r>
    </w:p>
    <w:p>
      <w:pPr>
        <w:spacing w:before="80" w:after="80"/>
      </w:pPr>
      <w:r>
        <w:rPr>
          <w:rFonts w:ascii="Arial" w:cs="Arial" w:eastAsia="Arial" w:hAnsi="Arial"/>
          <w:color w:val="1A1A1A"/>
          <w:sz w:val="20"/>
          <w:szCs w:val="20"/>
        </w:rPr>
        <w:t xml:space="preserve">All of the following must be present in the Railway .env before the full build runs. Items marked ROTATE are known to have been exposed and must be regenerated before go-live.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Component</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Status</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242424"/>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VAPI_API_KEY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ROTATE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Exposed in uploaded .env — regenerate in Vapi dashboard</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DATABASE_URL</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ROTATE</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Railway PostgreSQL URL — regenerate in Railway dashboard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VAPI_WEBHOOK_SECRET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Generate</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Run: openssl rand -hex 32 — set in both .env and Vapi dashboard</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STRIPE_SECRET_KEY</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Stripe dashboard (use test key for pilot)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STRIPE_WEBHOOK_SECRET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Stripe dashboard after registering webhook endpoint</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STRIPE_PLATFORM_FEE</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Optional platform fee in cents per transaction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SENDGRID_API_KEY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SendGrid dashboard</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SENDGRID_FROM_EMAIL</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Verified sender email address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TWILIO_ACCOUNT_SID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Twilio dashboard</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TWILIO_AUTH_TOKEN</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From Twilio dashboard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TWILIO_PHONE_NUMBER</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New</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Twilio number for SMS reminders</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ABELDENT_SERVER</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Existing</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SQL Server hostname on Dr. Hasan's machine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ABELDENT_DATABASE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Existing</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Abeldent database name</w:t>
            </w:r>
          </w:p>
        </w:tc>
      </w:tr>
      <w:tr>
        <w:tc>
          <w:tcPr>
            <w:tcW w:type="dxa" w:w="32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COLLECTRX_API_URL</w:t>
            </w:r>
          </w:p>
        </w:tc>
        <w:tc>
          <w:tcPr>
            <w:tcW w:type="dxa" w:w="140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bCs/>
                <w:color w:val="854F0B"/>
                <w:sz w:val="18"/>
                <w:szCs w:val="18"/>
              </w:rPr>
              <w:t xml:space="preserve">Existing</w:t>
            </w:r>
          </w:p>
        </w:tc>
        <w:tc>
          <w:tcPr>
            <w:tcW w:type="dxa" w:w="4760"/>
            <w:tcBorders>
              <w:top w:val="single" w:color="DDDDDD" w:sz="1"/>
              <w:left w:val="single" w:color="DDDDDD" w:sz="1"/>
              <w:bottom w:val="single" w:color="DDDDDD" w:sz="1"/>
              <w:right w:val="single" w:color="DDDDDD" w:sz="1"/>
            </w:tcBorders>
            <w:shd w:fill="F5F5F3" w:val="clear"/>
            <w:tcMar>
              <w:top w:type="dxa" w:w="100"/>
              <w:left w:type="dxa" w:w="140"/>
              <w:bottom w:type="dxa" w:w="100"/>
              <w:right w:type="dxa" w:w="140"/>
            </w:tcMar>
          </w:tcPr>
          <w:p>
            <w:r>
              <w:rPr>
                <w:rFonts w:ascii="Arial" w:cs="Arial" w:eastAsia="Arial" w:hAnsi="Arial"/>
                <w:b w:val="false"/>
                <w:bCs w:val="false"/>
                <w:color w:val="444444"/>
                <w:sz w:val="18"/>
                <w:szCs w:val="18"/>
              </w:rPr>
              <w:t xml:space="preserve">Railway backend public URL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COLLECTRX_API_KEY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854F0B"/>
                <w:sz w:val="18"/>
                <w:szCs w:val="18"/>
              </w:rPr>
              <w:t xml:space="preserve">Existing</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444444"/>
                <w:sz w:val="18"/>
                <w:szCs w:val="18"/>
              </w:rPr>
              <w:t xml:space="preserve">Bearer token for Abeldent connector → backend auth</w:t>
            </w:r>
          </w:p>
        </w:tc>
      </w:tr>
    </w:tbl>
    <w:p>
      <w:pPr>
        <w:pBdr>
          <w:bottom w:val="single" w:color="DDDDDD" w:sz="4" w:space="1"/>
        </w:pBdr>
        <w:spacing w:before="160" w:after="160"/>
      </w:pPr>
      <w:r>
        <w:t xml:space="preserve"/>
      </w:r>
    </w:p>
    <w:p>
      <w:pPr>
        <w:pStyle w:val="Heading1"/>
        <w:spacing w:before="400" w:after="160"/>
      </w:pPr>
      <w:r>
        <w:rPr>
          <w:rFonts w:ascii="Arial" w:cs="Arial" w:eastAsia="Arial" w:hAnsi="Arial"/>
          <w:b/>
          <w:bCs/>
          <w:color w:val="1A1A1A"/>
          <w:sz w:val="32"/>
          <w:szCs w:val="32"/>
        </w:rPr>
        <w:t xml:space="preserve">Pilot validation — three assumptions to test</w:t>
      </w:r>
    </w:p>
    <w:p>
      <w:pPr>
        <w:spacing w:before="80" w:after="80"/>
      </w:pPr>
      <w:r>
        <w:rPr>
          <w:rFonts w:ascii="Arial" w:cs="Arial" w:eastAsia="Arial" w:hAnsi="Arial"/>
          <w:color w:val="1A1A1A"/>
          <w:sz w:val="20"/>
          <w:szCs w:val="20"/>
        </w:rPr>
        <w:t xml:space="preserve">The 90-day pilot with Dr. Hasan at Tenth Line Family Dentistry is designed to validate three existential assumptions. The build must be complete enough to generate real data against all three.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r>
              <w:rPr>
                <w:rFonts w:ascii="Arial" w:cs="Arial" w:eastAsia="Arial" w:hAnsi="Arial"/>
                <w:b/>
                <w:bCs/>
                <w:color w:val="993C1D"/>
                <w:sz w:val="18"/>
                <w:szCs w:val="18"/>
              </w:rPr>
              <w:t xml:space="preserve">Assumption 1 — Carrier acceptance</w:t>
            </w:r>
          </w:p>
          <w:p>
            <w:r>
              <w:rPr>
                <w:rFonts w:ascii="Arial" w:cs="Arial" w:eastAsia="Arial" w:hAnsi="Arial"/>
                <w:color w:val="993C1D"/>
                <w:sz w:val="18"/>
                <w:szCs w:val="18"/>
              </w:rPr>
              <w:t xml:space="preserve">Insurance carriers will accept automated AI callers without flagging, blocking, or refusing to provide claim information. This is the highest-risk assumption. If carriers block AI calls, the core insurance AR product does not work.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r>
              <w:rPr>
                <w:rFonts w:ascii="Arial" w:cs="Arial" w:eastAsia="Arial" w:hAnsi="Arial"/>
                <w:b/>
                <w:bCs/>
                <w:color w:val="854F0B"/>
                <w:sz w:val="18"/>
                <w:szCs w:val="18"/>
              </w:rPr>
              <w:t xml:space="preserve">Assumption 2 — Resolution rate</w:t>
            </w:r>
          </w:p>
          <w:p>
            <w:r>
              <w:rPr>
                <w:rFonts w:ascii="Arial" w:cs="Arial" w:eastAsia="Arial" w:hAnsi="Arial"/>
                <w:color w:val="854F0B"/>
                <w:sz w:val="18"/>
                <w:szCs w:val="18"/>
              </w:rPr>
              <w:t xml:space="preserve">The AI agents achieve a sufficient claim resolution rate — meaning they successfully retrieve actionable status on a meaningful percentage of calls. Target: &gt;70% of calls result in a logged outcome that the practice can act 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r>
              <w:rPr>
                <w:rFonts w:ascii="Arial" w:cs="Arial" w:eastAsia="Arial" w:hAnsi="Arial"/>
                <w:b/>
                <w:bCs/>
                <w:color w:val="0F6E56"/>
                <w:sz w:val="18"/>
                <w:szCs w:val="18"/>
              </w:rPr>
              <w:t xml:space="preserve">Assumption 3 — Willingness to pay</w:t>
            </w:r>
          </w:p>
          <w:p>
            <w:r>
              <w:rPr>
                <w:rFonts w:ascii="Arial" w:cs="Arial" w:eastAsia="Arial" w:hAnsi="Arial"/>
                <w:color w:val="0F6E56"/>
                <w:sz w:val="18"/>
                <w:szCs w:val="18"/>
              </w:rPr>
              <w:t xml:space="preserve">After seeing results across both insurance AR and patient AR, Dr. Hasan confirms he would pay the proposed monthly SaaS price. This validates the business model before scaling to additional practices.</w:t>
            </w:r>
          </w:p>
        </w:tc>
      </w:tr>
    </w:tbl>
    <w:p>
      <w:pPr>
        <w:spacing w:before="200" w:after="0"/>
      </w:pPr>
      <w:r>
        <w:t xml:space="preserve"/>
      </w:r>
    </w:p>
    <w:p>
      <w:pPr>
        <w:spacing w:before="400"/>
        <w:jc w:val="center"/>
      </w:pPr>
      <w:r>
        <w:rPr>
          <w:rFonts w:ascii="Arial" w:cs="Arial" w:eastAsia="Arial" w:hAnsi="Arial"/>
          <w:color w:val="AAAAAA"/>
          <w:sz w:val="16"/>
          <w:szCs w:val="16"/>
        </w:rPr>
        <w:t xml:space="preserve">CollectRx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6"/>
      </w:pBdr>
    </w:pPr>
    <w:r>
      <w:rPr>
        <w:rFonts w:ascii="Arial" w:cs="Arial" w:eastAsia="Arial" w:hAnsi="Arial"/>
        <w:color w:val="888888"/>
        <w:sz w:val="16"/>
        <w:szCs w:val="16"/>
      </w:rPr>
      <w:t xml:space="preserve">CollectRx — Cowork Build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1A1A"/>
      <w:sz w:val="24"/>
      <w:szCs w:val="24"/>
    </w:rPr>
  </w:style>
  <w:style w:type="paragraph" w:styleId="Heading3">
    <w:name w:val="Heading 3"/>
    <w:basedOn w:val="Normal"/>
    <w:next w:val="Normal"/>
    <w:qFormat/>
    <w:pPr>
      <w:spacing w:before="240" w:after="80"/>
      <w:outlineLvl w:val="2"/>
    </w:pPr>
    <w:rPr>
      <w:rFonts w:ascii="Arial" w:cs="Arial" w:eastAsia="Arial" w:hAnsi="Arial"/>
      <w:b/>
      <w:bCs/>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2026-03-28T19:01:42.364Z</dcterms:created>
  <dcterms:modified xsi:type="dcterms:W3CDTF">2026-03-28T19:01:42.365Z</dcterms:modified>
</cp:coreProperties>
</file>

<file path=docProps/custom.xml><?xml version="1.0" encoding="utf-8"?>
<Properties xmlns="http://schemas.openxmlformats.org/officeDocument/2006/custom-properties" xmlns:vt="http://schemas.openxmlformats.org/officeDocument/2006/docPropsVTypes"/>
</file>