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36"/>
          <w:szCs w:val="36"/>
        </w:rPr>
        <w:t xml:space="preserve">Franchise Territory Sizing on Public Data</w:t>
      </w:r>
    </w:p>
    <w:p>
      <w:pPr>
        <w:spacing w:after="60"/>
      </w:pPr>
      <w:r>
        <w:rPr>
          <w:i/>
          <w:iCs/>
          <w:color w:val="666666"/>
        </w:rPr>
        <w:t xml:space="preserve">A defensible, auditable methodology for market-based protected-territory analysis — v2</w:t>
      </w:r>
    </w:p>
    <w:p>
      <w:pPr>
        <w:spacing w:after="160"/>
      </w:pPr>
      <w:r>
        <w:rPr>
          <w:color w:val="888888"/>
          <w:sz w:val="18"/>
          <w:szCs w:val="18"/>
        </w:rPr>
        <w:t xml:space="preserve">Prepared July 2026, for discussion purposes. Every figure below links to the public page it comes from. Section 5 defines the legal boundary for how this analysis may be used; Section 6 states the model's known limitations before anyone else finds them.</w:t>
      </w:r>
    </w:p>
    <w:p>
      <w:pPr>
        <w:pStyle w:val="Heading1"/>
      </w:pPr>
      <w:r>
        <w:t xml:space="preserve">1. Objective</w:t>
      </w:r>
    </w:p>
    <w:p>
      <w:pPr>
        <w:spacing w:after="160"/>
      </w:pPr>
      <w:r>
        <w:t xml:space="preserve">Size each new protected territory by the number of households that can realistically afford the top package ($8,500) on financed terms — using only public, citable data, so every input survives scrutiny (FTC review, franchisee due diligence, lender diligence). The equation is conservative by construction: it prices affordability at the highest published consumer APR and multiplies independent screens that are in reality positively correlated, so it understates the addressable market rather than overstating it.</w:t>
      </w:r>
    </w:p>
    <w:p>
      <w:pPr>
        <w:pStyle w:val="Heading1"/>
      </w:pPr>
      <w:r>
        <w:t xml:space="preserve">2. The Equation</w:t>
      </w:r>
    </w:p>
    <w:p>
      <w:pPr>
        <w:pStyle w:val="ListParagraph"/>
        <w:numPr>
          <w:ilvl w:val="0"/>
          <w:numId w:val="2"/>
        </w:numPr>
        <w:spacing w:after="100"/>
      </w:pPr>
      <w:r>
        <w:rPr>
          <w:b/>
          <w:bCs/>
        </w:rPr>
        <w:t xml:space="preserve">Monthly payment. </w:t>
      </w:r>
      <w:r>
        <w:t xml:space="preserve">PMT = P × (r/12) / (1 − (1 + r/12)^−n), with P = $8,500, r = 24.99% APR, n = 60 months → $249.44/month. The term must always be stated with the APR — it moves the payment as much as the rate does (see the tier table in §4).</w:t>
      </w:r>
    </w:p>
    <w:p>
      <w:pPr>
        <w:pStyle w:val="ListParagraph"/>
        <w:numPr>
          <w:ilvl w:val="0"/>
          <w:numId w:val="2"/>
        </w:numPr>
        <w:spacing w:after="100"/>
      </w:pPr>
      <w:r>
        <w:rPr>
          <w:b/>
          <w:bCs/>
        </w:rPr>
        <w:t xml:space="preserve">Income screen. </w:t>
      </w:r>
      <w:r>
        <w:t xml:space="preserve">Required annual household income = PMT × 12 ÷ PTI. At an 8% payment-to-income convention (a conservative allocation for one discretionary installment, consistent with keeping total obligations inside the widely used 36% back-end DTI convention): $37,415. Sensitivity: $59,865 at 5% PTI; $29,932 at 10%. The share of local households above the threshold comes from Census ACS table B19001 for the candidate geography.</w:t>
      </w:r>
    </w:p>
    <w:p>
      <w:pPr>
        <w:pStyle w:val="ListParagraph"/>
        <w:numPr>
          <w:ilvl w:val="0"/>
          <w:numId w:val="2"/>
        </w:numPr>
        <w:spacing w:after="100"/>
      </w:pPr>
      <w:r>
        <w:rPr>
          <w:b/>
          <w:bCs/>
        </w:rPr>
        <w:t xml:space="preserve">Credit screen. </w:t>
      </w:r>
      <w:r>
        <w:t xml:space="preserve">Multiply by the share of consumers at or above the FICO cutoff (base: 670). Nationally 70.4% (Experian, Sept 2025). State-adjusted estimates (60.1% Mississippi to 75.0% Minnesota) are derived in the Appendix — use those, not the flat national figure.</w:t>
      </w:r>
    </w:p>
    <w:p>
      <w:pPr>
        <w:pStyle w:val="ListParagraph"/>
        <w:numPr>
          <w:ilvl w:val="0"/>
          <w:numId w:val="2"/>
        </w:numPr>
        <w:spacing w:after="100"/>
      </w:pPr>
      <w:r>
        <w:rPr>
          <w:b/>
          <w:bCs/>
        </w:rPr>
        <w:t xml:space="preserve">Territory boundary. </w:t>
      </w:r>
      <w:r>
        <w:t xml:space="preserve">Addressable households = households × income-qualified share × credit-eligible share. Apply penetration and annual customers needed per location; expand the geography until it supports one location. That boundary is the protected territory.</w:t>
      </w:r>
    </w:p>
    <w:p>
      <w:pPr>
        <w:pStyle w:val="Heading1"/>
      </w:pPr>
      <w:r>
        <w:t xml:space="preserve">3. Every Input, With Its Public Source</w:t>
      </w:r>
    </w:p>
    <w:p>
      <w:pPr>
        <w:pStyle w:val="Heading2"/>
      </w:pPr>
      <w:r>
        <w:t xml:space="preserve">3.1 The conservative APR: 24.99%</w:t>
      </w:r>
    </w:p>
    <w:p>
      <w:pPr>
        <w:spacing w:after="160"/>
      </w:pPr>
      <w:r>
        <w:t xml:space="preserve">U.S. Bank publishes its Avvance point-of-sale consumer terms on the open web: </w:t>
      </w:r>
      <w:r>
        <w:rPr>
          <w:i/>
          <w:iCs/>
        </w:rPr>
        <w:t xml:space="preserve">“Consumer installment loan financing terms via U.S. Bank range from 0% - 24.99% APR (Annual Percentage Rate) with repayment plans from 3 - 60 months for transactions between $300 - $25,000.”</w:t>
      </w:r>
      <w:r>
        <w:t xml:space="preserve"> Source: </w:t>
      </w:r>
      <w:hyperlink w:history="1" r:id="rIdplvrmh2wguserkukzeokd">
        <w:r>
          <w:rPr>
            <w:rStyle w:val="Hyperlink"/>
          </w:rPr>
          <w:t xml:space="preserve">avvance.usbank.com/index.html (FAQ)</w:t>
        </w:r>
      </w:hyperlink>
      <w:r>
        <w:t xml:space="preserve"> (accessed July 2026). A public statement from a top-5 U.S. bank — no confidential material required.</w:t>
      </w:r>
    </w:p>
    <w:p>
      <w:pPr>
        <w:spacing w:after="160"/>
      </w:pPr>
      <w:r>
        <w:t xml:space="preserve">Near-prime/subprime benchmark (aggregate pre-qualification data, June 2026): Excellent (720–850) 14.48%; Good (690–719) 18.98%; Fair (630–689) 22.86%; Bad (300–629) 26.70%. Source: </w:t>
      </w:r>
      <w:hyperlink w:history="1" r:id="rIdkz8ncwi9ejqqkzlbtfjp1">
        <w:r>
          <w:rPr>
            <w:rStyle w:val="Hyperlink"/>
          </w:rPr>
          <w:t xml:space="preserve">NerdWallet, “Average Personal Loan Interest Rates”</w:t>
        </w:r>
      </w:hyperlink>
      <w:r>
        <w:t xml:space="preserve">.</w:t>
      </w:r>
    </w:p>
    <w:p>
      <w:pPr>
        <w:pStyle w:val="Heading2"/>
      </w:pPr>
      <w:r>
        <w:t xml:space="preserve">3.2 Credit-score distribution and state averages</w:t>
      </w:r>
    </w:p>
    <w:p>
      <w:pPr>
        <w:spacing w:after="160"/>
      </w:pPr>
      <w:r>
        <w:t xml:space="preserve">Experian publishes the average FICO® Score for every state (September 2025 data, published March 30, 2026) and the national distribution by band: Poor (300–579) 14.7%; Fair (580–669) 14.9%; Good (670–739) 20.1%; Very Good (740–799) 27.5%; Exceptional (800–850) 22.8%. National average 713; Minnesota highest (741); Mississippi lowest (677). Source: </w:t>
      </w:r>
      <w:hyperlink w:history="1" r:id="rIdnbgqibxxnyzjk-obbqs5n">
        <w:r>
          <w:rPr>
            <w:rStyle w:val="Hyperlink"/>
          </w:rPr>
          <w:t xml:space="preserve">Experian, “What Is the Average Credit Score in the US?”</w:t>
        </w:r>
      </w:hyperlink>
      <w:r>
        <w:t xml:space="preserve">. Full table in the Appendix.</w:t>
      </w:r>
    </w:p>
    <w:p>
      <w:pPr>
        <w:pStyle w:val="Heading2"/>
      </w:pPr>
      <w:r>
        <w:t xml:space="preserve">3.3 Household income</w:t>
      </w:r>
    </w:p>
    <w:p>
      <w:pPr>
        <w:pStyle w:val="ListParagraph"/>
        <w:numPr>
          <w:ilvl w:val="0"/>
          <w:numId w:val="3"/>
        </w:numPr>
        <w:spacing w:after="100"/>
      </w:pPr>
      <w:r>
        <w:t xml:space="preserve">State level: median household income, 2024 (national median $83,730; Massachusetts $113,900 high; Mississippi $55,980 low). Source: </w:t>
      </w:r>
      <w:hyperlink w:history="1" r:id="rIdtnsun5hnjqpwwx284pni_">
        <w:r>
          <w:rPr>
            <w:rStyle w:val="Hyperlink"/>
          </w:rPr>
          <w:t xml:space="preserve">U.S. Census Bureau via FRED</w:t>
        </w:r>
      </w:hyperlink>
      <w:r>
        <w:t xml:space="preserve">; companion Census brief: </w:t>
      </w:r>
      <w:hyperlink w:history="1" r:id="rId0c1jhqdkyf3h9s6gld6je">
        <w:r>
          <w:rPr>
            <w:rStyle w:val="Hyperlink"/>
          </w:rPr>
          <w:t xml:space="preserve">“Household Income in States and Metropolitan Areas: 2024”</w:t>
        </w:r>
      </w:hyperlink>
      <w:r>
        <w:t xml:space="preserve">.</w:t>
      </w:r>
    </w:p>
    <w:p>
      <w:pPr>
        <w:pStyle w:val="ListParagraph"/>
        <w:numPr>
          <w:ilvl w:val="0"/>
          <w:numId w:val="3"/>
        </w:numPr>
        <w:spacing w:after="100"/>
      </w:pPr>
      <w:r>
        <w:t xml:space="preserve">Local level (the number that actually sizes a territory): households by income bracket for any county, metro, or zip — ACS table B19001, free at </w:t>
      </w:r>
      <w:hyperlink w:history="1" r:id="rIdh3sfjdstwqosguj7xu_v6">
        <w:r>
          <w:rPr>
            <w:rStyle w:val="Hyperlink"/>
          </w:rPr>
          <w:t xml:space="preserve">data.census.gov</w:t>
        </w:r>
      </w:hyperlink>
      <w:r>
        <w:t xml:space="preserve">. The Excel model interpolates within brackets; the companion Data Sourcing Guide gives the exact click path.</w:t>
      </w:r>
    </w:p>
    <w:p>
      <w:pPr>
        <w:pStyle w:val="Heading2"/>
      </w:pPr>
      <w:r>
        <w:t xml:space="preserve">3.4 Local credit health cross-check</w:t>
      </w:r>
    </w:p>
    <w:p>
      <w:pPr>
        <w:spacing w:after="160"/>
      </w:pPr>
      <w:r>
        <w:t xml:space="preserve">Urban Institute, Debt in America: county- and state-level credit-health indicators from a 4% national panel of deidentified credit records (August 2025), with downloadable data. Source: </w:t>
      </w:r>
      <w:hyperlink w:history="1" r:id="rIdqtntb_qjxwiwxhip2ohah">
        <w:r>
          <w:rPr>
            <w:rStyle w:val="Hyperlink"/>
          </w:rPr>
          <w:t xml:space="preserve">apps.urban.org/features/debt-interactive-map</w:t>
        </w:r>
      </w:hyperlink>
      <w:r>
        <w:t xml:space="preserve">.</w:t>
      </w:r>
    </w:p>
    <w:p>
      <w:pPr>
        <w:pStyle w:val="Heading2"/>
      </w:pPr>
      <w:r>
        <w:t xml:space="preserve">3.5 Merchant cost of promotional financing</w:t>
      </w:r>
    </w:p>
    <w:p>
      <w:pPr>
        <w:spacing w:after="160"/>
      </w:pPr>
      <w:r>
        <w:t xml:space="preserve">GreenSky’s Form 10-K (SEC EDGAR, FY2019) confirms the structure: merchants pay upfront transaction fees on every financed sale, and </w:t>
      </w:r>
      <w:r>
        <w:rPr>
          <w:i/>
          <w:iCs/>
        </w:rPr>
        <w:t xml:space="preserve">“the transaction fee rate depends on the terms of financing underlying the consumer loans”</w:t>
      </w:r>
      <w:r>
        <w:t xml:space="preserve"> — i.e., promotional plans cost the merchant more. Source: </w:t>
      </w:r>
      <w:hyperlink w:history="1" r:id="rId0nclpg72ws2mse7u54x0l">
        <w:r>
          <w:rPr>
            <w:rStyle w:val="Hyperlink"/>
          </w:rPr>
          <w:t xml:space="preserve">GreenSky Form 10-K, FY2019 (SEC)</w:t>
        </w:r>
      </w:hyperlink>
      <w:r>
        <w:t xml:space="preserve">. Trade-press benchmarks put standard installment fees around 2–4% of ticket and promotional/deferred-interest plans around 8–25%+ (</w:t>
      </w:r>
      <w:hyperlink w:history="1" r:id="rIdnj94km4soazajhjyvtley">
        <w:r>
          <w:rPr>
            <w:rStyle w:val="Hyperlink"/>
          </w:rPr>
          <w:t xml:space="preserve">One Click Contractor, Jan 2026</w:t>
        </w:r>
      </w:hyperlink>
      <w:r>
        <w:t xml:space="preserve"> — trade source, cited for corroboration only, not as substantiation).</w:t>
      </w:r>
    </w:p>
    <w:p>
      <w:pPr>
        <w:pStyle w:val="Heading1"/>
      </w:pPr>
      <w:r>
        <w:t xml:space="preserve">4. Multi-Lender Tiers: Why Wider Credit Coverage ≠ Bigger Affordable Market</w:t>
      </w:r>
    </w:p>
    <w:p>
      <w:pPr>
        <w:spacing w:after="160"/>
      </w:pPr>
      <w:r>
        <w:t xml:space="preserve">A financing stack usually spans several tiers — a prime bank installment product, promotional 0% plans, and near-prime/subprime products in states whose rate caps permit them. Modeling each tier at its own published terms shows something counterintuitive: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160"/>
        <w:gridCol w:w="900"/>
        <w:gridCol w:w="900"/>
        <w:gridCol w:w="1240"/>
        <w:gridCol w:w="1250"/>
        <w:gridCol w:w="1250"/>
      </w:tblGrid>
      <w:tr>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Tier (generic)</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Financed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APR</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Term</w:t>
            </w:r>
          </w:p>
        </w:tc>
        <w:tc>
          <w:tcPr>
            <w:tcW w:type="dxa" w:w="1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Payment/mo</w:t>
            </w:r>
          </w:p>
        </w:tc>
        <w:tc>
          <w:tcPr>
            <w:tcW w:type="dxa" w:w="12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Req. income @8% PTI</w:t>
            </w:r>
          </w:p>
        </w:tc>
        <w:tc>
          <w:tcPr>
            <w:tcW w:type="dxa" w:w="12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Req. income @5% PTI</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Prime bank installment (public max)</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24.99%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60 mo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$249.44</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$37,415</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$59,865</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0% promotional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36 mo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$236.11</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$35,417</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$56,667</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0% promotional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24 mo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$354.17</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$53,125</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$85,000</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0% short-term (capped $7,500)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12 mo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$625.00</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$93,750</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$150,000</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Near-prime marketplace avg.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26.70%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48 mo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$289.95</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$43,493</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$69,589</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High-APR subprime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24 mo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$946.05</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$141,907</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$227,052</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High-APR subprime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12 mo</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$1,247.49</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$187,123</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$299,397</w:t>
            </w:r>
          </w:p>
        </w:tc>
      </w:tr>
    </w:tbl>
    <w:p>
      <w:pPr>
        <w:spacing w:after="80"/>
      </w:pPr>
      <w:r>
        <w:t xml:space="preserve"/>
      </w:r>
    </w:p>
    <w:p>
      <w:pPr>
        <w:pStyle w:val="ListParagraph"/>
        <w:numPr>
          <w:ilvl w:val="0"/>
          <w:numId w:val="3"/>
        </w:numPr>
        <w:spacing w:after="100"/>
      </w:pPr>
      <w:r>
        <w:rPr>
          <w:b/>
          <w:bCs/>
        </w:rPr>
        <w:t xml:space="preserve">Term dominates APR. </w:t>
      </w:r>
      <w:r>
        <w:t xml:space="preserve">The 12-month 0% plan — the most consumer-friendly headline — requires $93,750 of income at 8% PTI, 2.5× the prime tier, and leaves a $1,000 cash gap on an $8,500 package at a $7,500 cap.</w:t>
      </w:r>
    </w:p>
    <w:p>
      <w:pPr>
        <w:pStyle w:val="ListParagraph"/>
        <w:numPr>
          <w:ilvl w:val="0"/>
          <w:numId w:val="3"/>
        </w:numPr>
        <w:spacing w:after="100"/>
      </w:pPr>
      <w:r>
        <w:rPr>
          <w:b/>
          <w:bCs/>
        </w:rPr>
        <w:t xml:space="preserve">Subprime tiers are affordability-self-defeating at full ticket. </w:t>
      </w:r>
      <w:r>
        <w:t xml:space="preserve">At triple-digit APRs, required income ($142k–$187k) exceeds the typical income of the credit band the product serves. The intersection of “subprime score” and “income high enough to afford the payment” is small.</w:t>
      </w:r>
    </w:p>
    <w:p>
      <w:pPr>
        <w:pStyle w:val="ListParagraph"/>
        <w:numPr>
          <w:ilvl w:val="0"/>
          <w:numId w:val="3"/>
        </w:numPr>
        <w:spacing w:after="100"/>
      </w:pPr>
      <w:r>
        <w:rPr>
          <w:b/>
          <w:bCs/>
        </w:rPr>
        <w:t xml:space="preserve">Consequence for territory math. </w:t>
      </w:r>
      <w:r>
        <w:t xml:space="preserve">Adding near-prime/subprime lenders mainly improves capture (penetration) and state coverage — it does not materially grow the defensible addressable-market count at full ticket. Keep the prime tier at the published maximum APR as the base case; treat other tiers as scenarios. Where a tier exists only in some states (rate caps), add a state availability flag rather than averaging it in.</w:t>
      </w:r>
    </w:p>
    <w:p>
      <w:pPr>
        <w:pStyle w:val="ListParagraph"/>
        <w:numPr>
          <w:ilvl w:val="0"/>
          <w:numId w:val="3"/>
        </w:numPr>
        <w:spacing w:after="100"/>
      </w:pPr>
      <w:r>
        <w:rPr>
          <w:b/>
          <w:bCs/>
        </w:rPr>
        <w:t xml:space="preserve">Adding other published lenders changes parameters, not architecture. </w:t>
      </w:r>
      <w:r>
        <w:t xml:space="preserve">Any lender that publishes consumer terms on the open web slots straight into the tier table with a public citation.</w:t>
      </w:r>
    </w:p>
    <w:p>
      <w:pPr>
        <w:pStyle w:val="Heading1"/>
      </w:pPr>
      <w:r>
        <w:t xml:space="preserve">5. The Franchise-Law Boundary: Two Lanes</w:t>
      </w:r>
    </w:p>
    <w:p>
      <w:pPr>
        <w:pStyle w:val="Heading2"/>
      </w:pPr>
      <w:r>
        <w:t xml:space="preserve">5.1 Lane 1 — internal territory design (this model’s intended use)</w:t>
      </w:r>
    </w:p>
    <w:p>
      <w:pPr>
        <w:spacing w:after="160"/>
      </w:pPr>
      <w:r>
        <w:t xml:space="preserve">Sizing and drawing protected territories for FDD Item 12 is not a financial performance representation. No FPR substantiation regime applies; the standard is general truthfulness. For this use, source hierarchy is a quality question, and this model deliberately sits at the top of it: federal statistical agencies (Census, FRED) → federal regulators (FTC) → SEC filings → national credit bureaus (Experian) → established nonprofit research (Urban Institute) → trade publications (corroboration only, never sole support).</w:t>
      </w:r>
    </w:p>
    <w:p>
      <w:pPr>
        <w:pStyle w:val="Heading2"/>
      </w:pPr>
      <w:r>
        <w:t xml:space="preserve">5.2 Lane 2 — anything shown to a prospective franchisee</w:t>
      </w:r>
    </w:p>
    <w:p>
      <w:pPr>
        <w:spacing w:after="160"/>
      </w:pPr>
      <w:r>
        <w:t xml:space="preserve">The FTC Rule defines an FPR to include </w:t>
      </w:r>
      <w:r>
        <w:rPr>
          <w:i/>
          <w:iCs/>
        </w:rPr>
        <w:t xml:space="preserve">“a chart, table, or mathematical calculation that shows possible results based on a combination of variables”</w:t>
      </w:r>
      <w:r>
        <w:t xml:space="preserve"> concerning sales, income, or profits (16 CFR 436.1(e)). The Territory Calculator’s output — supportable locations from customers-per-location — multiplied by package price implies a revenue level. Shown to a prospect, it is likely an implied FPR, triggering Item 19: reasonable basis + written substantiation, available to prospects on request. Source: </w:t>
      </w:r>
      <w:hyperlink w:history="1" r:id="rId4zf5o5y2jokkg127ejoip">
        <w:r>
          <w:rPr>
            <w:rStyle w:val="Hyperlink"/>
          </w:rPr>
          <w:t xml:space="preserve">16 CFR Part 436</w:t>
        </w:r>
      </w:hyperlink>
      <w:r>
        <w:t xml:space="preserve"> and the </w:t>
      </w:r>
      <w:hyperlink w:history="1" r:id="rIdjo55utpgpwvc0nf5k54vb">
        <w:r>
          <w:rPr>
            <w:rStyle w:val="Hyperlink"/>
          </w:rPr>
          <w:t xml:space="preserve">FTC Franchise Rule Compliance Guide (May 2008)</w:t>
        </w:r>
      </w:hyperlink>
      <w:r>
        <w:t xml:space="preserve">.</w:t>
      </w:r>
    </w:p>
    <w:p>
      <w:pPr>
        <w:spacing w:after="160"/>
      </w:pPr>
      <w:r>
        <w:rPr>
          <w:b/>
          <w:bCs/>
        </w:rPr>
        <w:t xml:space="preserve">And here is the critical constraint: </w:t>
      </w:r>
      <w:r>
        <w:t xml:space="preserve">under NASAA’s FPR Commentary (adopted May 8, 2017, applied by state franchise examiners), projections must be based on historical data of the brand being offered — Q19.19 — and Q19.20 states a projection </w:t>
      </w:r>
      <w:r>
        <w:rPr>
          <w:i/>
          <w:iCs/>
        </w:rPr>
        <w:t xml:space="preserve">“may not be based on the results of other brands … or on industry reports.”</w:t>
      </w:r>
      <w:r>
        <w:t xml:space="preserve"> This means no third-party statistic — not this memo’s Census data, not a university study, not a commercial blog — can substantiate an earnings projection to a prospect. Source quality is irrelevant in Lane 2; only the brand’s own outlet history qualifies. Source: </w:t>
      </w:r>
      <w:hyperlink w:history="1" r:id="rIdl0xcsysnl-p_f15mmd4wl">
        <w:r>
          <w:rPr>
            <w:rStyle w:val="Hyperlink"/>
          </w:rPr>
          <w:t xml:space="preserve">NASAA FPR Commentary (PDF)</w:t>
        </w:r>
      </w:hyperlink>
      <w:r>
        <w:t xml:space="preserve">.</w:t>
      </w:r>
    </w:p>
    <w:p>
      <w:pPr>
        <w:pStyle w:val="Heading2"/>
      </w:pPr>
      <w:r>
        <w:t xml:space="preserve">5.3 Practical rules</w:t>
      </w:r>
    </w:p>
    <w:p>
      <w:pPr>
        <w:pStyle w:val="ListParagraph"/>
        <w:numPr>
          <w:ilvl w:val="0"/>
          <w:numId w:val="3"/>
        </w:numPr>
        <w:spacing w:after="100"/>
      </w:pPr>
      <w:r>
        <w:t xml:space="preserve">Use this model to design territories and document the Item 12 methodology. Keep the calculator internal.</w:t>
      </w:r>
    </w:p>
    <w:p>
      <w:pPr>
        <w:pStyle w:val="ListParagraph"/>
        <w:numPr>
          <w:ilvl w:val="0"/>
          <w:numId w:val="3"/>
        </w:numPr>
        <w:spacing w:after="100"/>
      </w:pPr>
      <w:r>
        <w:t xml:space="preserve">If prospects ask “how big is my market,” route the answer through franchise counsel; if an FPR is made, build it from actual outlet P&amp;Ls with NASAA-compliant admonitions — the affordability model may inform territory design that sits behind it, but cannot be the projection’s basis.</w:t>
      </w:r>
    </w:p>
    <w:p>
      <w:pPr>
        <w:pStyle w:val="ListParagraph"/>
        <w:numPr>
          <w:ilvl w:val="0"/>
          <w:numId w:val="3"/>
        </w:numPr>
        <w:spacing w:after="100"/>
      </w:pPr>
      <w:r>
        <w:t xml:space="preserve">Answer to the source-hierarchy question directly: a commercial blog vs. a university paper matters in Lane 1 (prefer the top of the hierarchy; this memo already does), and matters not at all in Lane 2 — where both are equally impermissible as projection substantiation.</w:t>
      </w:r>
    </w:p>
    <w:p>
      <w:pPr>
        <w:pStyle w:val="Heading1"/>
      </w:pPr>
      <w:r>
        <w:t xml:space="preserve">6. Known Limitations — Stated Before Anyone Else Finds Them</w:t>
      </w:r>
    </w:p>
    <w:p>
      <w:pPr>
        <w:pStyle w:val="ListParagraph"/>
        <w:numPr>
          <w:ilvl w:val="0"/>
          <w:numId w:val="2"/>
        </w:numPr>
        <w:spacing w:after="100"/>
      </w:pPr>
      <w:r>
        <w:rPr>
          <w:b/>
          <w:bCs/>
        </w:rPr>
        <w:t xml:space="preserve">Mixed units. </w:t>
      </w:r>
      <w:r>
        <w:t xml:space="preserve">The income screen counts households; the credit screen measures scoreable consumers. The model treats them as independent screens on the same base. Because income and credit score are positively correlated, multiplying the two marginal shares understates the true jointly-qualified share — the error runs conservative, and is disclosed rather than hidden.</w:t>
      </w:r>
    </w:p>
    <w:p>
      <w:pPr>
        <w:pStyle w:val="ListParagraph"/>
        <w:numPr>
          <w:ilvl w:val="0"/>
          <w:numId w:val="2"/>
        </w:numPr>
        <w:spacing w:after="100"/>
      </w:pPr>
      <w:r>
        <w:rPr>
          <w:b/>
          <w:bCs/>
        </w:rPr>
        <w:t xml:space="preserve">National credit distribution, local application. </w:t>
      </w:r>
      <w:r>
        <w:t xml:space="preserve">Credit bureaus do not publish county-level score distributions. Mitigation: the state-adjusted estimate (Appendix) shifts the national band distribution by each state’s published average-score differential — two verified inputs, one transparent approximation, formula disclosed and reproducible. A state at the 713 national average returns exactly the national 70.4%.</w:t>
      </w:r>
    </w:p>
    <w:p>
      <w:pPr>
        <w:pStyle w:val="ListParagraph"/>
        <w:numPr>
          <w:ilvl w:val="0"/>
          <w:numId w:val="2"/>
        </w:numPr>
        <w:spacing w:after="100"/>
      </w:pPr>
      <w:r>
        <w:rPr>
          <w:b/>
          <w:bCs/>
        </w:rPr>
        <w:t xml:space="preserve">PTI is a convention, not a regulation. </w:t>
      </w:r>
      <w:r>
        <w:t xml:space="preserve">8% is a stated modeling choice. The model ships with 5%/8%/10% sensitivity; whichever is used must be disclosed. No source is claimed for the number itself — that honesty is the defense.</w:t>
      </w:r>
    </w:p>
    <w:p>
      <w:pPr>
        <w:pStyle w:val="ListParagraph"/>
        <w:numPr>
          <w:ilvl w:val="0"/>
          <w:numId w:val="2"/>
        </w:numPr>
        <w:spacing w:after="100"/>
      </w:pPr>
      <w:r>
        <w:rPr>
          <w:b/>
          <w:bCs/>
        </w:rPr>
        <w:t xml:space="preserve">Affordability ≠ demand. </w:t>
      </w:r>
      <w:r>
        <w:t xml:space="preserve">The model sizes ability to pay, not demand for the service. All demand assumptions (penetration, customers per location) must come from actual outlet history — which is also the only NASAA-permissible basis for any prospect-facing projection. The two requirements point to the same discipline.</w:t>
      </w:r>
    </w:p>
    <w:p>
      <w:pPr>
        <w:pStyle w:val="ListParagraph"/>
        <w:numPr>
          <w:ilvl w:val="0"/>
          <w:numId w:val="2"/>
        </w:numPr>
        <w:spacing w:after="100"/>
      </w:pPr>
      <w:r>
        <w:rPr>
          <w:b/>
          <w:bCs/>
        </w:rPr>
        <w:t xml:space="preserve">Score threshold ≠ approval. </w:t>
      </w:r>
      <w:r>
        <w:t xml:space="preserve">FICO ≥ 670 is a proxy for financing eligibility, not an approval rate. Actual approvals depend on lender underwriting (DTI, verification, tradelines). The model makes no approval-rate claim, and none should be added from any non-public source.</w:t>
      </w:r>
    </w:p>
    <w:p>
      <w:pPr>
        <w:pStyle w:val="ListParagraph"/>
        <w:numPr>
          <w:ilvl w:val="0"/>
          <w:numId w:val="2"/>
        </w:numPr>
        <w:spacing w:after="100"/>
      </w:pPr>
      <w:r>
        <w:rPr>
          <w:b/>
          <w:bCs/>
        </w:rPr>
        <w:t xml:space="preserve">Data vintages differ. </w:t>
      </w:r>
      <w:r>
        <w:t xml:space="preserve">Credit data: September 2025. State income: 2024. County income (B19001): ACS 5-year estimates for smaller geographies (2019–2023 window). Date-stamp every input; refresh annually.</w:t>
      </w:r>
    </w:p>
    <w:p>
      <w:pPr>
        <w:pStyle w:val="ListParagraph"/>
        <w:numPr>
          <w:ilvl w:val="0"/>
          <w:numId w:val="2"/>
        </w:numPr>
        <w:spacing w:after="100"/>
      </w:pPr>
      <w:r>
        <w:rPr>
          <w:b/>
          <w:bCs/>
        </w:rPr>
        <w:t xml:space="preserve">The composite score is a screening device. </w:t>
      </w:r>
      <w:r>
        <w:t xml:space="preserve">The 50/50 percentile blend in the state screen ranks markets for prioritization. It carries no substantiation weight and should never appear in prospect-facing material.</w:t>
      </w:r>
    </w:p>
    <w:p>
      <w:pPr>
        <w:pStyle w:val="ListParagraph"/>
        <w:numPr>
          <w:ilvl w:val="0"/>
          <w:numId w:val="2"/>
        </w:numPr>
        <w:spacing w:after="100"/>
      </w:pPr>
      <w:r>
        <w:rPr>
          <w:b/>
          <w:bCs/>
        </w:rPr>
        <w:t xml:space="preserve">Top-bracket interpolation. </w:t>
      </w:r>
      <w:r>
        <w:t xml:space="preserve">The calculator interpolates within Census brackets; if required income lands in the open $200k+ bracket, use tract-level tables instead (noted in the tool).</w:t>
      </w:r>
    </w:p>
    <w:p>
      <w:pPr>
        <w:pStyle w:val="ListParagraph"/>
        <w:numPr>
          <w:ilvl w:val="0"/>
          <w:numId w:val="2"/>
        </w:numPr>
        <w:spacing w:after="100"/>
      </w:pPr>
      <w:r>
        <w:rPr>
          <w:b/>
          <w:bCs/>
        </w:rPr>
        <w:t xml:space="preserve">One package per household. </w:t>
      </w:r>
      <w:r>
        <w:t xml:space="preserve">Households are the counting unit although the purchase is individual; multi-adult households could yield more than one customer. Conservative direction, disclosed.</w:t>
      </w:r>
    </w:p>
    <w:p>
      <w:pPr>
        <w:pStyle w:val="Heading1"/>
      </w:pPr>
      <w:r>
        <w:t xml:space="preserve">7. Methodology Hygiene</w:t>
      </w:r>
    </w:p>
    <w:p>
      <w:pPr>
        <w:pStyle w:val="ListParagraph"/>
        <w:numPr>
          <w:ilvl w:val="0"/>
          <w:numId w:val="3"/>
        </w:numPr>
        <w:spacing w:after="100"/>
      </w:pPr>
      <w:r>
        <w:t xml:space="preserve">Aggregate statistics only — no individual creditworthiness evaluation (FCRA not implicated); all credit decisions remain with lenders at application.</w:t>
      </w:r>
    </w:p>
    <w:p>
      <w:pPr>
        <w:pStyle w:val="ListParagraph"/>
        <w:numPr>
          <w:ilvl w:val="0"/>
          <w:numId w:val="3"/>
        </w:numPr>
        <w:spacing w:after="100"/>
      </w:pPr>
      <w:r>
        <w:t xml:space="preserve">Income and credit variables only — no demographic attributes or proxies in territory design.</w:t>
      </w:r>
    </w:p>
    <w:p>
      <w:pPr>
        <w:pStyle w:val="ListParagraph"/>
        <w:numPr>
          <w:ilvl w:val="0"/>
          <w:numId w:val="3"/>
        </w:numPr>
        <w:spacing w:after="100"/>
      </w:pPr>
      <w:r>
        <w:t xml:space="preserve">State the term with the APR, always.</w:t>
      </w:r>
    </w:p>
    <w:p>
      <w:pPr>
        <w:pStyle w:val="ListParagraph"/>
        <w:numPr>
          <w:ilvl w:val="0"/>
          <w:numId w:val="3"/>
        </w:numPr>
        <w:spacing w:after="100"/>
      </w:pPr>
      <w:r>
        <w:t xml:space="preserve">Keep a dated substantiation file of the public pages behind every input (print-to-PDF each source annually).</w:t>
      </w:r>
    </w:p>
    <w:p>
      <w:r>
        <w:br w:type="page"/>
      </w:r>
    </w:p>
    <w:p>
      <w:pPr>
        <w:pStyle w:val="Heading1"/>
      </w:pPr>
      <w:r>
        <w:t xml:space="preserve">Appendix: State Table</w:t>
      </w:r>
    </w:p>
    <w:p>
      <w:pPr>
        <w:spacing w:after="160"/>
      </w:pPr>
      <w:r>
        <w:rPr>
          <w:color w:val="666666"/>
          <w:sz w:val="18"/>
          <w:szCs w:val="18"/>
        </w:rPr>
        <w:t xml:space="preserve">Columns 1–3 are published data (Experian, Sept 2025; Census via FRED, 2024). Column 4 is a DERIVED ESTIMATE: national FICO band distribution shifted by the state’s average-score differential vs. the 713 national average, interpolated uniformly within bands. Sanity check: a state at 713 returns 70.4%, the national share ≥670.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260"/>
        <w:gridCol w:w="2100"/>
      </w:tblGrid>
      <w:tr>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State</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Avg FICO (Sept 2025)</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Median HH Income (2024)</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6"/>
                <w:szCs w:val="16"/>
              </w:rPr>
              <w:t xml:space="preserve">Est. share ≥670 (derived)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Alabama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689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$65,560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63.5%</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Alaska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$91,260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71.6%</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Arizona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$84,700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69.3%</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Arkansas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$64,840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64.7%</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California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$100,600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71.7%</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Colorado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$106,500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73.0%</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Connecticut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$99,240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72.2%</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Delaware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$85,860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District of Columbia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$104,800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69.8%</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Florida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$75,630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67.8%</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Georgia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$81,210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64.4%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Hawaii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$98,240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73.2%</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Idaho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$81,650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73.0%</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Illinois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$84,210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71.6%</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Indiana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$76,710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69.5%</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Iowa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$85,480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72.9%</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Kansas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$87,690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71.6%</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Kentucky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$64,790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67.8%</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Louisiana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686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$60,740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62.6%</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Maine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$90,730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Maryland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$109,700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70.6%</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Massachusetts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$113,900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Michigan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$79,460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71.1%</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Minnesota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741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$92,350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75.0%</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Mississippi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677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$55,980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60.1%</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Missouri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$78,390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70.1%</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Montana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$81,920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73.2%</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Nebraska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$86,140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72.9%</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Nevada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$80,590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66.4%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New Hampshire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$111,800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74.0%</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New Jersey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$103,500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71.9%</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New Mexico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$64,140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67.0%</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New York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$86,830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North Carolina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$67,220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68.7%</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North Dakota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$88,080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73.2%</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Ohio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$80,520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Oklahoma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$65,310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64.7%</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Oregon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$89,700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73.2%</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Pennsylvania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$80,060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71.6%</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Rhode Island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$92,290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South Carolina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$76,780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66.4%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South Dakota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$79,850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Tennessee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703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$75,860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67.5%</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Texas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$81,490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64.4%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Utah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$104,000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72.9%</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Vermont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$85,260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74.4%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Virginia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$97,720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71.7%</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Washington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$97,500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73.9%</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West Virginia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699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$63,150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66.4%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Wisconsin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737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$82,560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74.4%</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Wyoming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722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$78,680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71.9%</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80"/>
      <w:outlineLvl w:val="0"/>
    </w:pPr>
    <w:rPr>
      <w:rFonts w:ascii="Arial" w:cs="Arial" w:eastAsia="Arial" w:hAnsi="Arial"/>
      <w:b/>
      <w:bCs/>
      <w:sz w:val="30"/>
      <w:szCs w:val="30"/>
    </w:rPr>
  </w:style>
  <w:style w:type="paragraph" w:styleId="Heading2">
    <w:name w:val="Heading 2"/>
    <w:basedOn w:val="Normal"/>
    <w:next w:val="Normal"/>
    <w:pPr>
      <w:spacing w:after="16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lvrmh2wguserkukzeokd" Type="http://schemas.openxmlformats.org/officeDocument/2006/relationships/hyperlink" Target="https://avvance.usbank.com/index.html" TargetMode="External"/><Relationship Id="rIdkz8ncwi9ejqqkzlbtfjp1" Type="http://schemas.openxmlformats.org/officeDocument/2006/relationships/hyperlink" Target="https://www.nerdwallet.com/personal-loans/learn/average-personal-loan-rates" TargetMode="External"/><Relationship Id="rIdnbgqibxxnyzjk-obbqs5n" Type="http://schemas.openxmlformats.org/officeDocument/2006/relationships/hyperlink" Target="https://www.experian.com/blogs/ask-experian/what-is-the-average-credit-score-in-the-u-s/" TargetMode="External"/><Relationship Id="rIdtnsun5hnjqpwwx284pni_" Type="http://schemas.openxmlformats.org/officeDocument/2006/relationships/hyperlink" Target="https://fred.stlouisfed.org/release/tables?eid=259515&amp;rid=249" TargetMode="External"/><Relationship Id="rId0c1jhqdkyf3h9s6gld6je" Type="http://schemas.openxmlformats.org/officeDocument/2006/relationships/hyperlink" Target="https://www.census.gov/library/publications/2025/acs/acsbr-025.html" TargetMode="External"/><Relationship Id="rIdh3sfjdstwqosguj7xu_v6" Type="http://schemas.openxmlformats.org/officeDocument/2006/relationships/hyperlink" Target="https://data.census.gov/table?q=B19001" TargetMode="External"/><Relationship Id="rIdqtntb_qjxwiwxhip2ohah" Type="http://schemas.openxmlformats.org/officeDocument/2006/relationships/hyperlink" Target="https://apps.urban.org/features/debt-interactive-map/" TargetMode="External"/><Relationship Id="rId0nclpg72ws2mse7u54x0l" Type="http://schemas.openxmlformats.org/officeDocument/2006/relationships/hyperlink" Target="https://www.sec.gov/Archives/edgar/data/0001712923/000171292320000010/gsky-20191231.htm" TargetMode="External"/><Relationship Id="rIdnj94km4soazajhjyvtley" Type="http://schemas.openxmlformats.org/officeDocument/2006/relationships/hyperlink" Target="https://oneclickcontractor.com/blog/dealer-fees-financing-contractor" TargetMode="External"/><Relationship Id="rId4zf5o5y2jokkg127ejoip" Type="http://schemas.openxmlformats.org/officeDocument/2006/relationships/hyperlink" Target="https://www.ecfr.gov/current/title-16/chapter-I/subchapter-D/part-436" TargetMode="External"/><Relationship Id="rIdjo55utpgpwvc0nf5k54vb" Type="http://schemas.openxmlformats.org/officeDocument/2006/relationships/hyperlink" Target="https://www.ftc.gov/system/files/documents/plain-language/bus70-franchise-rule-compliance-guide.pdf" TargetMode="External"/><Relationship Id="rIdl0xcsysnl-p_f15mmd4wl" Type="http://schemas.openxmlformats.org/officeDocument/2006/relationships/hyperlink" Target="https://www.nasaa.org/wp-content/uploads/2017/05/Financial-Performance-Representation-Commentary.pdf"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2026-07-03T01:09:38.666Z</dcterms:created>
  <dcterms:modified xsi:type="dcterms:W3CDTF">2026-07-03T01:09:38.666Z</dcterms:modified>
</cp:coreProperties>
</file>

<file path=docProps/custom.xml><?xml version="1.0" encoding="utf-8"?>
<Properties xmlns="http://schemas.openxmlformats.org/officeDocument/2006/custom-properties" xmlns:vt="http://schemas.openxmlformats.org/officeDocument/2006/docPropsVTypes"/>
</file>