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Plaid Security Diligence Questionnaire — Prepared Responses</w:t>
      </w:r>
    </w:p>
    <w:p>
      <w:pPr>
        <w:pStyle w:val="Author"/>
      </w:pPr>
      <w:r>
        <w:t xml:space="preserve">Naviio, Inc.</w:t>
      </w:r>
    </w:p>
    <w:p>
      <w:pPr>
        <w:pStyle w:val="Heading1"/>
      </w:pPr>
      <w:bookmarkStart w:id="20" w:name="Xc113032d3e62266ca9335829cc955cb4b2eeb5e"/>
      <w:r>
        <w:t xml:space="preserve">Plaid Security Diligence Questionnaire — Prepared Responses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SEC-QRA-001</w:t>
      </w:r>
      <w:r>
        <w:br/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Effective:</w:t>
      </w:r>
      <w:r>
        <w:t xml:space="preserve"> </w:t>
      </w:r>
      <w:r>
        <w:t xml:space="preserve">June 9, 2026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Eric Franco, CEO</w:t>
      </w:r>
      <w:r>
        <w:br/>
      </w:r>
      <w:r>
        <w:rPr>
          <w:b/>
        </w:rPr>
        <w:t xml:space="preserve">Next Review:</w:t>
      </w:r>
      <w:r>
        <w:t xml:space="preserve"> </w:t>
      </w:r>
      <w:r>
        <w:t xml:space="preserve">December 9,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Active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use-this-document"/>
      <w:r>
        <w:t xml:space="preserve">How to use this document</w:t>
      </w:r>
      <w:bookmarkEnd w:id="21"/>
    </w:p>
    <w:p>
      <w:pPr>
        <w:pStyle w:val="FirstParagraph"/>
      </w:pPr>
      <w:r>
        <w:t xml:space="preserve">Plaid's diligence questionnaire is organized around the eleven control domains in its</w:t>
      </w:r>
      <w:r>
        <w:t xml:space="preserve"> </w:t>
      </w:r>
      <w:r>
        <w:rPr>
          <w:i/>
        </w:rPr>
        <w:t xml:space="preserve">Security Best Practices Guide</w:t>
      </w:r>
      <w:r>
        <w:t xml:space="preserve">. This document provides a prepared, citeable answer for</w:t>
      </w:r>
      <w:r>
        <w:t xml:space="preserve"> </w:t>
      </w:r>
      <w:r>
        <w:t xml:space="preserve">each, mapped to Naviio's policies so they can be attached as reference documents. Per</w:t>
      </w:r>
      <w:r>
        <w:t xml:space="preserve"> </w:t>
      </w:r>
      <w:r>
        <w:t xml:space="preserve">Plaid's guidance, every item is answered; where a control is scale-appropriate rather than</w:t>
      </w:r>
      <w:r>
        <w:t xml:space="preserve"> </w:t>
      </w:r>
      <w:r>
        <w:t xml:space="preserve">fully matured, that is stated honestly rather than overclaimed.</w:t>
      </w:r>
    </w:p>
    <w:p>
      <w:pPr>
        <w:pStyle w:val="BodyText"/>
      </w:pPr>
      <w:r>
        <w:rPr>
          <w:b/>
        </w:rPr>
        <w:t xml:space="preserve">Before submitting, fill every</w:t>
      </w:r>
      <w:r>
        <w:rPr>
          <w:b/>
        </w:rPr>
        <w:t xml:space="preserve"> </w:t>
      </w:r>
      <w:r>
        <w:rPr>
          <w:rStyle w:val="VerbatimChar"/>
          <w:b/>
        </w:rPr>
        <w:t xml:space="preserve">[bracketed]</w:t>
      </w:r>
      <w:r>
        <w:rPr>
          <w:b/>
        </w:rPr>
        <w:t xml:space="preserve"> </w:t>
      </w:r>
      <w:r>
        <w:rPr>
          <w:b/>
        </w:rPr>
        <w:t xml:space="preserve">field</w:t>
      </w:r>
      <w:r>
        <w:t xml:space="preserve"> </w:t>
      </w:r>
      <w:r>
        <w:t xml:space="preserve">— these are facts only the company can</w:t>
      </w:r>
      <w:r>
        <w:t xml:space="preserve"> </w:t>
      </w:r>
      <w:r>
        <w:t xml:space="preserve">supply (legal identity, EIN, headcount). Attach the cited policy files as references.</w:t>
      </w:r>
    </w:p>
    <w:p>
      <w:pPr>
        <w:pStyle w:val="BodyText"/>
      </w:pPr>
      <w:r>
        <w:t xml:space="preserve">Reference documents:</w:t>
      </w:r>
      <w:r>
        <w:t xml:space="preserve"> </w:t>
      </w:r>
      <w:r>
        <w:rPr>
          <w:rStyle w:val="VerbatimChar"/>
        </w:rPr>
        <w:t xml:space="preserve">SEC-POL-001</w:t>
      </w:r>
      <w:r>
        <w:t xml:space="preserve"> </w:t>
      </w:r>
      <w:r>
        <w:t xml:space="preserve">(Information Security Policy),</w:t>
      </w:r>
      <w:r>
        <w:t xml:space="preserve"> </w:t>
      </w:r>
      <w:r>
        <w:rPr>
          <w:rStyle w:val="VerbatimChar"/>
        </w:rPr>
        <w:t xml:space="preserve">SEC-POL-002</w:t>
      </w:r>
      <w:r>
        <w:t xml:space="preserve"> </w:t>
      </w:r>
      <w:r>
        <w:t xml:space="preserve">(Access</w:t>
      </w:r>
      <w:r>
        <w:t xml:space="preserve"> </w:t>
      </w:r>
      <w:r>
        <w:t xml:space="preserve">Controls Policy),</w:t>
      </w:r>
      <w:r>
        <w:t xml:space="preserve"> </w:t>
      </w:r>
      <w:r>
        <w:rPr>
          <w:rStyle w:val="VerbatimChar"/>
        </w:rPr>
        <w:t xml:space="preserve">SEC-PROC-001</w:t>
      </w:r>
      <w:r>
        <w:t xml:space="preserve"> </w:t>
      </w:r>
      <w:r>
        <w:t xml:space="preserve">(Data Handling Procedures),</w:t>
      </w:r>
      <w:r>
        <w:t xml:space="preserve"> </w:t>
      </w:r>
      <w:r>
        <w:rPr>
          <w:rStyle w:val="VerbatimChar"/>
        </w:rPr>
        <w:t xml:space="preserve">SEC-POL-003</w:t>
      </w:r>
      <w:r>
        <w:t xml:space="preserve"> </w:t>
      </w:r>
      <w:r>
        <w:t xml:space="preserve">(Data Retention &amp;</w:t>
      </w:r>
      <w:r>
        <w:t xml:space="preserve"> </w:t>
      </w:r>
      <w:r>
        <w:t xml:space="preserve">Disposal),</w:t>
      </w:r>
      <w:r>
        <w:t xml:space="preserve"> </w:t>
      </w:r>
      <w:r>
        <w:rPr>
          <w:rStyle w:val="VerbatimChar"/>
        </w:rPr>
        <w:t xml:space="preserve">SEC-IRP-001</w:t>
      </w:r>
      <w:r>
        <w:t xml:space="preserve"> </w:t>
      </w:r>
      <w:r>
        <w:t xml:space="preserve">(Incident Response Plan),</w:t>
      </w:r>
      <w:r>
        <w:t xml:space="preserve"> </w:t>
      </w:r>
      <w:r>
        <w:rPr>
          <w:rStyle w:val="VerbatimChar"/>
        </w:rPr>
        <w:t xml:space="preserve">SEC-ATT-001</w:t>
      </w:r>
      <w:r>
        <w:t xml:space="preserve"> </w:t>
      </w:r>
      <w:r>
        <w:t xml:space="preserve">(Plaid Attestations),</w:t>
      </w:r>
      <w:r>
        <w:t xml:space="preserve"> </w:t>
      </w:r>
      <w:r>
        <w:rPr>
          <w:rStyle w:val="VerbatimChar"/>
        </w:rPr>
        <w:t xml:space="preserve">SEC-MAP-001</w:t>
      </w:r>
      <w:r>
        <w:t xml:space="preserve"> </w:t>
      </w:r>
      <w:r>
        <w:t xml:space="preserve">(Diligence Coverage Map), and the published Privacy Policy at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ba05582b245def399000c348d91e45223499ec7"/>
      <w:r>
        <w:t xml:space="preserve">0. Company and legal</w:t>
      </w:r>
      <w:bookmarkEnd w:id="22"/>
    </w:p>
    <w:p>
      <w:pPr>
        <w:pStyle w:val="FirstParagraph"/>
      </w:pPr>
      <w:r>
        <w:rPr>
          <w:b/>
        </w:rPr>
        <w:t xml:space="preserve">Legal entity name:</w:t>
      </w:r>
      <w:r>
        <w:t xml:space="preserve"> </w:t>
      </w:r>
      <w:r>
        <w:t xml:space="preserve">[Naviio, Inc. — confirm exact registered name]</w:t>
      </w:r>
      <w:r>
        <w:t xml:space="preserve"> </w:t>
      </w:r>
      <w:r>
        <w:rPr>
          <w:b/>
        </w:rPr>
        <w:t xml:space="preserve">EIN / US tax ID:</w:t>
      </w:r>
      <w:r>
        <w:t xml:space="preserve"> </w:t>
      </w:r>
      <w:r>
        <w:t xml:space="preserve">[__-_______]</w:t>
      </w:r>
      <w:r>
        <w:t xml:space="preserve"> </w:t>
      </w:r>
      <w:r>
        <w:rPr>
          <w:i/>
        </w:rPr>
        <w:t xml:space="preserve">(Plaid uses this for identity and reputation checks.)</w:t>
      </w:r>
      <w:r>
        <w:t xml:space="preserve"> </w:t>
      </w:r>
      <w:r>
        <w:rPr>
          <w:b/>
        </w:rPr>
        <w:t xml:space="preserve">State / date of incorporation:</w:t>
      </w:r>
      <w:r>
        <w:t xml:space="preserve"> </w:t>
      </w:r>
      <w:r>
        <w:t xml:space="preserve">[state], [date]</w:t>
      </w:r>
      <w:r>
        <w:t xml:space="preserve"> </w:t>
      </w:r>
      <w:r>
        <w:rPr>
          <w:b/>
        </w:rPr>
        <w:t xml:space="preserve">Primary product:</w:t>
      </w:r>
      <w:r>
        <w:t xml:space="preserve"> </w:t>
      </w:r>
      <w:r>
        <w:t xml:space="preserve">A financial-intelligence dashboard that connects a business's bank</w:t>
      </w:r>
      <w:r>
        <w:t xml:space="preserve"> </w:t>
      </w:r>
      <w:r>
        <w:t xml:space="preserve">(via Plaid), payments (Stripe), and accounting (QuickBooks/Xero) data to produce a</w:t>
      </w:r>
      <w:r>
        <w:t xml:space="preserve"> </w:t>
      </w:r>
      <w:r>
        <w:t xml:space="preserve">real-time P&amp;L, cash-flow, and KPI view.</w:t>
      </w:r>
      <w:r>
        <w:t xml:space="preserve"> </w:t>
      </w:r>
      <w:r>
        <w:rPr>
          <w:b/>
        </w:rPr>
        <w:t xml:space="preserve">Where Plaid Link is deployed:</w:t>
      </w:r>
      <w:r>
        <w:t xml:space="preserve"> </w:t>
      </w:r>
      <w:r>
        <w:t xml:space="preserve">The authenticated Naviio web application (Integrations tab).</w:t>
      </w:r>
      <w:r>
        <w:t xml:space="preserve"> </w:t>
      </w:r>
      <w:r>
        <w:rPr>
          <w:b/>
        </w:rPr>
        <w:t xml:space="preserve">Do you have a SOC 2?</w:t>
      </w:r>
      <w:r>
        <w:t xml:space="preserve"> </w:t>
      </w:r>
      <w:r>
        <w:t xml:space="preserve">[No — not yet obtained / In progress, expected [date]]. Not required</w:t>
      </w:r>
      <w:r>
        <w:t xml:space="preserve"> </w:t>
      </w:r>
      <w:r>
        <w:t xml:space="preserve">for this process; this questionnaire stands on its own.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fde77c07b6f082878cc7ec244d8f6c16ff10479"/>
      <w:r>
        <w:t xml:space="preserve">1. Information Security Governance</w:t>
      </w:r>
      <w:bookmarkEnd w:id="23"/>
    </w:p>
    <w:p>
      <w:pPr>
        <w:pStyle w:val="FirstParagraph"/>
      </w:pPr>
      <w:r>
        <w:rPr>
          <w:b/>
        </w:rPr>
        <w:t xml:space="preserve">Q: Do you have a documented, approved information security policy? Who owns it?</w:t>
      </w:r>
      <w:r>
        <w:t xml:space="preserve"> </w:t>
      </w:r>
      <w:r>
        <w:t xml:space="preserve">Yes. Naviio maintains a documented Information Security Policy (</w:t>
      </w:r>
      <w:r>
        <w:rPr>
          <w:rStyle w:val="VerbatimChar"/>
        </w:rPr>
        <w:t xml:space="preserve">SEC-POL-001</w:t>
      </w:r>
      <w:r>
        <w:t xml:space="preserve">), approved and</w:t>
      </w:r>
      <w:r>
        <w:t xml:space="preserve"> </w:t>
      </w:r>
      <w:r>
        <w:t xml:space="preserve">owned by the CEO, Eric Franco, and reviewed at least annually or after any significant</w:t>
      </w:r>
      <w:r>
        <w:t xml:space="preserve"> </w:t>
      </w:r>
      <w:r>
        <w:t xml:space="preserve">incident or material change. It is supported by topic-specific policies for access control,</w:t>
      </w:r>
      <w:r>
        <w:t xml:space="preserve"> </w:t>
      </w:r>
      <w:r>
        <w:t xml:space="preserve">data handling, retention/disposal, and incident response.</w:t>
      </w:r>
    </w:p>
    <w:p>
      <w:pPr>
        <w:pStyle w:val="BodyText"/>
      </w:pPr>
      <w:r>
        <w:rPr>
          <w:b/>
        </w:rPr>
        <w:t xml:space="preserve">Q: Who is responsible for security?</w:t>
      </w:r>
      <w:r>
        <w:t xml:space="preserve"> </w:t>
      </w:r>
      <w:r>
        <w:t xml:space="preserve">Security is owned at the executive level by the CEO. At current headcount ([N] employees),</w:t>
      </w:r>
      <w:r>
        <w:t xml:space="preserve"> </w:t>
      </w:r>
      <w:r>
        <w:t xml:space="preserve">there is not a dedicated security team; security responsibilities are centralized with the</w:t>
      </w:r>
      <w:r>
        <w:t xml:space="preserve"> </w:t>
      </w:r>
      <w:r>
        <w:t xml:space="preserve">CEO/Engineering Lead, and a dedicated function will be established as the team scales.</w:t>
      </w:r>
    </w:p>
    <w:p>
      <w:pPr>
        <w:pStyle w:val="BodyText"/>
      </w:pPr>
      <w:r>
        <w:rPr>
          <w:i/>
        </w:rPr>
        <w:t xml:space="preserve">Reference: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SEC-POL-001</w:t>
      </w:r>
      <w:r>
        <w:rPr>
          <w:i/>
        </w:rPr>
        <w:t xml:space="preserve">.</w:t>
      </w:r>
    </w:p>
    <w:p>
      <w:pPr>
        <w:pStyle w:val="Heading2"/>
      </w:pPr>
      <w:bookmarkStart w:id="24" w:name="Xcd0556ba1b204972a18e5115e44b93cde842d80"/>
      <w:r>
        <w:t xml:space="preserve">2. Access Management</w:t>
      </w:r>
      <w:bookmarkEnd w:id="24"/>
    </w:p>
    <w:p>
      <w:pPr>
        <w:pStyle w:val="FirstParagraph"/>
      </w:pPr>
      <w:r>
        <w:rPr>
          <w:b/>
        </w:rPr>
        <w:t xml:space="preserve">Q: How is access to sensitive systems and data controlled?</w:t>
      </w:r>
      <w:r>
        <w:t xml:space="preserve"> </w:t>
      </w:r>
      <w:r>
        <w:t xml:space="preserve">Access follows least privilege across defined tiers (T1–T5) in the Access Controls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SEC-POL-002</w:t>
      </w:r>
      <w:r>
        <w:t xml:space="preserve">). Access to production systems and customer financial data requires</w:t>
      </w:r>
      <w:r>
        <w:t xml:space="preserve"> </w:t>
      </w:r>
      <w:r>
        <w:t xml:space="preserve">documented approval, is reviewed quarterly, and is revoked within</w:t>
      </w:r>
      <w:r>
        <w:t xml:space="preserve"> </w:t>
      </w:r>
      <w:r>
        <w:rPr>
          <w:b/>
        </w:rPr>
        <w:t xml:space="preserve">2 hours</w:t>
      </w:r>
      <w:r>
        <w:t xml:space="preserve"> </w:t>
      </w:r>
      <w:r>
        <w:t xml:space="preserve">of termination.</w:t>
      </w:r>
    </w:p>
    <w:p>
      <w:pPr>
        <w:pStyle w:val="BodyText"/>
      </w:pPr>
      <w:r>
        <w:rPr>
          <w:b/>
        </w:rPr>
        <w:t xml:space="preserve">Q: What authentication controls are in place?</w:t>
      </w:r>
      <w:r>
        <w:t xml:space="preserve"> </w:t>
      </w:r>
      <w:r>
        <w:t xml:space="preserve">Strong authentication (username + password + second factor) gates access. Application</w:t>
      </w:r>
      <w:r>
        <w:t xml:space="preserve"> </w:t>
      </w:r>
      <w:r>
        <w:t xml:space="preserve">accounts support TOTP-based MFA, and</w:t>
      </w:r>
      <w:r>
        <w:t xml:space="preserve"> </w:t>
      </w:r>
      <w:r>
        <w:rPr>
          <w:b/>
        </w:rPr>
        <w:t xml:space="preserve">MFA is enforced at login</w:t>
      </w:r>
      <w:r>
        <w:t xml:space="preserve"> </w:t>
      </w:r>
      <w:r>
        <w:t xml:space="preserve">— when enabled, a valid</w:t>
      </w:r>
      <w:r>
        <w:t xml:space="preserve"> </w:t>
      </w:r>
      <w:r>
        <w:t xml:space="preserve">password alone does not create a session; a second factor is required (</w:t>
      </w:r>
      <w:r>
        <w:rPr>
          <w:rStyle w:val="VerbatimChar"/>
        </w:rPr>
        <w:t xml:space="preserve">SEC-ATT-001</w:t>
      </w:r>
      <w:r>
        <w:t xml:space="preserve">, ATT-1).</w:t>
      </w:r>
      <w:r>
        <w:t xml:space="preserve"> </w:t>
      </w:r>
      <w:r>
        <w:t xml:space="preserve">Connecting a bank via Plaid Link is additionally hard-gated on MFA being enabled.</w:t>
      </w:r>
    </w:p>
    <w:p>
      <w:pPr>
        <w:pStyle w:val="BodyText"/>
      </w:pPr>
      <w:r>
        <w:rPr>
          <w:b/>
        </w:rPr>
        <w:t xml:space="preserve">Q: How are secrets/credentials managed?</w:t>
      </w:r>
      <w:r>
        <w:t xml:space="preserve"> </w:t>
      </w:r>
      <w:r>
        <w:t xml:space="preserve">Secrets and API tokens are stored exclusively in AWS Secrets Manager, never in source code</w:t>
      </w:r>
      <w:r>
        <w:t xml:space="preserve"> </w:t>
      </w:r>
      <w:r>
        <w:t xml:space="preserve">or committed config. GitHub secret scanning is enabled on all repositories; a detected secret</w:t>
      </w:r>
      <w:r>
        <w:t xml:space="preserve"> </w:t>
      </w:r>
      <w:r>
        <w:t xml:space="preserve">triggers immediate rotation and an incident log entry.</w:t>
      </w:r>
    </w:p>
    <w:p>
      <w:pPr>
        <w:pStyle w:val="BodyText"/>
      </w:pPr>
      <w:r>
        <w:rPr>
          <w:i/>
        </w:rPr>
        <w:t xml:space="preserve">References: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SEC-POL-002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SEC-ATT-001</w:t>
      </w:r>
      <w:r>
        <w:rPr>
          <w:i/>
        </w:rPr>
        <w:t xml:space="preserve">.</w:t>
      </w:r>
    </w:p>
    <w:p>
      <w:pPr>
        <w:pStyle w:val="Heading2"/>
      </w:pPr>
      <w:bookmarkStart w:id="25" w:name="X519e9603580e62ac8c2acdf765dfa773f92e97f"/>
      <w:r>
        <w:t xml:space="preserve">3. Assets Management</w:t>
      </w:r>
      <w:bookmarkEnd w:id="25"/>
    </w:p>
    <w:p>
      <w:pPr>
        <w:pStyle w:val="FirstParagraph"/>
      </w:pPr>
      <w:r>
        <w:rPr>
          <w:b/>
        </w:rPr>
        <w:t xml:space="preserve">Q: How do you track assets and manage vulnerabilities?</w:t>
      </w:r>
      <w:r>
        <w:t xml:space="preserve"> </w:t>
      </w:r>
      <w:r>
        <w:t xml:space="preserve">A register of production assets (cloud accounts/infrastructure, SaaS systems holding data,</w:t>
      </w:r>
      <w:r>
        <w:t xml:space="preserve"> </w:t>
      </w:r>
      <w:r>
        <w:t xml:space="preserve">repositories, company-managed endpoints) is maintained with an assigned owner per asset and</w:t>
      </w:r>
      <w:r>
        <w:t xml:space="preserve"> </w:t>
      </w:r>
      <w:r>
        <w:t xml:space="preserve">reviewed at least quarterly (</w:t>
      </w:r>
      <w:r>
        <w:rPr>
          <w:rStyle w:val="VerbatimChar"/>
        </w:rPr>
        <w:t xml:space="preserve">SEC-POL-001</w:t>
      </w:r>
      <w:r>
        <w:t xml:space="preserve"> </w:t>
      </w:r>
      <w:r>
        <w:t xml:space="preserve">§6). Dependencies are scanned via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on</w:t>
      </w:r>
      <w:r>
        <w:t xml:space="preserve"> </w:t>
      </w:r>
      <w:r>
        <w:t xml:space="preserve">every CI build (critical findings block deployment) and monitored by GitHub Dependabot.</w:t>
      </w:r>
      <w:r>
        <w:t xml:space="preserve"> </w:t>
      </w:r>
      <w:r>
        <w:t xml:space="preserve">OS-level critical patches are applied within 7 days (30 days for high).</w:t>
      </w:r>
    </w:p>
    <w:p>
      <w:pPr>
        <w:pStyle w:val="BodyText"/>
      </w:pPr>
      <w:r>
        <w:rPr>
          <w:b/>
        </w:rPr>
        <w:t xml:space="preserve">Q: What endpoint protection is in place?</w:t>
      </w:r>
      <w:r>
        <w:t xml:space="preserve"> </w:t>
      </w:r>
      <w:r>
        <w:t xml:space="preserve">Company-managed workstations run an up-to-date endpoint anti-malware/EDR agent, full-disk</w:t>
      </w:r>
      <w:r>
        <w:t xml:space="preserve"> </w:t>
      </w:r>
      <w:r>
        <w:t xml:space="preserve">encryption (FileVault/BitLocker), MDM with remote wipe, and 5-minute screen locks.</w:t>
      </w:r>
    </w:p>
    <w:p>
      <w:pPr>
        <w:pStyle w:val="BodyText"/>
      </w:pPr>
      <w:r>
        <w:rPr>
          <w:i/>
        </w:rPr>
        <w:t xml:space="preserve">References: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SEC-POL-001</w:t>
      </w:r>
      <w:r>
        <w:rPr>
          <w:i/>
        </w:rPr>
        <w:t xml:space="preserve"> </w:t>
      </w:r>
      <w:r>
        <w:rPr>
          <w:i/>
        </w:rPr>
        <w:t xml:space="preserve">§6 &amp; §9,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SEC-POL-003</w:t>
      </w:r>
      <w:r>
        <w:rPr>
          <w:i/>
        </w:rPr>
        <w:t xml:space="preserve">.</w:t>
      </w:r>
    </w:p>
    <w:p>
      <w:pPr>
        <w:pStyle w:val="Heading2"/>
      </w:pPr>
      <w:bookmarkStart w:id="26" w:name="X123f8c68b6bf556fe5ddbae1c8dc05af626ab61"/>
      <w:r>
        <w:t xml:space="preserve">4. Change Management</w:t>
      </w:r>
      <w:bookmarkEnd w:id="26"/>
    </w:p>
    <w:p>
      <w:pPr>
        <w:pStyle w:val="FirstParagraph"/>
      </w:pPr>
      <w:r>
        <w:rPr>
          <w:b/>
        </w:rPr>
        <w:t xml:space="preserve">Q: How are code changes controlled and tested before production?</w:t>
      </w:r>
      <w:r>
        <w:t xml:space="preserve"> </w:t>
      </w:r>
      <w:r>
        <w:t xml:space="preserve">All code lives in a version-controlled GitHub repository. Changes go through pull-request</w:t>
      </w:r>
      <w:r>
        <w:t xml:space="preserve"> </w:t>
      </w:r>
      <w:r>
        <w:t xml:space="preserve">review and an automated CI pipeline whose gates (lint, type-check, tests) must pass before</w:t>
      </w:r>
      <w:r>
        <w:t xml:space="preserve"> </w:t>
      </w:r>
      <w:r>
        <w:t xml:space="preserve">deployment; critical dependency vulnerabilities block the build. Secret scanning runs on</w:t>
      </w:r>
      <w:r>
        <w:t xml:space="preserve"> </w:t>
      </w:r>
      <w:r>
        <w:t xml:space="preserve">every repository.</w:t>
      </w:r>
    </w:p>
    <w:p>
      <w:pPr>
        <w:pStyle w:val="BodyText"/>
      </w:pPr>
      <w:r>
        <w:rPr>
          <w:i/>
        </w:rPr>
        <w:t xml:space="preserve">References: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SEC-POL-002</w:t>
      </w:r>
      <w:r>
        <w:rPr>
          <w:i/>
        </w:rPr>
        <w:t xml:space="preserve">.</w:t>
      </w:r>
    </w:p>
    <w:p>
      <w:pPr>
        <w:pStyle w:val="Heading2"/>
      </w:pPr>
      <w:bookmarkStart w:id="27" w:name="X4d0257439d271d103d52d36df0c1c31acadfeb2"/>
      <w:r>
        <w:t xml:space="preserve">5. Cryptography</w:t>
      </w:r>
      <w:bookmarkEnd w:id="27"/>
    </w:p>
    <w:p>
      <w:pPr>
        <w:pStyle w:val="FirstParagraph"/>
      </w:pPr>
      <w:r>
        <w:rPr>
          <w:b/>
        </w:rPr>
        <w:t xml:space="preserve">Q: How is data encrypted at rest and in transit?</w:t>
      </w:r>
      <w:r>
        <w:t xml:space="preserve"> </w:t>
      </w:r>
      <w:r>
        <w:t xml:space="preserve">At rest: all customer data in AWS RDS PostgreSQL is encrypted with</w:t>
      </w:r>
      <w:r>
        <w:t xml:space="preserve"> </w:t>
      </w:r>
      <w:r>
        <w:rPr>
          <w:b/>
        </w:rPr>
        <w:t xml:space="preserve">AES-256</w:t>
      </w:r>
      <w:r>
        <w:t xml:space="preserve"> </w:t>
      </w:r>
      <w:r>
        <w:t xml:space="preserve">(KMS-managed);</w:t>
      </w:r>
      <w:r>
        <w:t xml:space="preserve"> </w:t>
      </w:r>
      <w:r>
        <w:t xml:space="preserve">S3 report storage uses SSE-S3 (AES-256); OAuth tokens/API keys are additionally encrypted at</w:t>
      </w:r>
      <w:r>
        <w:t xml:space="preserve"> </w:t>
      </w:r>
      <w:r>
        <w:t xml:space="preserve">the application layer before persistence. In transit:</w:t>
      </w:r>
      <w:r>
        <w:t xml:space="preserve"> </w:t>
      </w:r>
      <w:r>
        <w:rPr>
          <w:b/>
        </w:rPr>
        <w:t xml:space="preserve">TLS 1.2+</w:t>
      </w:r>
      <w:r>
        <w:t xml:space="preserve"> </w:t>
      </w:r>
      <w:r>
        <w:t xml:space="preserve">for all</w:t>
      </w:r>
      <w:r>
        <w:t xml:space="preserve"> </w:t>
      </w:r>
      <w:r>
        <w:t xml:space="preserve">customer-to-Naviio traffic (TLS 1.0/1.1 explicitly disabled); internal service-to-service</w:t>
      </w:r>
      <w:r>
        <w:t xml:space="preserve"> </w:t>
      </w:r>
      <w:r>
        <w:t xml:space="preserve">traffic is encrypted within the AWS VPC.</w:t>
      </w:r>
    </w:p>
    <w:p>
      <w:pPr>
        <w:pStyle w:val="BodyText"/>
      </w:pPr>
      <w:r>
        <w:rPr>
          <w:b/>
        </w:rPr>
        <w:t xml:space="preserve">Q: How are encryption keys managed?</w:t>
      </w:r>
      <w:r>
        <w:t xml:space="preserve"> </w:t>
      </w:r>
      <w:r>
        <w:t xml:space="preserve">AWS KMS is the authoritative key store; application-layer keys rotate annually or on</w:t>
      </w:r>
      <w:r>
        <w:t xml:space="preserve"> </w:t>
      </w:r>
      <w:r>
        <w:t xml:space="preserve">suspected compromise. No employee has direct access to production keys; key usage is logged</w:t>
      </w:r>
      <w:r>
        <w:t xml:space="preserve"> </w:t>
      </w:r>
      <w:r>
        <w:t xml:space="preserve">in CloudTrail.</w:t>
      </w:r>
    </w:p>
    <w:p>
      <w:pPr>
        <w:pStyle w:val="BodyText"/>
      </w:pPr>
      <w:r>
        <w:rPr>
          <w:i/>
        </w:rPr>
        <w:t xml:space="preserve">Reference: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SEC-POL-001</w:t>
      </w:r>
      <w:r>
        <w:rPr>
          <w:i/>
        </w:rPr>
        <w:t xml:space="preserve"> </w:t>
      </w:r>
      <w:r>
        <w:rPr>
          <w:i/>
        </w:rPr>
        <w:t xml:space="preserve">§3.</w:t>
      </w:r>
    </w:p>
    <w:p>
      <w:pPr>
        <w:pStyle w:val="Heading2"/>
      </w:pPr>
      <w:bookmarkStart w:id="28" w:name="X2f03a435c9e8a740a848e07b8338f600ce891da"/>
      <w:r>
        <w:t xml:space="preserve">6. Logging and Monitoring</w:t>
      </w:r>
      <w:bookmarkEnd w:id="28"/>
    </w:p>
    <w:p>
      <w:pPr>
        <w:pStyle w:val="FirstParagraph"/>
      </w:pPr>
      <w:r>
        <w:rPr>
          <w:b/>
        </w:rPr>
        <w:t xml:space="preserve">Q: What is logged, and how do you detect anomalies?</w:t>
      </w:r>
      <w:r>
        <w:t xml:space="preserve"> </w:t>
      </w:r>
      <w:r>
        <w:t xml:space="preserve">AWS CloudTrail records infrastructure and key-usage events; GuardDuty provides threat-based</w:t>
      </w:r>
      <w:r>
        <w:t xml:space="preserve"> </w:t>
      </w:r>
      <w:r>
        <w:t xml:space="preserve">anomaly detection; WAF alarms and access logs cover the application edge. Authentication</w:t>
      </w:r>
      <w:r>
        <w:t xml:space="preserve"> </w:t>
      </w:r>
      <w:r>
        <w:t xml:space="preserve">events (sign-up, login attempts) and access to customer financial data are logged and</w:t>
      </w:r>
      <w:r>
        <w:t xml:space="preserve"> </w:t>
      </w:r>
      <w:r>
        <w:t xml:space="preserve">auditable.</w:t>
      </w:r>
    </w:p>
    <w:p>
      <w:pPr>
        <w:pStyle w:val="BodyText"/>
      </w:pPr>
      <w:r>
        <w:rPr>
          <w:i/>
        </w:rPr>
        <w:t xml:space="preserve">References: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SEC-IRP-001</w:t>
      </w:r>
      <w:r>
        <w:rPr>
          <w:i/>
        </w:rPr>
        <w:t xml:space="preserve">.</w:t>
      </w:r>
    </w:p>
    <w:p>
      <w:pPr>
        <w:pStyle w:val="Heading2"/>
      </w:pPr>
      <w:bookmarkStart w:id="29" w:name="X5afd61082dd8f4de7e84832099ab58a1fd6f4d4"/>
      <w:r>
        <w:t xml:space="preserve">7. Network Security</w:t>
      </w:r>
      <w:bookmarkEnd w:id="29"/>
    </w:p>
    <w:p>
      <w:pPr>
        <w:pStyle w:val="FirstParagraph"/>
      </w:pPr>
      <w:r>
        <w:rPr>
          <w:b/>
        </w:rPr>
        <w:t xml:space="preserve">Q: How is your production network secured?</w:t>
      </w:r>
      <w:r>
        <w:t xml:space="preserve"> </w:t>
      </w:r>
      <w:r>
        <w:t xml:space="preserve">Naviio is remote-first with no on-premises servers; all production infrastructure runs in an</w:t>
      </w:r>
      <w:r>
        <w:t xml:space="preserve"> </w:t>
      </w:r>
      <w:r>
        <w:t xml:space="preserve">AWS VPC. Inbound traffic is fronted by a WAF, internal traffic is encrypted, and access to</w:t>
      </w:r>
      <w:r>
        <w:t xml:space="preserve"> </w:t>
      </w:r>
      <w:r>
        <w:t xml:space="preserve">infrastructure follows the approval/least-privilege model in</w:t>
      </w:r>
      <w:r>
        <w:t xml:space="preserve"> </w:t>
      </w:r>
      <w:r>
        <w:rPr>
          <w:rStyle w:val="VerbatimChar"/>
        </w:rPr>
        <w:t xml:space="preserve">SEC-POL-002</w:t>
      </w:r>
      <w:r>
        <w:t xml:space="preserve">.</w:t>
      </w:r>
    </w:p>
    <w:p>
      <w:pPr>
        <w:pStyle w:val="BodyText"/>
      </w:pPr>
      <w:r>
        <w:rPr>
          <w:i/>
        </w:rPr>
        <w:t xml:space="preserve">References: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SEC-POL-001</w:t>
      </w:r>
      <w:r>
        <w:rPr>
          <w:i/>
        </w:rPr>
        <w:t xml:space="preserve"> </w:t>
      </w:r>
      <w:r>
        <w:rPr>
          <w:i/>
        </w:rPr>
        <w:t xml:space="preserve">§5,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SEC-POL-002</w:t>
      </w:r>
      <w:r>
        <w:rPr>
          <w:i/>
        </w:rPr>
        <w:t xml:space="preserve">.</w:t>
      </w:r>
    </w:p>
    <w:p>
      <w:pPr>
        <w:pStyle w:val="Heading2"/>
      </w:pPr>
      <w:bookmarkStart w:id="30" w:name="Xe3ecfb32264df7d7777a1ac089d764a44c6df2c"/>
      <w:r>
        <w:t xml:space="preserve">8. Incident Response</w:t>
      </w:r>
      <w:bookmarkEnd w:id="30"/>
    </w:p>
    <w:p>
      <w:pPr>
        <w:pStyle w:val="FirstParagraph"/>
      </w:pPr>
      <w:r>
        <w:rPr>
          <w:b/>
        </w:rPr>
        <w:t xml:space="preserve">Q: Do you have an incident response process? Who responds?</w:t>
      </w:r>
      <w:r>
        <w:t xml:space="preserve"> </w:t>
      </w:r>
      <w:r>
        <w:t xml:space="preserve">Yes (</w:t>
      </w:r>
      <w:r>
        <w:rPr>
          <w:rStyle w:val="VerbatimChar"/>
        </w:rPr>
        <w:t xml:space="preserve">SEC-IRP-001</w:t>
      </w:r>
      <w:r>
        <w:t xml:space="preserve">). Incidents are classified (Critical/High/Medium/Low); the CEO is the</w:t>
      </w:r>
      <w:r>
        <w:t xml:space="preserve"> </w:t>
      </w:r>
      <w:r>
        <w:t xml:space="preserve">Incident Response Lead. Process covers triage → investigation → containment/mitigation →</w:t>
      </w:r>
      <w:r>
        <w:t xml:space="preserve"> </w:t>
      </w:r>
      <w:r>
        <w:t xml:space="preserve">communication → blameless post-mortem (within 5 business days for Critical/High). Affected</w:t>
      </w:r>
      <w:r>
        <w:t xml:space="preserve"> </w:t>
      </w:r>
      <w:r>
        <w:t xml:space="preserve">customers are notified within</w:t>
      </w:r>
      <w:r>
        <w:t xml:space="preserve"> </w:t>
      </w:r>
      <w:r>
        <w:rPr>
          <w:b/>
        </w:rPr>
        <w:t xml:space="preserve">72 hours</w:t>
      </w:r>
      <w:r>
        <w:t xml:space="preserve"> </w:t>
      </w:r>
      <w:r>
        <w:t xml:space="preserve">of a confirmed qualifying breach;</w:t>
      </w:r>
      <w:r>
        <w:t xml:space="preserve"> </w:t>
      </w:r>
      <w:r>
        <w:rPr>
          <w:b/>
        </w:rPr>
        <w:t xml:space="preserve">Plaid is</w:t>
      </w:r>
      <w:r>
        <w:rPr>
          <w:b/>
        </w:rPr>
        <w:t xml:space="preserve"> </w:t>
      </w:r>
      <w:r>
        <w:rPr>
          <w:b/>
        </w:rPr>
        <w:t xml:space="preserve">notified within 24 hours</w:t>
      </w:r>
      <w:r>
        <w:t xml:space="preserve"> </w:t>
      </w:r>
      <w:r>
        <w:t xml:space="preserve">of any confirmed incident involving Plaid-connected data.</w:t>
      </w:r>
    </w:p>
    <w:p>
      <w:pPr>
        <w:pStyle w:val="BodyText"/>
      </w:pPr>
      <w:r>
        <w:rPr>
          <w:b/>
        </w:rPr>
        <w:t xml:space="preserve">Q: What is your on-call coverage?</w:t>
      </w:r>
      <w:r>
        <w:t xml:space="preserve"> </w:t>
      </w:r>
      <w:r>
        <w:t xml:space="preserve">Stated honestly for current scale: a single-responder arrangement — production and security</w:t>
      </w:r>
      <w:r>
        <w:t xml:space="preserve"> </w:t>
      </w:r>
      <w:r>
        <w:t xml:space="preserve">alerts page the Incident Response Lead via PagerDuty, reachable outside business hours. A</w:t>
      </w:r>
      <w:r>
        <w:t xml:space="preserve"> </w:t>
      </w:r>
      <w:r>
        <w:t xml:space="preserve">multi-responder rotation with a documented secondary/escalation responder will be established</w:t>
      </w:r>
      <w:r>
        <w:t xml:space="preserve"> </w:t>
      </w:r>
      <w:r>
        <w:t xml:space="preserve">as the engineering team grows; an external IR firm is the planned escalation for incidents</w:t>
      </w:r>
      <w:r>
        <w:t xml:space="preserve"> </w:t>
      </w:r>
      <w:r>
        <w:t xml:space="preserve">beyond internal capacity.</w:t>
      </w:r>
    </w:p>
    <w:p>
      <w:pPr>
        <w:pStyle w:val="BodyText"/>
      </w:pPr>
      <w:r>
        <w:rPr>
          <w:i/>
        </w:rPr>
        <w:t xml:space="preserve">Reference: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SEC-IRP-001</w:t>
      </w:r>
      <w:r>
        <w:rPr>
          <w:i/>
        </w:rPr>
        <w:t xml:space="preserve">.</w:t>
      </w:r>
    </w:p>
    <w:p>
      <w:pPr>
        <w:pStyle w:val="Heading2"/>
      </w:pPr>
      <w:bookmarkStart w:id="31" w:name="X94c678ab14202dedb68cea2e801a86fb580c7ed"/>
      <w:r>
        <w:t xml:space="preserve">9. Vendor Management</w:t>
      </w:r>
      <w:bookmarkEnd w:id="31"/>
    </w:p>
    <w:p>
      <w:pPr>
        <w:pStyle w:val="FirstParagraph"/>
      </w:pPr>
      <w:r>
        <w:rPr>
          <w:b/>
        </w:rPr>
        <w:t xml:space="preserve">Q: How do you manage third-party/sub-processor risk?</w:t>
      </w:r>
      <w:r>
        <w:t xml:space="preserve"> </w:t>
      </w:r>
      <w:r>
        <w:t xml:space="preserve">Critical vendors are inventoried with the data each receives (</w:t>
      </w:r>
      <w:r>
        <w:rPr>
          <w:rStyle w:val="VerbatimChar"/>
        </w:rPr>
        <w:t xml:space="preserve">SEC-POL-001</w:t>
      </w:r>
      <w:r>
        <w:t xml:space="preserve"> </w:t>
      </w:r>
      <w:r>
        <w:t xml:space="preserve">§7): Plaid,</w:t>
      </w:r>
      <w:r>
        <w:t xml:space="preserve"> </w:t>
      </w:r>
      <w:r>
        <w:t xml:space="preserve">Stripe, Intuit (QuickBooks), AWS, Vercel, and Anthropic. Vendors are expected to maintain</w:t>
      </w:r>
      <w:r>
        <w:t xml:space="preserve"> </w:t>
      </w:r>
      <w:r>
        <w:t xml:space="preserve">SOC 2 Type II or equivalent (reviewed annually) and DPAs where applicable; vendor tokens live</w:t>
      </w:r>
      <w:r>
        <w:t xml:space="preserve"> </w:t>
      </w:r>
      <w:r>
        <w:t xml:space="preserve">in AWS Secrets Manager. Data sent to the AI provider is limited to aggregate financial</w:t>
      </w:r>
      <w:r>
        <w:t xml:space="preserve"> </w:t>
      </w:r>
      <w:r>
        <w:t xml:space="preserve">summaries — raw transactions, account numbers, and PII are never transmitted. A sub-processor</w:t>
      </w:r>
      <w:r>
        <w:t xml:space="preserve"> </w:t>
      </w:r>
      <w:r>
        <w:t xml:space="preserve">register is maintained in</w:t>
      </w:r>
      <w:r>
        <w:t xml:space="preserve"> </w:t>
      </w:r>
      <w:r>
        <w:rPr>
          <w:rStyle w:val="VerbatimChar"/>
        </w:rPr>
        <w:t xml:space="preserve">SEC-PROC-001</w:t>
      </w:r>
      <w:r>
        <w:t xml:space="preserve"> </w:t>
      </w:r>
      <w:r>
        <w:t xml:space="preserve">§10.</w:t>
      </w:r>
    </w:p>
    <w:p>
      <w:pPr>
        <w:pStyle w:val="BodyText"/>
      </w:pPr>
      <w:r>
        <w:rPr>
          <w:i/>
        </w:rPr>
        <w:t xml:space="preserve">References: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SEC-POL-001</w:t>
      </w:r>
      <w:r>
        <w:rPr>
          <w:i/>
        </w:rPr>
        <w:t xml:space="preserve"> </w:t>
      </w:r>
      <w:r>
        <w:rPr>
          <w:i/>
        </w:rPr>
        <w:t xml:space="preserve">§7,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SEC-PROC-001</w:t>
      </w:r>
      <w:r>
        <w:rPr>
          <w:i/>
        </w:rPr>
        <w:t xml:space="preserve">.</w:t>
      </w:r>
    </w:p>
    <w:p>
      <w:pPr>
        <w:pStyle w:val="Heading2"/>
      </w:pPr>
      <w:bookmarkStart w:id="32" w:name="X0647da080146066543fe03bcd7e1a2f83cd5611"/>
      <w:r>
        <w:t xml:space="preserve">10. Human Resources</w:t>
      </w:r>
      <w:bookmarkEnd w:id="32"/>
    </w:p>
    <w:p>
      <w:pPr>
        <w:pStyle w:val="FirstParagraph"/>
      </w:pPr>
      <w:r>
        <w:rPr>
          <w:b/>
        </w:rPr>
        <w:t xml:space="preserve">Q: Do you screen and train employees?</w:t>
      </w:r>
      <w:r>
        <w:t xml:space="preserve"> </w:t>
      </w:r>
      <w:r>
        <w:t xml:space="preserve">Yes (</w:t>
      </w:r>
      <w:r>
        <w:rPr>
          <w:rStyle w:val="VerbatimChar"/>
        </w:rPr>
        <w:t xml:space="preserve">SEC-POL-001</w:t>
      </w:r>
      <w:r>
        <w:t xml:space="preserve"> </w:t>
      </w:r>
      <w:r>
        <w:t xml:space="preserve">§10, "Personnel Security and Awareness"). Employees and contractors with</w:t>
      </w:r>
      <w:r>
        <w:t xml:space="preserve"> </w:t>
      </w:r>
      <w:r>
        <w:t xml:space="preserve">access to production or customer data undergo a pre-employment background check and sign a</w:t>
      </w:r>
      <w:r>
        <w:t xml:space="preserve"> </w:t>
      </w:r>
      <w:r>
        <w:t xml:space="preserve">confidentiality/NDA plus policy acknowledgement before access is granted. Security awareness</w:t>
      </w:r>
      <w:r>
        <w:t xml:space="preserve"> </w:t>
      </w:r>
      <w:r>
        <w:t xml:space="preserve">training is completed within 30 days of hire, with annual refreshers and phishing simulations</w:t>
      </w:r>
      <w:r>
        <w:t xml:space="preserve"> </w:t>
      </w:r>
      <w:r>
        <w:t xml:space="preserve">at least twice a year.</w:t>
      </w:r>
    </w:p>
    <w:p>
      <w:pPr>
        <w:pStyle w:val="BodyText"/>
      </w:pPr>
      <w:r>
        <w:rPr>
          <w:i/>
        </w:rPr>
        <w:t xml:space="preserve">Reference: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SEC-POL-001</w:t>
      </w:r>
      <w:r>
        <w:rPr>
          <w:i/>
        </w:rPr>
        <w:t xml:space="preserve"> </w:t>
      </w:r>
      <w:r>
        <w:rPr>
          <w:i/>
        </w:rPr>
        <w:t xml:space="preserve">§10.</w:t>
      </w:r>
    </w:p>
    <w:p>
      <w:pPr>
        <w:pStyle w:val="Heading2"/>
      </w:pPr>
      <w:bookmarkStart w:id="33" w:name="X86b572214fa5cfccdf7337201c5dfeef862a53e"/>
      <w:r>
        <w:t xml:space="preserve">11. Independent Testing</w:t>
      </w:r>
      <w:bookmarkEnd w:id="33"/>
    </w:p>
    <w:p>
      <w:pPr>
        <w:pStyle w:val="FirstParagraph"/>
      </w:pPr>
      <w:r>
        <w:rPr>
          <w:b/>
        </w:rPr>
        <w:t xml:space="preserve">Q: Do you use independent third parties to test your security?</w:t>
      </w:r>
      <w:r>
        <w:t xml:space="preserve"> </w:t>
      </w:r>
      <w:r>
        <w:t xml:space="preserve">Yes. A penetration test is conducted annually by a qualified third-party firm, with</w:t>
      </w:r>
      <w:r>
        <w:t xml:space="preserve"> </w:t>
      </w:r>
      <w:r>
        <w:t xml:space="preserve">severity-based remediation SLAs (Critical ≤ 7 days, High ≤ 30, Medium ≤ 90). Naviio does not</w:t>
      </w:r>
      <w:r>
        <w:t xml:space="preserve"> </w:t>
      </w:r>
      <w:r>
        <w:t xml:space="preserve">currently run a public bug-bounty program (optional; may be adopted as the user base grows).</w:t>
      </w:r>
    </w:p>
    <w:p>
      <w:pPr>
        <w:pStyle w:val="BodyText"/>
      </w:pPr>
      <w:r>
        <w:rPr>
          <w:i/>
        </w:rPr>
        <w:t xml:space="preserve">Reference:</w:t>
      </w:r>
      <w:r>
        <w:rPr>
          <w:i/>
        </w:rPr>
        <w:t xml:space="preserve"> </w:t>
      </w:r>
      <w:r>
        <w:rPr>
          <w:rStyle w:val="VerbatimChar"/>
          <w:i/>
        </w:rPr>
        <w:t xml:space="preserve">SEC-POL-001</w:t>
      </w:r>
      <w:r>
        <w:rPr>
          <w:i/>
        </w:rPr>
        <w:t xml:space="preserve"> </w:t>
      </w:r>
      <w:r>
        <w:rPr>
          <w:i/>
        </w:rPr>
        <w:t xml:space="preserve">§6.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rivacy-consumer-facing"/>
      <w:r>
        <w:t xml:space="preserve">Privacy (consumer-facing)</w:t>
      </w:r>
      <w:bookmarkEnd w:id="34"/>
    </w:p>
    <w:p>
      <w:pPr>
        <w:pStyle w:val="FirstParagraph"/>
      </w:pPr>
      <w:r>
        <w:rPr>
          <w:b/>
        </w:rPr>
        <w:t xml:space="preserve">Q: Do you have a published privacy policy?</w:t>
      </w:r>
      <w:r>
        <w:t xml:space="preserve"> </w:t>
      </w:r>
      <w:r>
        <w:t xml:space="preserve">Yes — published in the application at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, alongside Terms and Contact pages. Data</w:t>
      </w:r>
      <w:r>
        <w:t xml:space="preserve"> </w:t>
      </w:r>
      <w:r>
        <w:t xml:space="preserve">collection, use, retention, and sub-processors are described and backed by</w:t>
      </w:r>
      <w:r>
        <w:t xml:space="preserve"> </w:t>
      </w:r>
      <w:r>
        <w:rPr>
          <w:rStyle w:val="VerbatimChar"/>
        </w:rPr>
        <w:t xml:space="preserve">SEC-PROC-001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SEC-POL-003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SEC-ATT-001</w:t>
      </w:r>
      <w:r>
        <w:t xml:space="preserve">, ATT-5). [Confirm the policy explicitly names Plaid as a</w:t>
      </w:r>
      <w:r>
        <w:t xml:space="preserve"> </w:t>
      </w:r>
      <w:r>
        <w:t xml:space="preserve">data-access mechanism and lists the data categories accessed via Plaid.]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Prepared responses for the Plaid Bank-Migration Security Diligence Questionnaire. Fill all</w:t>
      </w:r>
      <w:r>
        <w:rPr>
          <w:i/>
        </w:rPr>
        <w:t xml:space="preserve"> </w:t>
      </w:r>
      <w:r>
        <w:rPr>
          <w:rStyle w:val="VerbatimChar"/>
          <w:i/>
        </w:rPr>
        <w:t xml:space="preserve">[bracketed]</w:t>
      </w:r>
      <w:r>
        <w:rPr>
          <w:i/>
        </w:rPr>
        <w:t xml:space="preserve"> </w:t>
      </w:r>
      <w:r>
        <w:rPr>
          <w:i/>
        </w:rPr>
        <w:t xml:space="preserve">fields and attach the cited policies before submission.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Plaid Security Diligence Questionnaire — Prepared Responses</dc:title>
  <dc:creator>Naviio, Inc.</dc:creator>
  <cp:keywords/>
  <dcterms:created xsi:type="dcterms:W3CDTF">2026-06-09T21:35:07Z</dcterms:created>
  <dcterms:modified xsi:type="dcterms:W3CDTF">2026-06-09T21:35:07Z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