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eastAsia="Aptos"/>
          <w:b/>
          <w:i w:val="0"/>
          <w:color w:val="146EF5"/>
          <w:sz w:val="16"/>
        </w:rPr>
        <w:t>SECURITY &amp; PRIVACY BRIEF</w:t>
      </w:r>
    </w:p>
    <w:p>
      <w:pPr>
        <w:pStyle w:val="Title"/>
        <w:spacing w:after="100"/>
      </w:pPr>
      <w:r>
        <w:rPr>
          <w:rFonts w:ascii="Aptos" w:hAnsi="Aptos" w:eastAsia="Aptos"/>
          <w:b/>
          <w:i w:val="0"/>
          <w:color w:val="13213C"/>
          <w:sz w:val="60"/>
        </w:rPr>
        <w:t>Roleplay IT &amp;</w:t>
        <w:br/>
        <w:t>Compliance Review</w:t>
      </w:r>
    </w:p>
    <w:p>
      <w:pPr>
        <w:spacing w:after="280"/>
      </w:pPr>
      <w:r>
        <w:rPr>
          <w:rFonts w:ascii="Aptos" w:hAnsi="Aptos" w:eastAsia="Aptos"/>
          <w:b w:val="0"/>
          <w:i w:val="0"/>
          <w:color w:val="667085"/>
          <w:sz w:val="22"/>
        </w:rPr>
        <w:t>Voice roleplays only  •  Version 1.0  •  3 September 2026</w:t>
      </w:r>
    </w:p>
    <w:tbl>
      <w:tblPr>
        <w:tblW w:type="auto" w:w="0"/>
        <w:jc w:val="center"/>
        <w:tblLook w:firstColumn="1" w:firstRow="1" w:lastColumn="0" w:lastRow="0" w:noHBand="0" w:noVBand="1" w:val="04A0"/>
      </w:tblPr>
      <w:tblGrid>
        <w:gridCol w:w="10166"/>
      </w:tblGrid>
      <w:tr>
        <w:tc>
          <w:tcPr>
            <w:tcW w:type="dxa" w:w="10166"/>
            <w:shd w:fill="EEF4FF"/>
            <w:tcMar>
              <w:top w:w="150" w:type="dxa"/>
              <w:start w:w="180" w:type="dxa"/>
              <w:bottom w:w="150" w:type="dxa"/>
              <w:end w:w="180" w:type="dxa"/>
            </w:tcMar>
          </w:tcPr>
          <w:p>
            <w:pPr>
              <w:spacing w:after="60"/>
            </w:pPr>
            <w:r>
              <w:rPr>
                <w:rFonts w:ascii="Aptos" w:hAnsi="Aptos" w:eastAsia="Aptos"/>
                <w:b/>
                <w:i w:val="0"/>
                <w:color w:val="146EF5"/>
                <w:sz w:val="19"/>
              </w:rPr>
              <w:t>Scope of this review</w:t>
            </w:r>
          </w:p>
          <w:p>
            <w:pPr>
              <w:spacing w:after="0"/>
            </w:pPr>
            <w:r>
              <w:rPr>
                <w:rFonts w:ascii="Aptos" w:hAnsi="Aptos" w:eastAsia="Aptos"/>
                <w:b w:val="0"/>
                <w:i w:val="0"/>
                <w:color w:val="202938"/>
                <w:sz w:val="18"/>
              </w:rPr>
              <w:t>This document covers only Zell’s browser-based voice roleplay: scenario setup, the simulated conversation, recording and transcription, post-roleplay scoring, feedback, and authorised review. It does not describe or approve any other Zell feature or customer-enabled integration.</w:t>
            </w:r>
          </w:p>
        </w:tc>
      </w:tr>
    </w:tbl>
    <w:p>
      <w:pPr>
        <w:spacing w:after="20"/>
      </w:pPr>
    </w:p>
    <w:p>
      <w:pPr>
        <w:pStyle w:val="Heading1"/>
      </w:pPr>
      <w:r>
        <w:t>Decision summary</w:t>
      </w:r>
    </w:p>
    <w:tbl>
      <w:tblPr>
        <w:tblW w:type="auto" w:w="0"/>
        <w:jc w:val="center"/>
        <w:tblLayout w:type="fixed"/>
        <w:tblLook w:firstColumn="1" w:firstRow="1" w:lastColumn="0" w:lastRow="0" w:noHBand="0" w:noVBand="1" w:val="04A0"/>
      </w:tblPr>
      <w:tblGrid>
        <w:gridCol w:w="5083"/>
        <w:gridCol w:w="5083"/>
      </w:tblGrid>
      <w:tr>
        <w:trPr>
          <w:cantSplit/>
        </w:trPr>
        <w:tc>
          <w:tcPr>
            <w:tcW w:type="dxa" w:w="5083"/>
            <w:shd w:fill="F7F9FC"/>
            <w:tcMar>
              <w:top w:w="145" w:type="dxa"/>
              <w:start w:w="160" w:type="dxa"/>
              <w:bottom w:w="145" w:type="dxa"/>
              <w:end w:w="160" w:type="dxa"/>
            </w:tcMar>
          </w:tcPr>
          <w:p>
            <w:pPr>
              <w:spacing w:after="40"/>
            </w:pPr>
            <w:r>
              <w:rPr>
                <w:rFonts w:ascii="Aptos" w:hAnsi="Aptos" w:eastAsia="Aptos"/>
                <w:b/>
                <w:i w:val="0"/>
                <w:color w:val="667085"/>
                <w:sz w:val="14"/>
              </w:rPr>
              <w:t>PRIMARY APPLICATION</w:t>
            </w:r>
          </w:p>
          <w:p>
            <w:pPr>
              <w:spacing w:after="0"/>
            </w:pPr>
            <w:r>
              <w:rPr>
                <w:rFonts w:ascii="Aptos" w:hAnsi="Aptos" w:eastAsia="Aptos"/>
                <w:b/>
                <w:i w:val="0"/>
                <w:color w:val="13213C"/>
                <w:sz w:val="20"/>
              </w:rPr>
              <w:t>AWS Milan (eu-south-1)</w:t>
            </w:r>
          </w:p>
        </w:tc>
        <w:tc>
          <w:tcPr>
            <w:tcW w:type="dxa" w:w="5083"/>
            <w:shd w:fill="EEF4FF"/>
            <w:tcMar>
              <w:top w:w="145" w:type="dxa"/>
              <w:start w:w="160" w:type="dxa"/>
              <w:bottom w:w="145" w:type="dxa"/>
              <w:end w:w="160" w:type="dxa"/>
            </w:tcMar>
          </w:tcPr>
          <w:p>
            <w:pPr>
              <w:spacing w:after="40"/>
            </w:pPr>
            <w:r>
              <w:rPr>
                <w:rFonts w:ascii="Aptos" w:hAnsi="Aptos" w:eastAsia="Aptos"/>
                <w:b/>
                <w:i w:val="0"/>
                <w:color w:val="667085"/>
                <w:sz w:val="14"/>
              </w:rPr>
              <w:t>RECORDING STORAGE</w:t>
            </w:r>
          </w:p>
          <w:p>
            <w:pPr>
              <w:spacing w:after="0"/>
            </w:pPr>
            <w:r>
              <w:rPr>
                <w:rFonts w:ascii="Aptos" w:hAnsi="Aptos" w:eastAsia="Aptos"/>
                <w:b/>
                <w:i w:val="0"/>
                <w:color w:val="13213C"/>
                <w:sz w:val="20"/>
              </w:rPr>
              <w:t>Google Cloud Storage — EU</w:t>
            </w:r>
          </w:p>
        </w:tc>
      </w:tr>
      <w:tr>
        <w:trPr>
          <w:cantSplit/>
        </w:trPr>
        <w:tc>
          <w:tcPr>
            <w:tcW w:type="dxa" w:w="5083"/>
            <w:shd w:fill="EEF4FF"/>
            <w:tcMar>
              <w:top w:w="145" w:type="dxa"/>
              <w:start w:w="160" w:type="dxa"/>
              <w:bottom w:w="145" w:type="dxa"/>
              <w:end w:w="160" w:type="dxa"/>
            </w:tcMar>
          </w:tcPr>
          <w:p>
            <w:pPr>
              <w:spacing w:after="40"/>
            </w:pPr>
            <w:r>
              <w:rPr>
                <w:rFonts w:ascii="Aptos" w:hAnsi="Aptos" w:eastAsia="Aptos"/>
                <w:b/>
                <w:i w:val="0"/>
                <w:color w:val="667085"/>
                <w:sz w:val="14"/>
              </w:rPr>
              <w:t>VOICE PROCESSING</w:t>
            </w:r>
          </w:p>
          <w:p>
            <w:pPr>
              <w:spacing w:after="0"/>
            </w:pPr>
            <w:r>
              <w:rPr>
                <w:rFonts w:ascii="Aptos" w:hAnsi="Aptos" w:eastAsia="Aptos"/>
                <w:b/>
                <w:i w:val="0"/>
                <w:color w:val="13213C"/>
                <w:sz w:val="20"/>
              </w:rPr>
              <w:t>ElevenLabs EU-isolated</w:t>
            </w:r>
          </w:p>
        </w:tc>
        <w:tc>
          <w:tcPr>
            <w:tcW w:type="dxa" w:w="5083"/>
            <w:shd w:fill="F7F9FC"/>
            <w:tcMar>
              <w:top w:w="145" w:type="dxa"/>
              <w:start w:w="160" w:type="dxa"/>
              <w:bottom w:w="145" w:type="dxa"/>
              <w:end w:w="160" w:type="dxa"/>
            </w:tcMar>
          </w:tcPr>
          <w:p>
            <w:pPr>
              <w:spacing w:after="40"/>
            </w:pPr>
            <w:r>
              <w:rPr>
                <w:rFonts w:ascii="Aptos" w:hAnsi="Aptos" w:eastAsia="Aptos"/>
                <w:b/>
                <w:i w:val="0"/>
                <w:color w:val="667085"/>
                <w:sz w:val="14"/>
              </w:rPr>
              <w:t>FEEDBACK AI</w:t>
            </w:r>
          </w:p>
          <w:p>
            <w:pPr>
              <w:spacing w:after="0"/>
            </w:pPr>
            <w:r>
              <w:rPr>
                <w:rFonts w:ascii="Aptos" w:hAnsi="Aptos" w:eastAsia="Aptos"/>
                <w:b/>
                <w:i w:val="0"/>
                <w:color w:val="13213C"/>
                <w:sz w:val="20"/>
              </w:rPr>
              <w:t>AWS Bedrock — EU geography</w:t>
            </w:r>
          </w:p>
        </w:tc>
      </w:tr>
      <w:tr>
        <w:trPr>
          <w:cantSplit/>
        </w:trPr>
        <w:tc>
          <w:tcPr>
            <w:tcW w:type="dxa" w:w="5083"/>
            <w:shd w:fill="F7F9FC"/>
            <w:tcMar>
              <w:top w:w="145" w:type="dxa"/>
              <w:start w:w="160" w:type="dxa"/>
              <w:bottom w:w="145" w:type="dxa"/>
              <w:end w:w="160" w:type="dxa"/>
            </w:tcMar>
          </w:tcPr>
          <w:p>
            <w:pPr>
              <w:spacing w:after="40"/>
            </w:pPr>
            <w:r>
              <w:rPr>
                <w:rFonts w:ascii="Aptos" w:hAnsi="Aptos" w:eastAsia="Aptos"/>
                <w:b/>
                <w:i w:val="0"/>
                <w:color w:val="667085"/>
                <w:sz w:val="14"/>
              </w:rPr>
              <w:t>AUDIO RECORDING</w:t>
            </w:r>
          </w:p>
          <w:p>
            <w:pPr>
              <w:spacing w:after="0"/>
            </w:pPr>
            <w:r>
              <w:rPr>
                <w:rFonts w:ascii="Aptos" w:hAnsi="Aptos" w:eastAsia="Aptos"/>
                <w:b/>
                <w:i w:val="0"/>
                <w:color w:val="13213C"/>
                <w:sz w:val="20"/>
              </w:rPr>
              <w:t>Stored for review and feedback</w:t>
            </w:r>
          </w:p>
        </w:tc>
        <w:tc>
          <w:tcPr>
            <w:tcW w:type="dxa" w:w="5083"/>
            <w:shd w:fill="EEF4FF"/>
            <w:tcMar>
              <w:top w:w="145" w:type="dxa"/>
              <w:start w:w="160" w:type="dxa"/>
              <w:bottom w:w="145" w:type="dxa"/>
              <w:end w:w="160" w:type="dxa"/>
            </w:tcMar>
          </w:tcPr>
          <w:p>
            <w:pPr>
              <w:spacing w:after="40"/>
            </w:pPr>
            <w:r>
              <w:rPr>
                <w:rFonts w:ascii="Aptos" w:hAnsi="Aptos" w:eastAsia="Aptos"/>
                <w:b/>
                <w:i w:val="0"/>
                <w:color w:val="667085"/>
                <w:sz w:val="14"/>
              </w:rPr>
              <w:t>CUSTOMER DATA TRAINING</w:t>
            </w:r>
          </w:p>
          <w:p>
            <w:pPr>
              <w:spacing w:after="0"/>
            </w:pPr>
            <w:r>
              <w:rPr>
                <w:rFonts w:ascii="Aptos" w:hAnsi="Aptos" w:eastAsia="Aptos"/>
                <w:b/>
                <w:i w:val="0"/>
                <w:color w:val="13213C"/>
                <w:sz w:val="20"/>
              </w:rPr>
              <w:t>Not permitted without written approval</w:t>
            </w:r>
          </w:p>
        </w:tc>
      </w:tr>
      <w:tr>
        <w:trPr>
          <w:cantSplit/>
        </w:trPr>
        <w:tc>
          <w:tcPr>
            <w:tcW w:type="dxa" w:w="5083"/>
            <w:shd w:fill="EEF4FF"/>
            <w:tcMar>
              <w:top w:w="145" w:type="dxa"/>
              <w:start w:w="160" w:type="dxa"/>
              <w:bottom w:w="145" w:type="dxa"/>
              <w:end w:w="160" w:type="dxa"/>
            </w:tcMar>
          </w:tcPr>
          <w:p>
            <w:pPr>
              <w:spacing w:after="40"/>
            </w:pPr>
            <w:r>
              <w:rPr>
                <w:rFonts w:ascii="Aptos" w:hAnsi="Aptos" w:eastAsia="Aptos"/>
                <w:b/>
                <w:i w:val="0"/>
                <w:color w:val="667085"/>
                <w:sz w:val="14"/>
              </w:rPr>
              <w:t>ROLEPLAY CONTENT</w:t>
            </w:r>
          </w:p>
          <w:p>
            <w:pPr>
              <w:spacing w:after="0"/>
            </w:pPr>
            <w:r>
              <w:rPr>
                <w:rFonts w:ascii="Aptos" w:hAnsi="Aptos" w:eastAsia="Aptos"/>
                <w:b/>
                <w:i w:val="0"/>
                <w:color w:val="13213C"/>
                <w:sz w:val="20"/>
              </w:rPr>
              <w:t>Synthetic scenario; no prospect call required</w:t>
            </w:r>
          </w:p>
        </w:tc>
        <w:tc>
          <w:tcPr>
            <w:tcW w:type="dxa" w:w="5083"/>
            <w:shd w:fill="F7F9FC"/>
            <w:tcMar>
              <w:top w:w="145" w:type="dxa"/>
              <w:start w:w="160" w:type="dxa"/>
              <w:bottom w:w="145" w:type="dxa"/>
              <w:end w:w="160" w:type="dxa"/>
            </w:tcMar>
          </w:tcPr>
          <w:p>
            <w:pPr>
              <w:spacing w:after="40"/>
            </w:pPr>
            <w:r>
              <w:rPr>
                <w:rFonts w:ascii="Aptos" w:hAnsi="Aptos" w:eastAsia="Aptos"/>
                <w:b/>
                <w:i w:val="0"/>
                <w:color w:val="667085"/>
                <w:sz w:val="14"/>
              </w:rPr>
              <w:t>CONTRACTUAL FRAMEWORK</w:t>
            </w:r>
          </w:p>
          <w:p>
            <w:pPr>
              <w:spacing w:after="0"/>
            </w:pPr>
            <w:r>
              <w:rPr>
                <w:rFonts w:ascii="Aptos" w:hAnsi="Aptos" w:eastAsia="Aptos"/>
                <w:b/>
                <w:i w:val="0"/>
                <w:color w:val="13213C"/>
                <w:sz w:val="20"/>
              </w:rPr>
              <w:t>DPA + subprocessor disclosures</w:t>
            </w:r>
          </w:p>
        </w:tc>
      </w:tr>
    </w:tbl>
    <w:p>
      <w:pPr>
        <w:pStyle w:val="Heading2"/>
      </w:pPr>
      <w:r>
        <w:t>What Zell provides in this scope</w:t>
      </w:r>
    </w:p>
    <w:p>
      <w:r>
        <w:rPr>
          <w:rFonts w:ascii="Aptos" w:hAnsi="Aptos" w:eastAsia="Aptos"/>
          <w:b w:val="0"/>
          <w:i w:val="0"/>
          <w:color w:val="202938"/>
          <w:sz w:val="18"/>
        </w:rPr>
        <w:t>Zell provides an AI-supported training environment in which an authorised participant speaks with a simulated persona. Zell records and transcribes the roleplay, evaluates the transcript against the configured scorecard, and returns coaching feedback to authorised users.</w:t>
      </w:r>
    </w:p>
    <w:tbl>
      <w:tblPr>
        <w:tblW w:type="auto" w:w="0"/>
        <w:jc w:val="center"/>
        <w:tblLook w:firstColumn="1" w:firstRow="1" w:lastColumn="0" w:lastRow="0" w:noHBand="0" w:noVBand="1" w:val="04A0"/>
      </w:tblPr>
      <w:tblGrid>
        <w:gridCol w:w="10166"/>
      </w:tblGrid>
      <w:tr>
        <w:tc>
          <w:tcPr>
            <w:tcW w:type="dxa" w:w="10166"/>
            <w:shd w:fill="ECFDF3"/>
            <w:tcMar>
              <w:top w:w="150" w:type="dxa"/>
              <w:start w:w="180" w:type="dxa"/>
              <w:bottom w:w="150" w:type="dxa"/>
              <w:end w:w="180" w:type="dxa"/>
            </w:tcMar>
          </w:tcPr>
          <w:p>
            <w:pPr>
              <w:spacing w:after="60"/>
            </w:pPr>
            <w:r>
              <w:rPr>
                <w:rFonts w:ascii="Aptos" w:hAnsi="Aptos" w:eastAsia="Aptos"/>
                <w:b/>
                <w:i w:val="0"/>
                <w:color w:val="067647"/>
                <w:sz w:val="19"/>
              </w:rPr>
              <w:t>GDPR position</w:t>
            </w:r>
          </w:p>
          <w:p>
            <w:pPr>
              <w:spacing w:after="0"/>
            </w:pPr>
            <w:r>
              <w:rPr>
                <w:rFonts w:ascii="Aptos" w:hAnsi="Aptos" w:eastAsia="Aptos"/>
                <w:b w:val="0"/>
                <w:i w:val="0"/>
                <w:color w:val="202938"/>
                <w:sz w:val="18"/>
              </w:rPr>
              <w:t>Zell operates as the customer’s processor for roleplay personal data. The controls, EU processing configuration, DPA commitments, and subprocessor safeguards described here support a GDPR-compliant deployment. The customer remains responsible for its lawful basis, participant notices, access decisions, and use of results.</w:t>
            </w:r>
          </w:p>
        </w:tc>
      </w:tr>
    </w:tbl>
    <w:p>
      <w:pPr>
        <w:spacing w:after="20"/>
      </w:pPr>
    </w:p>
    <w:p>
      <w:r>
        <w:br w:type="page"/>
      </w:r>
    </w:p>
    <w:p>
      <w:pPr>
        <w:spacing w:after="80"/>
      </w:pPr>
      <w:r>
        <w:rPr>
          <w:rFonts w:ascii="Aptos" w:hAnsi="Aptos" w:eastAsia="Aptos"/>
          <w:b/>
          <w:i w:val="0"/>
          <w:color w:val="146EF5"/>
          <w:sz w:val="16"/>
        </w:rPr>
        <w:t>01 / ARCHITECTURE</w:t>
      </w:r>
    </w:p>
    <w:p>
      <w:pPr>
        <w:pStyle w:val="Heading1"/>
      </w:pPr>
      <w:r>
        <w:t>Roleplay data flow</w:t>
      </w:r>
    </w:p>
    <w:tbl>
      <w:tblPr>
        <w:tblW w:type="auto" w:w="0"/>
        <w:jc w:val="center"/>
        <w:tblLayout w:type="fixed"/>
        <w:tblLook w:firstColumn="1" w:firstRow="1" w:lastColumn="0" w:lastRow="0" w:noHBand="0" w:noVBand="1" w:val="04A0"/>
      </w:tblPr>
      <w:tblGrid>
        <w:gridCol w:w="691"/>
        <w:gridCol w:w="9360"/>
      </w:tblGrid>
      <w:tr>
        <w:tc>
          <w:tcPr>
            <w:tcW w:type="dxa" w:w="5083"/>
            <w:shd w:fill="146EF5"/>
            <w:tcMar>
              <w:top w:w="75" w:type="dxa"/>
              <w:start w:w="90" w:type="dxa"/>
              <w:bottom w:w="75" w:type="dxa"/>
              <w:end w:w="90" w:type="dxa"/>
            </w:tcMar>
            <w:vAlign w:val="center"/>
          </w:tcPr>
          <w:p>
            <w:pPr>
              <w:spacing w:after="0"/>
              <w:jc w:val="center"/>
            </w:pPr>
            <w:r>
              <w:rPr>
                <w:rFonts w:ascii="Aptos" w:hAnsi="Aptos" w:eastAsia="Aptos"/>
                <w:b/>
                <w:i w:val="0"/>
                <w:color w:val="FFFFFF"/>
                <w:sz w:val="18"/>
              </w:rPr>
              <w:t>1</w:t>
            </w:r>
          </w:p>
        </w:tc>
        <w:tc>
          <w:tcPr>
            <w:tcW w:type="dxa" w:w="5083"/>
            <w:tcMar>
              <w:top w:w="55" w:type="dxa"/>
              <w:start w:w="145" w:type="dxa"/>
              <w:bottom w:w="55" w:type="dxa"/>
              <w:end w:w="60" w:type="dxa"/>
            </w:tcMar>
          </w:tcPr>
          <w:p>
            <w:pPr>
              <w:spacing w:after="0"/>
            </w:pPr>
            <w:r>
              <w:rPr>
                <w:rFonts w:ascii="Aptos" w:hAnsi="Aptos" w:eastAsia="Aptos"/>
                <w:b/>
                <w:i w:val="0"/>
                <w:color w:val="13213C"/>
                <w:sz w:val="19"/>
              </w:rPr>
              <w:t xml:space="preserve">Access  </w:t>
            </w:r>
            <w:r>
              <w:rPr>
                <w:rFonts w:ascii="Aptos" w:hAnsi="Aptos" w:eastAsia="Aptos"/>
                <w:b w:val="0"/>
                <w:i w:val="0"/>
                <w:color w:val="202938"/>
                <w:sz w:val="18"/>
              </w:rPr>
              <w:t>An authorised participant signs in and selects a customer-configured scenario, persona, and scorecard.</w:t>
            </w:r>
          </w:p>
        </w:tc>
      </w:tr>
    </w:tbl>
    <w:p>
      <w:pPr>
        <w:spacing w:after="20"/>
      </w:pPr>
    </w:p>
    <w:tbl>
      <w:tblPr>
        <w:tblW w:type="auto" w:w="0"/>
        <w:jc w:val="center"/>
        <w:tblLayout w:type="fixed"/>
        <w:tblLook w:firstColumn="1" w:firstRow="1" w:lastColumn="0" w:lastRow="0" w:noHBand="0" w:noVBand="1" w:val="04A0"/>
      </w:tblPr>
      <w:tblGrid>
        <w:gridCol w:w="691"/>
        <w:gridCol w:w="9360"/>
      </w:tblGrid>
      <w:tr>
        <w:tc>
          <w:tcPr>
            <w:tcW w:type="dxa" w:w="5083"/>
            <w:shd w:fill="146EF5"/>
            <w:tcMar>
              <w:top w:w="75" w:type="dxa"/>
              <w:start w:w="90" w:type="dxa"/>
              <w:bottom w:w="75" w:type="dxa"/>
              <w:end w:w="90" w:type="dxa"/>
            </w:tcMar>
            <w:vAlign w:val="center"/>
          </w:tcPr>
          <w:p>
            <w:pPr>
              <w:spacing w:after="0"/>
              <w:jc w:val="center"/>
            </w:pPr>
            <w:r>
              <w:rPr>
                <w:rFonts w:ascii="Aptos" w:hAnsi="Aptos" w:eastAsia="Aptos"/>
                <w:b/>
                <w:i w:val="0"/>
                <w:color w:val="FFFFFF"/>
                <w:sz w:val="18"/>
              </w:rPr>
              <w:t>2</w:t>
            </w:r>
          </w:p>
        </w:tc>
        <w:tc>
          <w:tcPr>
            <w:tcW w:type="dxa" w:w="5083"/>
            <w:tcMar>
              <w:top w:w="55" w:type="dxa"/>
              <w:start w:w="145" w:type="dxa"/>
              <w:bottom w:w="55" w:type="dxa"/>
              <w:end w:w="60" w:type="dxa"/>
            </w:tcMar>
          </w:tcPr>
          <w:p>
            <w:pPr>
              <w:spacing w:after="0"/>
            </w:pPr>
            <w:r>
              <w:rPr>
                <w:rFonts w:ascii="Aptos" w:hAnsi="Aptos" w:eastAsia="Aptos"/>
                <w:b/>
                <w:i w:val="0"/>
                <w:color w:val="13213C"/>
                <w:sz w:val="19"/>
              </w:rPr>
              <w:t xml:space="preserve">Live simulation  </w:t>
            </w:r>
            <w:r>
              <w:rPr>
                <w:rFonts w:ascii="Aptos" w:hAnsi="Aptos" w:eastAsia="Aptos"/>
                <w:b w:val="0"/>
                <w:i w:val="0"/>
                <w:color w:val="202938"/>
                <w:sz w:val="18"/>
              </w:rPr>
              <w:t>The browser establishes a secure session with the ElevenLabs EU-isolated environment. Participant audio is processed for speech recognition; synthetic voice is returned for the simulated persona.</w:t>
            </w:r>
          </w:p>
        </w:tc>
      </w:tr>
    </w:tbl>
    <w:p>
      <w:pPr>
        <w:spacing w:after="20"/>
      </w:pPr>
    </w:p>
    <w:tbl>
      <w:tblPr>
        <w:tblW w:type="auto" w:w="0"/>
        <w:jc w:val="center"/>
        <w:tblLayout w:type="fixed"/>
        <w:tblLook w:firstColumn="1" w:firstRow="1" w:lastColumn="0" w:lastRow="0" w:noHBand="0" w:noVBand="1" w:val="04A0"/>
      </w:tblPr>
      <w:tblGrid>
        <w:gridCol w:w="691"/>
        <w:gridCol w:w="9360"/>
      </w:tblGrid>
      <w:tr>
        <w:tc>
          <w:tcPr>
            <w:tcW w:type="dxa" w:w="5083"/>
            <w:shd w:fill="146EF5"/>
            <w:tcMar>
              <w:top w:w="75" w:type="dxa"/>
              <w:start w:w="90" w:type="dxa"/>
              <w:bottom w:w="75" w:type="dxa"/>
              <w:end w:w="90" w:type="dxa"/>
            </w:tcMar>
            <w:vAlign w:val="center"/>
          </w:tcPr>
          <w:p>
            <w:pPr>
              <w:spacing w:after="0"/>
              <w:jc w:val="center"/>
            </w:pPr>
            <w:r>
              <w:rPr>
                <w:rFonts w:ascii="Aptos" w:hAnsi="Aptos" w:eastAsia="Aptos"/>
                <w:b/>
                <w:i w:val="0"/>
                <w:color w:val="FFFFFF"/>
                <w:sz w:val="18"/>
              </w:rPr>
              <w:t>3</w:t>
            </w:r>
          </w:p>
        </w:tc>
        <w:tc>
          <w:tcPr>
            <w:tcW w:type="dxa" w:w="5083"/>
            <w:tcMar>
              <w:top w:w="55" w:type="dxa"/>
              <w:start w:w="145" w:type="dxa"/>
              <w:bottom w:w="55" w:type="dxa"/>
              <w:end w:w="60" w:type="dxa"/>
            </w:tcMar>
          </w:tcPr>
          <w:p>
            <w:pPr>
              <w:spacing w:after="0"/>
            </w:pPr>
            <w:r>
              <w:rPr>
                <w:rFonts w:ascii="Aptos" w:hAnsi="Aptos" w:eastAsia="Aptos"/>
                <w:b/>
                <w:i w:val="0"/>
                <w:color w:val="13213C"/>
                <w:sz w:val="19"/>
              </w:rPr>
              <w:t xml:space="preserve">Conversation output  </w:t>
            </w:r>
            <w:r>
              <w:rPr>
                <w:rFonts w:ascii="Aptos" w:hAnsi="Aptos" w:eastAsia="Aptos"/>
                <w:b w:val="0"/>
                <w:i w:val="0"/>
                <w:color w:val="202938"/>
                <w:sz w:val="18"/>
              </w:rPr>
              <w:t>At the end of the session, the roleplay transcript and session metadata are returned to Zell. Zell retrieves the roleplay recording for customer review.</w:t>
            </w:r>
          </w:p>
        </w:tc>
      </w:tr>
    </w:tbl>
    <w:p>
      <w:pPr>
        <w:spacing w:after="20"/>
      </w:pPr>
    </w:p>
    <w:tbl>
      <w:tblPr>
        <w:tblW w:type="auto" w:w="0"/>
        <w:jc w:val="center"/>
        <w:tblLayout w:type="fixed"/>
        <w:tblLook w:firstColumn="1" w:firstRow="1" w:lastColumn="0" w:lastRow="0" w:noHBand="0" w:noVBand="1" w:val="04A0"/>
      </w:tblPr>
      <w:tblGrid>
        <w:gridCol w:w="691"/>
        <w:gridCol w:w="9360"/>
      </w:tblGrid>
      <w:tr>
        <w:tc>
          <w:tcPr>
            <w:tcW w:type="dxa" w:w="5083"/>
            <w:shd w:fill="146EF5"/>
            <w:tcMar>
              <w:top w:w="75" w:type="dxa"/>
              <w:start w:w="90" w:type="dxa"/>
              <w:bottom w:w="75" w:type="dxa"/>
              <w:end w:w="90" w:type="dxa"/>
            </w:tcMar>
            <w:vAlign w:val="center"/>
          </w:tcPr>
          <w:p>
            <w:pPr>
              <w:spacing w:after="0"/>
              <w:jc w:val="center"/>
            </w:pPr>
            <w:r>
              <w:rPr>
                <w:rFonts w:ascii="Aptos" w:hAnsi="Aptos" w:eastAsia="Aptos"/>
                <w:b/>
                <w:i w:val="0"/>
                <w:color w:val="FFFFFF"/>
                <w:sz w:val="18"/>
              </w:rPr>
              <w:t>4</w:t>
            </w:r>
          </w:p>
        </w:tc>
        <w:tc>
          <w:tcPr>
            <w:tcW w:type="dxa" w:w="5083"/>
            <w:tcMar>
              <w:top w:w="55" w:type="dxa"/>
              <w:start w:w="145" w:type="dxa"/>
              <w:bottom w:w="55" w:type="dxa"/>
              <w:end w:w="60" w:type="dxa"/>
            </w:tcMar>
          </w:tcPr>
          <w:p>
            <w:pPr>
              <w:spacing w:after="0"/>
            </w:pPr>
            <w:r>
              <w:rPr>
                <w:rFonts w:ascii="Aptos" w:hAnsi="Aptos" w:eastAsia="Aptos"/>
                <w:b/>
                <w:i w:val="0"/>
                <w:color w:val="13213C"/>
                <w:sz w:val="19"/>
              </w:rPr>
              <w:t xml:space="preserve">Private storage  </w:t>
            </w:r>
            <w:r>
              <w:rPr>
                <w:rFonts w:ascii="Aptos" w:hAnsi="Aptos" w:eastAsia="Aptos"/>
                <w:b w:val="0"/>
                <w:i w:val="0"/>
                <w:color w:val="202938"/>
                <w:sz w:val="18"/>
              </w:rPr>
              <w:t>Application and relational data are stored in AWS Milan. Recordings and roleplay files are stored in private Google Cloud Storage buckets configured for the EU.</w:t>
            </w:r>
          </w:p>
        </w:tc>
      </w:tr>
    </w:tbl>
    <w:p>
      <w:pPr>
        <w:spacing w:after="20"/>
      </w:pPr>
    </w:p>
    <w:tbl>
      <w:tblPr>
        <w:tblW w:type="auto" w:w="0"/>
        <w:jc w:val="center"/>
        <w:tblLayout w:type="fixed"/>
        <w:tblLook w:firstColumn="1" w:firstRow="1" w:lastColumn="0" w:lastRow="0" w:noHBand="0" w:noVBand="1" w:val="04A0"/>
      </w:tblPr>
      <w:tblGrid>
        <w:gridCol w:w="691"/>
        <w:gridCol w:w="9360"/>
      </w:tblGrid>
      <w:tr>
        <w:tc>
          <w:tcPr>
            <w:tcW w:type="dxa" w:w="5083"/>
            <w:shd w:fill="146EF5"/>
            <w:tcMar>
              <w:top w:w="75" w:type="dxa"/>
              <w:start w:w="90" w:type="dxa"/>
              <w:bottom w:w="75" w:type="dxa"/>
              <w:end w:w="90" w:type="dxa"/>
            </w:tcMar>
            <w:vAlign w:val="center"/>
          </w:tcPr>
          <w:p>
            <w:pPr>
              <w:spacing w:after="0"/>
              <w:jc w:val="center"/>
            </w:pPr>
            <w:r>
              <w:rPr>
                <w:rFonts w:ascii="Aptos" w:hAnsi="Aptos" w:eastAsia="Aptos"/>
                <w:b/>
                <w:i w:val="0"/>
                <w:color w:val="FFFFFF"/>
                <w:sz w:val="18"/>
              </w:rPr>
              <w:t>5</w:t>
            </w:r>
          </w:p>
        </w:tc>
        <w:tc>
          <w:tcPr>
            <w:tcW w:type="dxa" w:w="5083"/>
            <w:tcMar>
              <w:top w:w="55" w:type="dxa"/>
              <w:start w:w="145" w:type="dxa"/>
              <w:bottom w:w="55" w:type="dxa"/>
              <w:end w:w="60" w:type="dxa"/>
            </w:tcMar>
          </w:tcPr>
          <w:p>
            <w:pPr>
              <w:spacing w:after="0"/>
            </w:pPr>
            <w:r>
              <w:rPr>
                <w:rFonts w:ascii="Aptos" w:hAnsi="Aptos" w:eastAsia="Aptos"/>
                <w:b/>
                <w:i w:val="0"/>
                <w:color w:val="13213C"/>
                <w:sz w:val="19"/>
              </w:rPr>
              <w:t xml:space="preserve">Scoring and feedback  </w:t>
            </w:r>
            <w:r>
              <w:rPr>
                <w:rFonts w:ascii="Aptos" w:hAnsi="Aptos" w:eastAsia="Aptos"/>
                <w:b w:val="0"/>
                <w:i w:val="0"/>
                <w:color w:val="202938"/>
                <w:sz w:val="18"/>
              </w:rPr>
              <w:t>The transcript, scorecard, and relevant scenario context are processed by EU-hosted AI services to generate scores, explanations, and coaching feedback.</w:t>
            </w:r>
          </w:p>
        </w:tc>
      </w:tr>
    </w:tbl>
    <w:p>
      <w:pPr>
        <w:spacing w:after="20"/>
      </w:pPr>
    </w:p>
    <w:tbl>
      <w:tblPr>
        <w:tblW w:type="auto" w:w="0"/>
        <w:jc w:val="center"/>
        <w:tblLayout w:type="fixed"/>
        <w:tblLook w:firstColumn="1" w:firstRow="1" w:lastColumn="0" w:lastRow="0" w:noHBand="0" w:noVBand="1" w:val="04A0"/>
      </w:tblPr>
      <w:tblGrid>
        <w:gridCol w:w="691"/>
        <w:gridCol w:w="9360"/>
      </w:tblGrid>
      <w:tr>
        <w:tc>
          <w:tcPr>
            <w:tcW w:type="dxa" w:w="5083"/>
            <w:shd w:fill="146EF5"/>
            <w:tcMar>
              <w:top w:w="75" w:type="dxa"/>
              <w:start w:w="90" w:type="dxa"/>
              <w:bottom w:w="75" w:type="dxa"/>
              <w:end w:w="90" w:type="dxa"/>
            </w:tcMar>
            <w:vAlign w:val="center"/>
          </w:tcPr>
          <w:p>
            <w:pPr>
              <w:spacing w:after="0"/>
              <w:jc w:val="center"/>
            </w:pPr>
            <w:r>
              <w:rPr>
                <w:rFonts w:ascii="Aptos" w:hAnsi="Aptos" w:eastAsia="Aptos"/>
                <w:b/>
                <w:i w:val="0"/>
                <w:color w:val="FFFFFF"/>
                <w:sz w:val="18"/>
              </w:rPr>
              <w:t>6</w:t>
            </w:r>
          </w:p>
        </w:tc>
        <w:tc>
          <w:tcPr>
            <w:tcW w:type="dxa" w:w="5083"/>
            <w:tcMar>
              <w:top w:w="55" w:type="dxa"/>
              <w:start w:w="145" w:type="dxa"/>
              <w:bottom w:w="55" w:type="dxa"/>
              <w:end w:w="60" w:type="dxa"/>
            </w:tcMar>
          </w:tcPr>
          <w:p>
            <w:pPr>
              <w:spacing w:after="0"/>
            </w:pPr>
            <w:r>
              <w:rPr>
                <w:rFonts w:ascii="Aptos" w:hAnsi="Aptos" w:eastAsia="Aptos"/>
                <w:b/>
                <w:i w:val="0"/>
                <w:color w:val="13213C"/>
                <w:sz w:val="19"/>
              </w:rPr>
              <w:t xml:space="preserve">Authorised review  </w:t>
            </w:r>
            <w:r>
              <w:rPr>
                <w:rFonts w:ascii="Aptos" w:hAnsi="Aptos" w:eastAsia="Aptos"/>
                <w:b w:val="0"/>
                <w:i w:val="0"/>
                <w:color w:val="202938"/>
                <w:sz w:val="18"/>
              </w:rPr>
              <w:t>The participant and permitted customer reviewers access the recording, transcript, scores, and feedback through tenant-scoped application controls.</w:t>
            </w:r>
          </w:p>
        </w:tc>
      </w:tr>
    </w:tbl>
    <w:p>
      <w:pPr>
        <w:spacing w:after="20"/>
      </w:pPr>
    </w:p>
    <w:p>
      <w:pPr>
        <w:pStyle w:val="Heading2"/>
      </w:pPr>
      <w:r>
        <w:t>Personal data and content in scope</w:t>
      </w:r>
    </w:p>
    <w:tbl>
      <w:tblPr>
        <w:tblStyle w:val="TableGrid"/>
        <w:tblW w:type="auto" w:w="0"/>
        <w:jc w:val="center"/>
        <w:tblLayout w:type="fixed"/>
        <w:tblLook w:firstColumn="1" w:firstRow="1" w:lastColumn="0" w:lastRow="0" w:noHBand="0" w:noVBand="1" w:val="04A0"/>
      </w:tblPr>
      <w:tblGrid>
        <w:gridCol w:w="1800"/>
        <w:gridCol w:w="4536"/>
        <w:gridCol w:w="3672"/>
      </w:tblGrid>
      <w:tr>
        <w:trPr>
          <w:tblHeader w:val="true"/>
          <w:cantSplit/>
        </w:trPr>
        <w:tc>
          <w:tcPr>
            <w:tcW w:type="dxa" w:w="3389"/>
            <w:shd w:fill="13213C"/>
            <w:tcMar>
              <w:top w:w="105" w:type="dxa"/>
              <w:start w:w="105" w:type="dxa"/>
              <w:bottom w:w="105" w:type="dxa"/>
              <w:end w:w="105" w:type="dxa"/>
            </w:tcMar>
          </w:tcPr>
          <w:p>
            <w:pPr>
              <w:spacing w:after="0"/>
            </w:pPr>
            <w:r>
              <w:rPr>
                <w:rFonts w:ascii="Aptos" w:hAnsi="Aptos" w:eastAsia="Aptos"/>
                <w:b/>
                <w:i w:val="0"/>
                <w:color w:val="FFFFFF"/>
                <w:sz w:val="14"/>
              </w:rPr>
              <w:t>CATEGORY</w:t>
            </w:r>
          </w:p>
        </w:tc>
        <w:tc>
          <w:tcPr>
            <w:tcW w:type="dxa" w:w="3389"/>
            <w:shd w:fill="13213C"/>
            <w:tcMar>
              <w:top w:w="105" w:type="dxa"/>
              <w:start w:w="105" w:type="dxa"/>
              <w:bottom w:w="105" w:type="dxa"/>
              <w:end w:w="105" w:type="dxa"/>
            </w:tcMar>
          </w:tcPr>
          <w:p>
            <w:pPr>
              <w:spacing w:after="0"/>
            </w:pPr>
            <w:r>
              <w:rPr>
                <w:rFonts w:ascii="Aptos" w:hAnsi="Aptos" w:eastAsia="Aptos"/>
                <w:b/>
                <w:i w:val="0"/>
                <w:color w:val="FFFFFF"/>
                <w:sz w:val="14"/>
              </w:rPr>
              <w:t>EXAMPLES</w:t>
            </w:r>
          </w:p>
        </w:tc>
        <w:tc>
          <w:tcPr>
            <w:tcW w:type="dxa" w:w="3389"/>
            <w:shd w:fill="13213C"/>
            <w:tcMar>
              <w:top w:w="105" w:type="dxa"/>
              <w:start w:w="105" w:type="dxa"/>
              <w:bottom w:w="105" w:type="dxa"/>
              <w:end w:w="105" w:type="dxa"/>
            </w:tcMar>
          </w:tcPr>
          <w:p>
            <w:pPr>
              <w:spacing w:after="0"/>
            </w:pPr>
            <w:r>
              <w:rPr>
                <w:rFonts w:ascii="Aptos" w:hAnsi="Aptos" w:eastAsia="Aptos"/>
                <w:b/>
                <w:i w:val="0"/>
                <w:color w:val="FFFFFF"/>
                <w:sz w:val="14"/>
              </w:rPr>
              <w:t>PURPOSE</w:t>
            </w:r>
          </w:p>
        </w:tc>
      </w:tr>
      <w:tr>
        <w:trPr>
          <w:cantSplit/>
        </w:trPr>
        <w:tc>
          <w:tcPr>
            <w:tcW w:type="dxa" w:w="1800"/>
            <w:shd w:fill="FFFFFF"/>
            <w:tcMar>
              <w:top w:w="95" w:type="dxa"/>
              <w:start w:w="105" w:type="dxa"/>
              <w:bottom w:w="95" w:type="dxa"/>
              <w:end w:w="105" w:type="dxa"/>
            </w:tcMar>
          </w:tcPr>
          <w:p>
            <w:pPr>
              <w:spacing w:after="0"/>
            </w:pPr>
            <w:r>
              <w:rPr>
                <w:rFonts w:ascii="Aptos" w:hAnsi="Aptos" w:eastAsia="Aptos"/>
                <w:b/>
                <w:i w:val="0"/>
                <w:color w:val="13213C"/>
                <w:sz w:val="15"/>
              </w:rPr>
              <w:t>Account data</w:t>
            </w:r>
          </w:p>
        </w:tc>
        <w:tc>
          <w:tcPr>
            <w:tcW w:type="dxa" w:w="4536"/>
            <w:shd w:fill="FFFFFF"/>
            <w:tcMar>
              <w:top w:w="95" w:type="dxa"/>
              <w:start w:w="105" w:type="dxa"/>
              <w:bottom w:w="95" w:type="dxa"/>
              <w:end w:w="105" w:type="dxa"/>
            </w:tcMar>
          </w:tcPr>
          <w:p>
            <w:pPr>
              <w:spacing w:after="0"/>
            </w:pPr>
            <w:r>
              <w:rPr>
                <w:rFonts w:ascii="Aptos" w:hAnsi="Aptos" w:eastAsia="Aptos"/>
                <w:b w:val="0"/>
                <w:i w:val="0"/>
                <w:color w:val="202938"/>
                <w:sz w:val="15"/>
              </w:rPr>
              <w:t>Name, work email, role, tenant/workspace</w:t>
            </w:r>
          </w:p>
        </w:tc>
        <w:tc>
          <w:tcPr>
            <w:tcW w:type="dxa" w:w="3672"/>
            <w:shd w:fill="FFFFFF"/>
            <w:tcMar>
              <w:top w:w="95" w:type="dxa"/>
              <w:start w:w="105" w:type="dxa"/>
              <w:bottom w:w="95" w:type="dxa"/>
              <w:end w:w="105" w:type="dxa"/>
            </w:tcMar>
          </w:tcPr>
          <w:p>
            <w:pPr>
              <w:spacing w:after="0"/>
            </w:pPr>
            <w:r>
              <w:rPr>
                <w:rFonts w:ascii="Aptos" w:hAnsi="Aptos" w:eastAsia="Aptos"/>
                <w:b w:val="0"/>
                <w:i w:val="0"/>
                <w:color w:val="202938"/>
                <w:sz w:val="15"/>
              </w:rPr>
              <w:t>Authentication, access and administration</w:t>
            </w:r>
          </w:p>
        </w:tc>
      </w:tr>
      <w:tr>
        <w:trPr>
          <w:cantSplit/>
        </w:trPr>
        <w:tc>
          <w:tcPr>
            <w:tcW w:type="dxa" w:w="1800"/>
            <w:shd w:fill="F7F9FC"/>
            <w:tcMar>
              <w:top w:w="95" w:type="dxa"/>
              <w:start w:w="105" w:type="dxa"/>
              <w:bottom w:w="95" w:type="dxa"/>
              <w:end w:w="105" w:type="dxa"/>
            </w:tcMar>
          </w:tcPr>
          <w:p>
            <w:pPr>
              <w:spacing w:after="0"/>
            </w:pPr>
            <w:r>
              <w:rPr>
                <w:rFonts w:ascii="Aptos" w:hAnsi="Aptos" w:eastAsia="Aptos"/>
                <w:b/>
                <w:i w:val="0"/>
                <w:color w:val="13213C"/>
                <w:sz w:val="15"/>
              </w:rPr>
              <w:t>Roleplay inputs</w:t>
            </w:r>
          </w:p>
        </w:tc>
        <w:tc>
          <w:tcPr>
            <w:tcW w:type="dxa" w:w="4536"/>
            <w:shd w:fill="F7F9FC"/>
            <w:tcMar>
              <w:top w:w="95" w:type="dxa"/>
              <w:start w:w="105" w:type="dxa"/>
              <w:bottom w:w="95" w:type="dxa"/>
              <w:end w:w="105" w:type="dxa"/>
            </w:tcMar>
          </w:tcPr>
          <w:p>
            <w:pPr>
              <w:spacing w:after="0"/>
            </w:pPr>
            <w:r>
              <w:rPr>
                <w:rFonts w:ascii="Aptos" w:hAnsi="Aptos" w:eastAsia="Aptos"/>
                <w:b w:val="0"/>
                <w:i w:val="0"/>
                <w:color w:val="202938"/>
                <w:sz w:val="15"/>
              </w:rPr>
              <w:t>Scenario, persona instructions, scorecard, optional training context</w:t>
            </w:r>
          </w:p>
        </w:tc>
        <w:tc>
          <w:tcPr>
            <w:tcW w:type="dxa" w:w="3672"/>
            <w:shd w:fill="F7F9FC"/>
            <w:tcMar>
              <w:top w:w="95" w:type="dxa"/>
              <w:start w:w="105" w:type="dxa"/>
              <w:bottom w:w="95" w:type="dxa"/>
              <w:end w:w="105" w:type="dxa"/>
            </w:tcMar>
          </w:tcPr>
          <w:p>
            <w:pPr>
              <w:spacing w:after="0"/>
            </w:pPr>
            <w:r>
              <w:rPr>
                <w:rFonts w:ascii="Aptos" w:hAnsi="Aptos" w:eastAsia="Aptos"/>
                <w:b w:val="0"/>
                <w:i w:val="0"/>
                <w:color w:val="202938"/>
                <w:sz w:val="15"/>
              </w:rPr>
              <w:t>Configure the simulated conversation and evaluation</w:t>
            </w:r>
          </w:p>
        </w:tc>
      </w:tr>
      <w:tr>
        <w:trPr>
          <w:cantSplit/>
        </w:trPr>
        <w:tc>
          <w:tcPr>
            <w:tcW w:type="dxa" w:w="1800"/>
            <w:shd w:fill="FFFFFF"/>
            <w:tcMar>
              <w:top w:w="95" w:type="dxa"/>
              <w:start w:w="105" w:type="dxa"/>
              <w:bottom w:w="95" w:type="dxa"/>
              <w:end w:w="105" w:type="dxa"/>
            </w:tcMar>
          </w:tcPr>
          <w:p>
            <w:pPr>
              <w:spacing w:after="0"/>
            </w:pPr>
            <w:r>
              <w:rPr>
                <w:rFonts w:ascii="Aptos" w:hAnsi="Aptos" w:eastAsia="Aptos"/>
                <w:b/>
                <w:i w:val="0"/>
                <w:color w:val="13213C"/>
                <w:sz w:val="15"/>
              </w:rPr>
              <w:t>Voice data</w:t>
            </w:r>
          </w:p>
        </w:tc>
        <w:tc>
          <w:tcPr>
            <w:tcW w:type="dxa" w:w="4536"/>
            <w:shd w:fill="FFFFFF"/>
            <w:tcMar>
              <w:top w:w="95" w:type="dxa"/>
              <w:start w:w="105" w:type="dxa"/>
              <w:bottom w:w="95" w:type="dxa"/>
              <w:end w:w="105" w:type="dxa"/>
            </w:tcMar>
          </w:tcPr>
          <w:p>
            <w:pPr>
              <w:spacing w:after="0"/>
            </w:pPr>
            <w:r>
              <w:rPr>
                <w:rFonts w:ascii="Aptos" w:hAnsi="Aptos" w:eastAsia="Aptos"/>
                <w:b w:val="0"/>
                <w:i w:val="0"/>
                <w:color w:val="202938"/>
                <w:sz w:val="15"/>
              </w:rPr>
              <w:t>Live audio and the resulting recording</w:t>
            </w:r>
          </w:p>
        </w:tc>
        <w:tc>
          <w:tcPr>
            <w:tcW w:type="dxa" w:w="3672"/>
            <w:shd w:fill="FFFFFF"/>
            <w:tcMar>
              <w:top w:w="95" w:type="dxa"/>
              <w:start w:w="105" w:type="dxa"/>
              <w:bottom w:w="95" w:type="dxa"/>
              <w:end w:w="105" w:type="dxa"/>
            </w:tcMar>
          </w:tcPr>
          <w:p>
            <w:pPr>
              <w:spacing w:after="0"/>
            </w:pPr>
            <w:r>
              <w:rPr>
                <w:rFonts w:ascii="Aptos" w:hAnsi="Aptos" w:eastAsia="Aptos"/>
                <w:b w:val="0"/>
                <w:i w:val="0"/>
                <w:color w:val="202938"/>
                <w:sz w:val="15"/>
              </w:rPr>
              <w:t>Run, replay and review the roleplay</w:t>
            </w:r>
          </w:p>
        </w:tc>
      </w:tr>
      <w:tr>
        <w:trPr>
          <w:cantSplit/>
        </w:trPr>
        <w:tc>
          <w:tcPr>
            <w:tcW w:type="dxa" w:w="1800"/>
            <w:shd w:fill="F7F9FC"/>
            <w:tcMar>
              <w:top w:w="95" w:type="dxa"/>
              <w:start w:w="105" w:type="dxa"/>
              <w:bottom w:w="95" w:type="dxa"/>
              <w:end w:w="105" w:type="dxa"/>
            </w:tcMar>
          </w:tcPr>
          <w:p>
            <w:pPr>
              <w:spacing w:after="0"/>
            </w:pPr>
            <w:r>
              <w:rPr>
                <w:rFonts w:ascii="Aptos" w:hAnsi="Aptos" w:eastAsia="Aptos"/>
                <w:b/>
                <w:i w:val="0"/>
                <w:color w:val="13213C"/>
                <w:sz w:val="15"/>
              </w:rPr>
              <w:t>Transcript</w:t>
            </w:r>
          </w:p>
        </w:tc>
        <w:tc>
          <w:tcPr>
            <w:tcW w:type="dxa" w:w="4536"/>
            <w:shd w:fill="F7F9FC"/>
            <w:tcMar>
              <w:top w:w="95" w:type="dxa"/>
              <w:start w:w="105" w:type="dxa"/>
              <w:bottom w:w="95" w:type="dxa"/>
              <w:end w:w="105" w:type="dxa"/>
            </w:tcMar>
          </w:tcPr>
          <w:p>
            <w:pPr>
              <w:spacing w:after="0"/>
            </w:pPr>
            <w:r>
              <w:rPr>
                <w:rFonts w:ascii="Aptos" w:hAnsi="Aptos" w:eastAsia="Aptos"/>
                <w:b w:val="0"/>
                <w:i w:val="0"/>
                <w:color w:val="202938"/>
                <w:sz w:val="15"/>
              </w:rPr>
              <w:t>Speaker-labelled roleplay dialogue</w:t>
            </w:r>
          </w:p>
        </w:tc>
        <w:tc>
          <w:tcPr>
            <w:tcW w:type="dxa" w:w="3672"/>
            <w:shd w:fill="F7F9FC"/>
            <w:tcMar>
              <w:top w:w="95" w:type="dxa"/>
              <w:start w:w="105" w:type="dxa"/>
              <w:bottom w:w="95" w:type="dxa"/>
              <w:end w:w="105" w:type="dxa"/>
            </w:tcMar>
          </w:tcPr>
          <w:p>
            <w:pPr>
              <w:spacing w:after="0"/>
            </w:pPr>
            <w:r>
              <w:rPr>
                <w:rFonts w:ascii="Aptos" w:hAnsi="Aptos" w:eastAsia="Aptos"/>
                <w:b w:val="0"/>
                <w:i w:val="0"/>
                <w:color w:val="202938"/>
                <w:sz w:val="15"/>
              </w:rPr>
              <w:t>Scoring, feedback and authorised review</w:t>
            </w:r>
          </w:p>
        </w:tc>
      </w:tr>
      <w:tr>
        <w:trPr>
          <w:cantSplit/>
        </w:trPr>
        <w:tc>
          <w:tcPr>
            <w:tcW w:type="dxa" w:w="1800"/>
            <w:shd w:fill="FFFFFF"/>
            <w:tcMar>
              <w:top w:w="95" w:type="dxa"/>
              <w:start w:w="105" w:type="dxa"/>
              <w:bottom w:w="95" w:type="dxa"/>
              <w:end w:w="105" w:type="dxa"/>
            </w:tcMar>
          </w:tcPr>
          <w:p>
            <w:pPr>
              <w:spacing w:after="0"/>
            </w:pPr>
            <w:r>
              <w:rPr>
                <w:rFonts w:ascii="Aptos" w:hAnsi="Aptos" w:eastAsia="Aptos"/>
                <w:b/>
                <w:i w:val="0"/>
                <w:color w:val="13213C"/>
                <w:sz w:val="15"/>
              </w:rPr>
              <w:t>Evaluation data</w:t>
            </w:r>
          </w:p>
        </w:tc>
        <w:tc>
          <w:tcPr>
            <w:tcW w:type="dxa" w:w="4536"/>
            <w:shd w:fill="FFFFFF"/>
            <w:tcMar>
              <w:top w:w="95" w:type="dxa"/>
              <w:start w:w="105" w:type="dxa"/>
              <w:bottom w:w="95" w:type="dxa"/>
              <w:end w:w="105" w:type="dxa"/>
            </w:tcMar>
          </w:tcPr>
          <w:p>
            <w:pPr>
              <w:spacing w:after="0"/>
            </w:pPr>
            <w:r>
              <w:rPr>
                <w:rFonts w:ascii="Aptos" w:hAnsi="Aptos" w:eastAsia="Aptos"/>
                <w:b w:val="0"/>
                <w:i w:val="0"/>
                <w:color w:val="202938"/>
                <w:sz w:val="15"/>
              </w:rPr>
              <w:t>Scores, explanations, snippets and coaching feedback</w:t>
            </w:r>
          </w:p>
        </w:tc>
        <w:tc>
          <w:tcPr>
            <w:tcW w:type="dxa" w:w="3672"/>
            <w:shd w:fill="FFFFFF"/>
            <w:tcMar>
              <w:top w:w="95" w:type="dxa"/>
              <w:start w:w="105" w:type="dxa"/>
              <w:bottom w:w="95" w:type="dxa"/>
              <w:end w:w="105" w:type="dxa"/>
            </w:tcMar>
          </w:tcPr>
          <w:p>
            <w:pPr>
              <w:spacing w:after="0"/>
            </w:pPr>
            <w:r>
              <w:rPr>
                <w:rFonts w:ascii="Aptos" w:hAnsi="Aptos" w:eastAsia="Aptos"/>
                <w:b w:val="0"/>
                <w:i w:val="0"/>
                <w:color w:val="202938"/>
                <w:sz w:val="15"/>
              </w:rPr>
              <w:t>Training and performance development</w:t>
            </w:r>
          </w:p>
        </w:tc>
      </w:tr>
      <w:tr>
        <w:trPr>
          <w:cantSplit/>
        </w:trPr>
        <w:tc>
          <w:tcPr>
            <w:tcW w:type="dxa" w:w="1800"/>
            <w:shd w:fill="F7F9FC"/>
            <w:tcMar>
              <w:top w:w="95" w:type="dxa"/>
              <w:start w:w="105" w:type="dxa"/>
              <w:bottom w:w="95" w:type="dxa"/>
              <w:end w:w="105" w:type="dxa"/>
            </w:tcMar>
          </w:tcPr>
          <w:p>
            <w:pPr>
              <w:spacing w:after="0"/>
            </w:pPr>
            <w:r>
              <w:rPr>
                <w:rFonts w:ascii="Aptos" w:hAnsi="Aptos" w:eastAsia="Aptos"/>
                <w:b/>
                <w:i w:val="0"/>
                <w:color w:val="13213C"/>
                <w:sz w:val="15"/>
              </w:rPr>
              <w:t>Technical data</w:t>
            </w:r>
          </w:p>
        </w:tc>
        <w:tc>
          <w:tcPr>
            <w:tcW w:type="dxa" w:w="4536"/>
            <w:shd w:fill="F7F9FC"/>
            <w:tcMar>
              <w:top w:w="95" w:type="dxa"/>
              <w:start w:w="105" w:type="dxa"/>
              <w:bottom w:w="95" w:type="dxa"/>
              <w:end w:w="105" w:type="dxa"/>
            </w:tcMar>
          </w:tcPr>
          <w:p>
            <w:pPr>
              <w:spacing w:after="0"/>
            </w:pPr>
            <w:r>
              <w:rPr>
                <w:rFonts w:ascii="Aptos" w:hAnsi="Aptos" w:eastAsia="Aptos"/>
                <w:b w:val="0"/>
                <w:i w:val="0"/>
                <w:color w:val="202938"/>
                <w:sz w:val="15"/>
              </w:rPr>
              <w:t>Session, security, diagnostic and audit metadata</w:t>
            </w:r>
          </w:p>
        </w:tc>
        <w:tc>
          <w:tcPr>
            <w:tcW w:type="dxa" w:w="3672"/>
            <w:shd w:fill="F7F9FC"/>
            <w:tcMar>
              <w:top w:w="95" w:type="dxa"/>
              <w:start w:w="105" w:type="dxa"/>
              <w:bottom w:w="95" w:type="dxa"/>
              <w:end w:w="105" w:type="dxa"/>
            </w:tcMar>
          </w:tcPr>
          <w:p>
            <w:pPr>
              <w:spacing w:after="0"/>
            </w:pPr>
            <w:r>
              <w:rPr>
                <w:rFonts w:ascii="Aptos" w:hAnsi="Aptos" w:eastAsia="Aptos"/>
                <w:b w:val="0"/>
                <w:i w:val="0"/>
                <w:color w:val="202938"/>
                <w:sz w:val="15"/>
              </w:rPr>
              <w:t>Operate, protect and troubleshoot the service</w:t>
            </w:r>
          </w:p>
        </w:tc>
      </w:tr>
    </w:tbl>
    <w:tbl>
      <w:tblPr>
        <w:tblW w:type="auto" w:w="0"/>
        <w:jc w:val="center"/>
        <w:tblLook w:firstColumn="1" w:firstRow="1" w:lastColumn="0" w:lastRow="0" w:noHBand="0" w:noVBand="1" w:val="04A0"/>
      </w:tblPr>
      <w:tblGrid>
        <w:gridCol w:w="10166"/>
      </w:tblGrid>
      <w:tr>
        <w:tc>
          <w:tcPr>
            <w:tcW w:type="dxa" w:w="10166"/>
            <w:shd w:fill="EEF4FF"/>
            <w:tcMar>
              <w:top w:w="150" w:type="dxa"/>
              <w:start w:w="180" w:type="dxa"/>
              <w:bottom w:w="150" w:type="dxa"/>
              <w:end w:w="180" w:type="dxa"/>
            </w:tcMar>
          </w:tcPr>
          <w:p>
            <w:pPr>
              <w:spacing w:after="60"/>
            </w:pPr>
            <w:r>
              <w:rPr>
                <w:rFonts w:ascii="Aptos" w:hAnsi="Aptos" w:eastAsia="Aptos"/>
                <w:b/>
                <w:i w:val="0"/>
                <w:color w:val="146EF5"/>
                <w:sz w:val="19"/>
              </w:rPr>
              <w:t>Data minimisation</w:t>
            </w:r>
          </w:p>
          <w:p>
            <w:pPr>
              <w:spacing w:after="0"/>
            </w:pPr>
            <w:r>
              <w:rPr>
                <w:rFonts w:ascii="Aptos" w:hAnsi="Aptos" w:eastAsia="Aptos"/>
                <w:b w:val="0"/>
                <w:i w:val="0"/>
                <w:color w:val="202938"/>
                <w:sz w:val="18"/>
              </w:rPr>
              <w:t>The roleplay can use a fictional persona and synthetic business scenario. Zell does not require recordings or personal data from real prospects or customers for this use case.</w:t>
            </w:r>
          </w:p>
        </w:tc>
      </w:tr>
    </w:tbl>
    <w:p>
      <w:pPr>
        <w:spacing w:after="20"/>
      </w:pPr>
    </w:p>
    <w:p>
      <w:r>
        <w:br w:type="page"/>
      </w:r>
    </w:p>
    <w:p>
      <w:pPr>
        <w:spacing w:after="80"/>
      </w:pPr>
      <w:r>
        <w:rPr>
          <w:rFonts w:ascii="Aptos" w:hAnsi="Aptos" w:eastAsia="Aptos"/>
          <w:b/>
          <w:i w:val="0"/>
          <w:color w:val="146EF5"/>
          <w:sz w:val="16"/>
        </w:rPr>
        <w:t>02 / HOSTING &amp; SUBPROCESSORS</w:t>
      </w:r>
    </w:p>
    <w:p>
      <w:pPr>
        <w:pStyle w:val="Heading1"/>
      </w:pPr>
      <w:r>
        <w:t>Roleplay processing locations</w:t>
      </w:r>
    </w:p>
    <w:p>
      <w:r>
        <w:rPr>
          <w:rFonts w:ascii="Aptos" w:hAnsi="Aptos" w:eastAsia="Aptos"/>
          <w:b w:val="0"/>
          <w:i w:val="0"/>
          <w:color w:val="202938"/>
          <w:sz w:val="18"/>
        </w:rPr>
        <w:t>The following providers are relevant to the roleplay service itself or its supporting security and operational functions.</w:t>
      </w:r>
    </w:p>
    <w:tbl>
      <w:tblPr>
        <w:tblStyle w:val="TableGrid"/>
        <w:tblW w:type="auto" w:w="0"/>
        <w:jc w:val="center"/>
        <w:tblLayout w:type="fixed"/>
        <w:tblLook w:firstColumn="1" w:firstRow="1" w:lastColumn="0" w:lastRow="0" w:noHBand="0" w:noVBand="1" w:val="04A0"/>
      </w:tblPr>
      <w:tblGrid>
        <w:gridCol w:w="1757"/>
        <w:gridCol w:w="3024"/>
        <w:gridCol w:w="3096"/>
        <w:gridCol w:w="2160"/>
      </w:tblGrid>
      <w:tr>
        <w:trPr>
          <w:tblHeader w:val="true"/>
          <w:cantSplit/>
        </w:trPr>
        <w:tc>
          <w:tcPr>
            <w:tcW w:type="dxa" w:w="2541"/>
            <w:shd w:fill="13213C"/>
            <w:tcMar>
              <w:top w:w="105" w:type="dxa"/>
              <w:start w:w="105" w:type="dxa"/>
              <w:bottom w:w="105" w:type="dxa"/>
              <w:end w:w="105" w:type="dxa"/>
            </w:tcMar>
          </w:tcPr>
          <w:p>
            <w:pPr>
              <w:spacing w:after="0"/>
            </w:pPr>
            <w:r>
              <w:rPr>
                <w:rFonts w:ascii="Aptos" w:hAnsi="Aptos" w:eastAsia="Aptos"/>
                <w:b/>
                <w:i w:val="0"/>
                <w:color w:val="FFFFFF"/>
                <w:sz w:val="14"/>
              </w:rPr>
              <w:t>PROVIDER / SERVICE</w:t>
            </w:r>
          </w:p>
        </w:tc>
        <w:tc>
          <w:tcPr>
            <w:tcW w:type="dxa" w:w="2541"/>
            <w:shd w:fill="13213C"/>
            <w:tcMar>
              <w:top w:w="105" w:type="dxa"/>
              <w:start w:w="105" w:type="dxa"/>
              <w:bottom w:w="105" w:type="dxa"/>
              <w:end w:w="105" w:type="dxa"/>
            </w:tcMar>
          </w:tcPr>
          <w:p>
            <w:pPr>
              <w:spacing w:after="0"/>
            </w:pPr>
            <w:r>
              <w:rPr>
                <w:rFonts w:ascii="Aptos" w:hAnsi="Aptos" w:eastAsia="Aptos"/>
                <w:b/>
                <w:i w:val="0"/>
                <w:color w:val="FFFFFF"/>
                <w:sz w:val="14"/>
              </w:rPr>
              <w:t>ROLE IN THIS USE CASE</w:t>
            </w:r>
          </w:p>
        </w:tc>
        <w:tc>
          <w:tcPr>
            <w:tcW w:type="dxa" w:w="2541"/>
            <w:shd w:fill="13213C"/>
            <w:tcMar>
              <w:top w:w="105" w:type="dxa"/>
              <w:start w:w="105" w:type="dxa"/>
              <w:bottom w:w="105" w:type="dxa"/>
              <w:end w:w="105" w:type="dxa"/>
            </w:tcMar>
          </w:tcPr>
          <w:p>
            <w:pPr>
              <w:spacing w:after="0"/>
            </w:pPr>
            <w:r>
              <w:rPr>
                <w:rFonts w:ascii="Aptos" w:hAnsi="Aptos" w:eastAsia="Aptos"/>
                <w:b/>
                <w:i w:val="0"/>
                <w:color w:val="FFFFFF"/>
                <w:sz w:val="14"/>
              </w:rPr>
              <w:t>DATA INVOLVED</w:t>
            </w:r>
          </w:p>
        </w:tc>
        <w:tc>
          <w:tcPr>
            <w:tcW w:type="dxa" w:w="2541"/>
            <w:shd w:fill="13213C"/>
            <w:tcMar>
              <w:top w:w="105" w:type="dxa"/>
              <w:start w:w="105" w:type="dxa"/>
              <w:bottom w:w="105" w:type="dxa"/>
              <w:end w:w="105" w:type="dxa"/>
            </w:tcMar>
          </w:tcPr>
          <w:p>
            <w:pPr>
              <w:spacing w:after="0"/>
            </w:pPr>
            <w:r>
              <w:rPr>
                <w:rFonts w:ascii="Aptos" w:hAnsi="Aptos" w:eastAsia="Aptos"/>
                <w:b/>
                <w:i w:val="0"/>
                <w:color w:val="FFFFFF"/>
                <w:sz w:val="14"/>
              </w:rPr>
              <w:t>PROCESSING LOCATION</w:t>
            </w:r>
          </w:p>
        </w:tc>
      </w:tr>
      <w:tr>
        <w:trPr>
          <w:cantSplit/>
        </w:trPr>
        <w:tc>
          <w:tcPr>
            <w:tcW w:type="dxa" w:w="1757"/>
            <w:shd w:fill="FFFFFF"/>
            <w:tcMar>
              <w:top w:w="95" w:type="dxa"/>
              <w:start w:w="105" w:type="dxa"/>
              <w:bottom w:w="95" w:type="dxa"/>
              <w:end w:w="105" w:type="dxa"/>
            </w:tcMar>
          </w:tcPr>
          <w:p>
            <w:pPr>
              <w:spacing w:after="0"/>
            </w:pPr>
            <w:r>
              <w:rPr>
                <w:rFonts w:ascii="Aptos" w:hAnsi="Aptos" w:eastAsia="Aptos"/>
                <w:b/>
                <w:i w:val="0"/>
                <w:color w:val="13213C"/>
                <w:sz w:val="15"/>
              </w:rPr>
              <w:t>Amazon Web Services</w:t>
            </w:r>
          </w:p>
        </w:tc>
        <w:tc>
          <w:tcPr>
            <w:tcW w:type="dxa" w:w="3024"/>
            <w:shd w:fill="FFFFFF"/>
            <w:tcMar>
              <w:top w:w="95" w:type="dxa"/>
              <w:start w:w="105" w:type="dxa"/>
              <w:bottom w:w="95" w:type="dxa"/>
              <w:end w:w="105" w:type="dxa"/>
            </w:tcMar>
          </w:tcPr>
          <w:p>
            <w:pPr>
              <w:spacing w:after="0"/>
            </w:pPr>
            <w:r>
              <w:rPr>
                <w:rFonts w:ascii="Aptos" w:hAnsi="Aptos" w:eastAsia="Aptos"/>
                <w:b w:val="0"/>
                <w:i w:val="0"/>
                <w:color w:val="202938"/>
                <w:sz w:val="15"/>
              </w:rPr>
              <w:t>Frontend, backend, PostgreSQL database and application infrastructure</w:t>
            </w:r>
          </w:p>
        </w:tc>
        <w:tc>
          <w:tcPr>
            <w:tcW w:type="dxa" w:w="3096"/>
            <w:shd w:fill="FFFFFF"/>
            <w:tcMar>
              <w:top w:w="95" w:type="dxa"/>
              <w:start w:w="105" w:type="dxa"/>
              <w:bottom w:w="95" w:type="dxa"/>
              <w:end w:w="105" w:type="dxa"/>
            </w:tcMar>
          </w:tcPr>
          <w:p>
            <w:pPr>
              <w:spacing w:after="0"/>
            </w:pPr>
            <w:r>
              <w:rPr>
                <w:rFonts w:ascii="Aptos" w:hAnsi="Aptos" w:eastAsia="Aptos"/>
                <w:b w:val="0"/>
                <w:i w:val="0"/>
                <w:color w:val="202938"/>
                <w:sz w:val="15"/>
              </w:rPr>
              <w:t>Account, configuration, transcript, scores, feedback, metadata</w:t>
            </w:r>
          </w:p>
        </w:tc>
        <w:tc>
          <w:tcPr>
            <w:tcW w:type="dxa" w:w="2160"/>
            <w:shd w:fill="FFFFFF"/>
            <w:tcMar>
              <w:top w:w="95" w:type="dxa"/>
              <w:start w:w="105" w:type="dxa"/>
              <w:bottom w:w="95" w:type="dxa"/>
              <w:end w:w="105" w:type="dxa"/>
            </w:tcMar>
          </w:tcPr>
          <w:p>
            <w:pPr>
              <w:spacing w:after="0"/>
            </w:pPr>
            <w:r>
              <w:rPr>
                <w:rFonts w:ascii="Aptos" w:hAnsi="Aptos" w:eastAsia="Aptos"/>
                <w:b w:val="0"/>
                <w:i w:val="0"/>
                <w:color w:val="202938"/>
                <w:sz w:val="15"/>
              </w:rPr>
              <w:t>Milan, Italy (eu-south-1)</w:t>
            </w:r>
          </w:p>
        </w:tc>
      </w:tr>
      <w:tr>
        <w:trPr>
          <w:cantSplit/>
        </w:trPr>
        <w:tc>
          <w:tcPr>
            <w:tcW w:type="dxa" w:w="1757"/>
            <w:shd w:fill="F7F9FC"/>
            <w:tcMar>
              <w:top w:w="95" w:type="dxa"/>
              <w:start w:w="105" w:type="dxa"/>
              <w:bottom w:w="95" w:type="dxa"/>
              <w:end w:w="105" w:type="dxa"/>
            </w:tcMar>
          </w:tcPr>
          <w:p>
            <w:pPr>
              <w:spacing w:after="0"/>
            </w:pPr>
            <w:r>
              <w:rPr>
                <w:rFonts w:ascii="Aptos" w:hAnsi="Aptos" w:eastAsia="Aptos"/>
                <w:b/>
                <w:i w:val="0"/>
                <w:color w:val="13213C"/>
                <w:sz w:val="15"/>
              </w:rPr>
              <w:t>AWS Bedrock</w:t>
            </w:r>
          </w:p>
        </w:tc>
        <w:tc>
          <w:tcPr>
            <w:tcW w:type="dxa" w:w="3024"/>
            <w:shd w:fill="F7F9FC"/>
            <w:tcMar>
              <w:top w:w="95" w:type="dxa"/>
              <w:start w:w="105" w:type="dxa"/>
              <w:bottom w:w="95" w:type="dxa"/>
              <w:end w:w="105" w:type="dxa"/>
            </w:tcMar>
          </w:tcPr>
          <w:p>
            <w:pPr>
              <w:spacing w:after="0"/>
            </w:pPr>
            <w:r>
              <w:rPr>
                <w:rFonts w:ascii="Aptos" w:hAnsi="Aptos" w:eastAsia="Aptos"/>
                <w:b w:val="0"/>
                <w:i w:val="0"/>
                <w:color w:val="202938"/>
                <w:sz w:val="15"/>
              </w:rPr>
              <w:t>Post-roleplay AI scoring and feedback</w:t>
            </w:r>
          </w:p>
        </w:tc>
        <w:tc>
          <w:tcPr>
            <w:tcW w:type="dxa" w:w="3096"/>
            <w:shd w:fill="F7F9FC"/>
            <w:tcMar>
              <w:top w:w="95" w:type="dxa"/>
              <w:start w:w="105" w:type="dxa"/>
              <w:bottom w:w="95" w:type="dxa"/>
              <w:end w:w="105" w:type="dxa"/>
            </w:tcMar>
          </w:tcPr>
          <w:p>
            <w:pPr>
              <w:spacing w:after="0"/>
            </w:pPr>
            <w:r>
              <w:rPr>
                <w:rFonts w:ascii="Aptos" w:hAnsi="Aptos" w:eastAsia="Aptos"/>
                <w:b w:val="0"/>
                <w:i w:val="0"/>
                <w:color w:val="202938"/>
                <w:sz w:val="15"/>
              </w:rPr>
              <w:t>Transcript, scorecard and relevant scenario context</w:t>
            </w:r>
          </w:p>
        </w:tc>
        <w:tc>
          <w:tcPr>
            <w:tcW w:type="dxa" w:w="2160"/>
            <w:shd w:fill="F7F9FC"/>
            <w:tcMar>
              <w:top w:w="95" w:type="dxa"/>
              <w:start w:w="105" w:type="dxa"/>
              <w:bottom w:w="95" w:type="dxa"/>
              <w:end w:w="105" w:type="dxa"/>
            </w:tcMar>
          </w:tcPr>
          <w:p>
            <w:pPr>
              <w:spacing w:after="0"/>
            </w:pPr>
            <w:r>
              <w:rPr>
                <w:rFonts w:ascii="Aptos" w:hAnsi="Aptos" w:eastAsia="Aptos"/>
                <w:b w:val="0"/>
                <w:i w:val="0"/>
                <w:color w:val="202938"/>
                <w:sz w:val="15"/>
              </w:rPr>
              <w:t>EU geographic inference profile</w:t>
            </w:r>
          </w:p>
        </w:tc>
      </w:tr>
      <w:tr>
        <w:trPr>
          <w:cantSplit/>
        </w:trPr>
        <w:tc>
          <w:tcPr>
            <w:tcW w:type="dxa" w:w="1757"/>
            <w:shd w:fill="FFFFFF"/>
            <w:tcMar>
              <w:top w:w="95" w:type="dxa"/>
              <w:start w:w="105" w:type="dxa"/>
              <w:bottom w:w="95" w:type="dxa"/>
              <w:end w:w="105" w:type="dxa"/>
            </w:tcMar>
          </w:tcPr>
          <w:p>
            <w:pPr>
              <w:spacing w:after="0"/>
            </w:pPr>
            <w:r>
              <w:rPr>
                <w:rFonts w:ascii="Aptos" w:hAnsi="Aptos" w:eastAsia="Aptos"/>
                <w:b/>
                <w:i w:val="0"/>
                <w:color w:val="13213C"/>
                <w:sz w:val="15"/>
              </w:rPr>
              <w:t>Google Cloud Storage</w:t>
            </w:r>
          </w:p>
        </w:tc>
        <w:tc>
          <w:tcPr>
            <w:tcW w:type="dxa" w:w="3024"/>
            <w:shd w:fill="FFFFFF"/>
            <w:tcMar>
              <w:top w:w="95" w:type="dxa"/>
              <w:start w:w="105" w:type="dxa"/>
              <w:bottom w:w="95" w:type="dxa"/>
              <w:end w:w="105" w:type="dxa"/>
            </w:tcMar>
          </w:tcPr>
          <w:p>
            <w:pPr>
              <w:spacing w:after="0"/>
            </w:pPr>
            <w:r>
              <w:rPr>
                <w:rFonts w:ascii="Aptos" w:hAnsi="Aptos" w:eastAsia="Aptos"/>
                <w:b w:val="0"/>
                <w:i w:val="0"/>
                <w:color w:val="202938"/>
                <w:sz w:val="15"/>
              </w:rPr>
              <w:t>Private object storage for recordings and roleplay files</w:t>
            </w:r>
          </w:p>
        </w:tc>
        <w:tc>
          <w:tcPr>
            <w:tcW w:type="dxa" w:w="3096"/>
            <w:shd w:fill="FFFFFF"/>
            <w:tcMar>
              <w:top w:w="95" w:type="dxa"/>
              <w:start w:w="105" w:type="dxa"/>
              <w:bottom w:w="95" w:type="dxa"/>
              <w:end w:w="105" w:type="dxa"/>
            </w:tcMar>
          </w:tcPr>
          <w:p>
            <w:pPr>
              <w:spacing w:after="0"/>
            </w:pPr>
            <w:r>
              <w:rPr>
                <w:rFonts w:ascii="Aptos" w:hAnsi="Aptos" w:eastAsia="Aptos"/>
                <w:b w:val="0"/>
                <w:i w:val="0"/>
                <w:color w:val="202938"/>
                <w:sz w:val="15"/>
              </w:rPr>
              <w:t>Audio recordings and customer-provided files</w:t>
            </w:r>
          </w:p>
        </w:tc>
        <w:tc>
          <w:tcPr>
            <w:tcW w:type="dxa" w:w="2160"/>
            <w:shd w:fill="FFFFFF"/>
            <w:tcMar>
              <w:top w:w="95" w:type="dxa"/>
              <w:start w:w="105" w:type="dxa"/>
              <w:bottom w:w="95" w:type="dxa"/>
              <w:end w:w="105" w:type="dxa"/>
            </w:tcMar>
          </w:tcPr>
          <w:p>
            <w:pPr>
              <w:spacing w:after="0"/>
            </w:pPr>
            <w:r>
              <w:rPr>
                <w:rFonts w:ascii="Aptos" w:hAnsi="Aptos" w:eastAsia="Aptos"/>
                <w:b w:val="0"/>
                <w:i w:val="0"/>
                <w:color w:val="202938"/>
                <w:sz w:val="15"/>
              </w:rPr>
              <w:t>European Union multi-region</w:t>
            </w:r>
          </w:p>
        </w:tc>
      </w:tr>
      <w:tr>
        <w:trPr>
          <w:cantSplit/>
        </w:trPr>
        <w:tc>
          <w:tcPr>
            <w:tcW w:type="dxa" w:w="1757"/>
            <w:shd w:fill="F7F9FC"/>
            <w:tcMar>
              <w:top w:w="95" w:type="dxa"/>
              <w:start w:w="105" w:type="dxa"/>
              <w:bottom w:w="95" w:type="dxa"/>
              <w:end w:w="105" w:type="dxa"/>
            </w:tcMar>
          </w:tcPr>
          <w:p>
            <w:pPr>
              <w:spacing w:after="0"/>
            </w:pPr>
            <w:r>
              <w:rPr>
                <w:rFonts w:ascii="Aptos" w:hAnsi="Aptos" w:eastAsia="Aptos"/>
                <w:b/>
                <w:i w:val="0"/>
                <w:color w:val="13213C"/>
                <w:sz w:val="15"/>
              </w:rPr>
              <w:t>ElevenLabs</w:t>
            </w:r>
          </w:p>
        </w:tc>
        <w:tc>
          <w:tcPr>
            <w:tcW w:type="dxa" w:w="3024"/>
            <w:shd w:fill="F7F9FC"/>
            <w:tcMar>
              <w:top w:w="95" w:type="dxa"/>
              <w:start w:w="105" w:type="dxa"/>
              <w:bottom w:w="95" w:type="dxa"/>
              <w:end w:w="105" w:type="dxa"/>
            </w:tcMar>
          </w:tcPr>
          <w:p>
            <w:pPr>
              <w:spacing w:after="0"/>
            </w:pPr>
            <w:r>
              <w:rPr>
                <w:rFonts w:ascii="Aptos" w:hAnsi="Aptos" w:eastAsia="Aptos"/>
                <w:b w:val="0"/>
                <w:i w:val="0"/>
                <w:color w:val="202938"/>
                <w:sz w:val="15"/>
              </w:rPr>
              <w:t>Real-time speech recognition, synthetic voice and conversational orchestration</w:t>
            </w:r>
          </w:p>
        </w:tc>
        <w:tc>
          <w:tcPr>
            <w:tcW w:type="dxa" w:w="3096"/>
            <w:shd w:fill="F7F9FC"/>
            <w:tcMar>
              <w:top w:w="95" w:type="dxa"/>
              <w:start w:w="105" w:type="dxa"/>
              <w:bottom w:w="95" w:type="dxa"/>
              <w:end w:w="105" w:type="dxa"/>
            </w:tcMar>
          </w:tcPr>
          <w:p>
            <w:pPr>
              <w:spacing w:after="0"/>
            </w:pPr>
            <w:r>
              <w:rPr>
                <w:rFonts w:ascii="Aptos" w:hAnsi="Aptos" w:eastAsia="Aptos"/>
                <w:b w:val="0"/>
                <w:i w:val="0"/>
                <w:color w:val="202938"/>
                <w:sz w:val="15"/>
              </w:rPr>
              <w:t>Live audio, transcript and roleplay context</w:t>
            </w:r>
          </w:p>
        </w:tc>
        <w:tc>
          <w:tcPr>
            <w:tcW w:type="dxa" w:w="2160"/>
            <w:shd w:fill="F7F9FC"/>
            <w:tcMar>
              <w:top w:w="95" w:type="dxa"/>
              <w:start w:w="105" w:type="dxa"/>
              <w:bottom w:w="95" w:type="dxa"/>
              <w:end w:w="105" w:type="dxa"/>
            </w:tcMar>
          </w:tcPr>
          <w:p>
            <w:pPr>
              <w:spacing w:after="0"/>
            </w:pPr>
            <w:r>
              <w:rPr>
                <w:rFonts w:ascii="Aptos" w:hAnsi="Aptos" w:eastAsia="Aptos"/>
                <w:b w:val="0"/>
                <w:i w:val="0"/>
                <w:color w:val="202938"/>
                <w:sz w:val="15"/>
              </w:rPr>
              <w:t>EU-isolated environment</w:t>
            </w:r>
          </w:p>
        </w:tc>
      </w:tr>
      <w:tr>
        <w:trPr>
          <w:cantSplit/>
        </w:trPr>
        <w:tc>
          <w:tcPr>
            <w:tcW w:type="dxa" w:w="1757"/>
            <w:shd w:fill="FFFFFF"/>
            <w:tcMar>
              <w:top w:w="95" w:type="dxa"/>
              <w:start w:w="105" w:type="dxa"/>
              <w:bottom w:w="95" w:type="dxa"/>
              <w:end w:w="105" w:type="dxa"/>
            </w:tcMar>
          </w:tcPr>
          <w:p>
            <w:pPr>
              <w:spacing w:after="0"/>
            </w:pPr>
            <w:r>
              <w:rPr>
                <w:rFonts w:ascii="Aptos" w:hAnsi="Aptos" w:eastAsia="Aptos"/>
                <w:b/>
                <w:i w:val="0"/>
                <w:color w:val="13213C"/>
                <w:sz w:val="15"/>
              </w:rPr>
              <w:t>Microsoft Azure</w:t>
            </w:r>
          </w:p>
        </w:tc>
        <w:tc>
          <w:tcPr>
            <w:tcW w:type="dxa" w:w="3024"/>
            <w:shd w:fill="FFFFFF"/>
            <w:tcMar>
              <w:top w:w="95" w:type="dxa"/>
              <w:start w:w="105" w:type="dxa"/>
              <w:bottom w:w="95" w:type="dxa"/>
              <w:end w:w="105" w:type="dxa"/>
            </w:tcMar>
          </w:tcPr>
          <w:p>
            <w:pPr>
              <w:spacing w:after="0"/>
            </w:pPr>
            <w:r>
              <w:rPr>
                <w:rFonts w:ascii="Aptos" w:hAnsi="Aptos" w:eastAsia="Aptos"/>
                <w:b w:val="0"/>
                <w:i w:val="0"/>
                <w:color w:val="202938"/>
                <w:sz w:val="15"/>
              </w:rPr>
              <w:t>EU-hosted semantic embeddings used in feedback analysis</w:t>
            </w:r>
          </w:p>
        </w:tc>
        <w:tc>
          <w:tcPr>
            <w:tcW w:type="dxa" w:w="3096"/>
            <w:shd w:fill="FFFFFF"/>
            <w:tcMar>
              <w:top w:w="95" w:type="dxa"/>
              <w:start w:w="105" w:type="dxa"/>
              <w:bottom w:w="95" w:type="dxa"/>
              <w:end w:w="105" w:type="dxa"/>
            </w:tcMar>
          </w:tcPr>
          <w:p>
            <w:pPr>
              <w:spacing w:after="0"/>
            </w:pPr>
            <w:r>
              <w:rPr>
                <w:rFonts w:ascii="Aptos" w:hAnsi="Aptos" w:eastAsia="Aptos"/>
                <w:b w:val="0"/>
                <w:i w:val="0"/>
                <w:color w:val="202938"/>
                <w:sz w:val="15"/>
              </w:rPr>
              <w:t>Short feedback phrases / derived text</w:t>
            </w:r>
          </w:p>
        </w:tc>
        <w:tc>
          <w:tcPr>
            <w:tcW w:type="dxa" w:w="2160"/>
            <w:shd w:fill="FFFFFF"/>
            <w:tcMar>
              <w:top w:w="95" w:type="dxa"/>
              <w:start w:w="105" w:type="dxa"/>
              <w:bottom w:w="95" w:type="dxa"/>
              <w:end w:w="105" w:type="dxa"/>
            </w:tcMar>
          </w:tcPr>
          <w:p>
            <w:pPr>
              <w:spacing w:after="0"/>
            </w:pPr>
            <w:r>
              <w:rPr>
                <w:rFonts w:ascii="Aptos" w:hAnsi="Aptos" w:eastAsia="Aptos"/>
                <w:b w:val="0"/>
                <w:i w:val="0"/>
                <w:color w:val="202938"/>
                <w:sz w:val="15"/>
              </w:rPr>
              <w:t>European Union deployment</w:t>
            </w:r>
          </w:p>
        </w:tc>
      </w:tr>
      <w:tr>
        <w:trPr>
          <w:cantSplit/>
        </w:trPr>
        <w:tc>
          <w:tcPr>
            <w:tcW w:type="dxa" w:w="1757"/>
            <w:shd w:fill="F7F9FC"/>
            <w:tcMar>
              <w:top w:w="95" w:type="dxa"/>
              <w:start w:w="105" w:type="dxa"/>
              <w:bottom w:w="95" w:type="dxa"/>
              <w:end w:w="105" w:type="dxa"/>
            </w:tcMar>
          </w:tcPr>
          <w:p>
            <w:pPr>
              <w:spacing w:after="0"/>
            </w:pPr>
            <w:r>
              <w:rPr>
                <w:rFonts w:ascii="Aptos" w:hAnsi="Aptos" w:eastAsia="Aptos"/>
                <w:b/>
                <w:i w:val="0"/>
                <w:color w:val="13213C"/>
                <w:sz w:val="15"/>
              </w:rPr>
              <w:t>Cloudflare</w:t>
            </w:r>
          </w:p>
        </w:tc>
        <w:tc>
          <w:tcPr>
            <w:tcW w:type="dxa" w:w="3024"/>
            <w:shd w:fill="F7F9FC"/>
            <w:tcMar>
              <w:top w:w="95" w:type="dxa"/>
              <w:start w:w="105" w:type="dxa"/>
              <w:bottom w:w="95" w:type="dxa"/>
              <w:end w:w="105" w:type="dxa"/>
            </w:tcMar>
          </w:tcPr>
          <w:p>
            <w:pPr>
              <w:spacing w:after="0"/>
            </w:pPr>
            <w:r>
              <w:rPr>
                <w:rFonts w:ascii="Aptos" w:hAnsi="Aptos" w:eastAsia="Aptos"/>
                <w:b w:val="0"/>
                <w:i w:val="0"/>
                <w:color w:val="202938"/>
                <w:sz w:val="15"/>
              </w:rPr>
              <w:t>DNS, web delivery and security controls</w:t>
            </w:r>
          </w:p>
        </w:tc>
        <w:tc>
          <w:tcPr>
            <w:tcW w:type="dxa" w:w="3096"/>
            <w:shd w:fill="F7F9FC"/>
            <w:tcMar>
              <w:top w:w="95" w:type="dxa"/>
              <w:start w:w="105" w:type="dxa"/>
              <w:bottom w:w="95" w:type="dxa"/>
              <w:end w:w="105" w:type="dxa"/>
            </w:tcMar>
          </w:tcPr>
          <w:p>
            <w:pPr>
              <w:spacing w:after="0"/>
            </w:pPr>
            <w:r>
              <w:rPr>
                <w:rFonts w:ascii="Aptos" w:hAnsi="Aptos" w:eastAsia="Aptos"/>
                <w:b w:val="0"/>
                <w:i w:val="0"/>
                <w:color w:val="202938"/>
                <w:sz w:val="15"/>
              </w:rPr>
              <w:t>IP address, request and security metadata</w:t>
            </w:r>
          </w:p>
        </w:tc>
        <w:tc>
          <w:tcPr>
            <w:tcW w:type="dxa" w:w="2160"/>
            <w:shd w:fill="F7F9FC"/>
            <w:tcMar>
              <w:top w:w="95" w:type="dxa"/>
              <w:start w:w="105" w:type="dxa"/>
              <w:bottom w:w="95" w:type="dxa"/>
              <w:end w:w="105" w:type="dxa"/>
            </w:tcMar>
          </w:tcPr>
          <w:p>
            <w:pPr>
              <w:spacing w:after="0"/>
            </w:pPr>
            <w:r>
              <w:rPr>
                <w:rFonts w:ascii="Aptos" w:hAnsi="Aptos" w:eastAsia="Aptos"/>
                <w:b w:val="0"/>
                <w:i w:val="0"/>
                <w:color w:val="202938"/>
                <w:sz w:val="15"/>
              </w:rPr>
              <w:t>Global edge network; nearest data centre</w:t>
            </w:r>
          </w:p>
        </w:tc>
      </w:tr>
      <w:tr>
        <w:trPr>
          <w:cantSplit/>
        </w:trPr>
        <w:tc>
          <w:tcPr>
            <w:tcW w:type="dxa" w:w="1757"/>
            <w:shd w:fill="FFFFFF"/>
            <w:tcMar>
              <w:top w:w="95" w:type="dxa"/>
              <w:start w:w="105" w:type="dxa"/>
              <w:bottom w:w="95" w:type="dxa"/>
              <w:end w:w="105" w:type="dxa"/>
            </w:tcMar>
          </w:tcPr>
          <w:p>
            <w:pPr>
              <w:spacing w:after="0"/>
            </w:pPr>
            <w:r>
              <w:rPr>
                <w:rFonts w:ascii="Aptos" w:hAnsi="Aptos" w:eastAsia="Aptos"/>
                <w:b/>
                <w:i w:val="0"/>
                <w:color w:val="13213C"/>
                <w:sz w:val="15"/>
              </w:rPr>
              <w:t>Langfuse</w:t>
            </w:r>
          </w:p>
        </w:tc>
        <w:tc>
          <w:tcPr>
            <w:tcW w:type="dxa" w:w="3024"/>
            <w:shd w:fill="FFFFFF"/>
            <w:tcMar>
              <w:top w:w="95" w:type="dxa"/>
              <w:start w:w="105" w:type="dxa"/>
              <w:bottom w:w="95" w:type="dxa"/>
              <w:end w:w="105" w:type="dxa"/>
            </w:tcMar>
          </w:tcPr>
          <w:p>
            <w:pPr>
              <w:spacing w:after="0"/>
            </w:pPr>
            <w:r>
              <w:rPr>
                <w:rFonts w:ascii="Aptos" w:hAnsi="Aptos" w:eastAsia="Aptos"/>
                <w:b w:val="0"/>
                <w:i w:val="0"/>
                <w:color w:val="202938"/>
                <w:sz w:val="15"/>
              </w:rPr>
              <w:t>AI quality, prompt and trace monitoring</w:t>
            </w:r>
          </w:p>
        </w:tc>
        <w:tc>
          <w:tcPr>
            <w:tcW w:type="dxa" w:w="3096"/>
            <w:shd w:fill="FFFFFF"/>
            <w:tcMar>
              <w:top w:w="95" w:type="dxa"/>
              <w:start w:w="105" w:type="dxa"/>
              <w:bottom w:w="95" w:type="dxa"/>
              <w:end w:w="105" w:type="dxa"/>
            </w:tcMar>
          </w:tcPr>
          <w:p>
            <w:pPr>
              <w:spacing w:after="0"/>
            </w:pPr>
            <w:r>
              <w:rPr>
                <w:rFonts w:ascii="Aptos" w:hAnsi="Aptos" w:eastAsia="Aptos"/>
                <w:b w:val="0"/>
                <w:i w:val="0"/>
                <w:color w:val="202938"/>
                <w:sz w:val="15"/>
              </w:rPr>
              <w:t>Prompt/response content and technical trace metadata</w:t>
            </w:r>
          </w:p>
        </w:tc>
        <w:tc>
          <w:tcPr>
            <w:tcW w:type="dxa" w:w="2160"/>
            <w:shd w:fill="FFFFFF"/>
            <w:tcMar>
              <w:top w:w="95" w:type="dxa"/>
              <w:start w:w="105" w:type="dxa"/>
              <w:bottom w:w="95" w:type="dxa"/>
              <w:end w:w="105" w:type="dxa"/>
            </w:tcMar>
          </w:tcPr>
          <w:p>
            <w:pPr>
              <w:spacing w:after="0"/>
            </w:pPr>
            <w:r>
              <w:rPr>
                <w:rFonts w:ascii="Aptos" w:hAnsi="Aptos" w:eastAsia="Aptos"/>
                <w:b w:val="0"/>
                <w:i w:val="0"/>
                <w:color w:val="202938"/>
                <w:sz w:val="15"/>
              </w:rPr>
              <w:t>European Union</w:t>
            </w:r>
          </w:p>
        </w:tc>
      </w:tr>
      <w:tr>
        <w:trPr>
          <w:cantSplit/>
        </w:trPr>
        <w:tc>
          <w:tcPr>
            <w:tcW w:type="dxa" w:w="1757"/>
            <w:shd w:fill="F7F9FC"/>
            <w:tcMar>
              <w:top w:w="95" w:type="dxa"/>
              <w:start w:w="105" w:type="dxa"/>
              <w:bottom w:w="95" w:type="dxa"/>
              <w:end w:w="105" w:type="dxa"/>
            </w:tcMar>
          </w:tcPr>
          <w:p>
            <w:pPr>
              <w:spacing w:after="0"/>
            </w:pPr>
            <w:r>
              <w:rPr>
                <w:rFonts w:ascii="Aptos" w:hAnsi="Aptos" w:eastAsia="Aptos"/>
                <w:b/>
                <w:i w:val="0"/>
                <w:color w:val="13213C"/>
                <w:sz w:val="15"/>
              </w:rPr>
              <w:t>PostHog</w:t>
            </w:r>
          </w:p>
        </w:tc>
        <w:tc>
          <w:tcPr>
            <w:tcW w:type="dxa" w:w="3024"/>
            <w:shd w:fill="F7F9FC"/>
            <w:tcMar>
              <w:top w:w="95" w:type="dxa"/>
              <w:start w:w="105" w:type="dxa"/>
              <w:bottom w:w="95" w:type="dxa"/>
              <w:end w:w="105" w:type="dxa"/>
            </w:tcMar>
          </w:tcPr>
          <w:p>
            <w:pPr>
              <w:spacing w:after="0"/>
            </w:pPr>
            <w:r>
              <w:rPr>
                <w:rFonts w:ascii="Aptos" w:hAnsi="Aptos" w:eastAsia="Aptos"/>
                <w:b w:val="0"/>
                <w:i w:val="0"/>
                <w:color w:val="202938"/>
                <w:sz w:val="15"/>
              </w:rPr>
              <w:t>Product usage analytics</w:t>
            </w:r>
          </w:p>
        </w:tc>
        <w:tc>
          <w:tcPr>
            <w:tcW w:type="dxa" w:w="3096"/>
            <w:shd w:fill="F7F9FC"/>
            <w:tcMar>
              <w:top w:w="95" w:type="dxa"/>
              <w:start w:w="105" w:type="dxa"/>
              <w:bottom w:w="95" w:type="dxa"/>
              <w:end w:w="105" w:type="dxa"/>
            </w:tcMar>
          </w:tcPr>
          <w:p>
            <w:pPr>
              <w:spacing w:after="0"/>
            </w:pPr>
            <w:r>
              <w:rPr>
                <w:rFonts w:ascii="Aptos" w:hAnsi="Aptos" w:eastAsia="Aptos"/>
                <w:b w:val="0"/>
                <w:i w:val="0"/>
                <w:color w:val="202938"/>
                <w:sz w:val="15"/>
              </w:rPr>
              <w:t>Usage and device metadata; audio is not intentionally sent</w:t>
            </w:r>
          </w:p>
        </w:tc>
        <w:tc>
          <w:tcPr>
            <w:tcW w:type="dxa" w:w="2160"/>
            <w:shd w:fill="F7F9FC"/>
            <w:tcMar>
              <w:top w:w="95" w:type="dxa"/>
              <w:start w:w="105" w:type="dxa"/>
              <w:bottom w:w="95" w:type="dxa"/>
              <w:end w:w="105" w:type="dxa"/>
            </w:tcMar>
          </w:tcPr>
          <w:p>
            <w:pPr>
              <w:spacing w:after="0"/>
            </w:pPr>
            <w:r>
              <w:rPr>
                <w:rFonts w:ascii="Aptos" w:hAnsi="Aptos" w:eastAsia="Aptos"/>
                <w:b w:val="0"/>
                <w:i w:val="0"/>
                <w:color w:val="202938"/>
                <w:sz w:val="15"/>
              </w:rPr>
              <w:t>Frankfurt, Germany / EU</w:t>
            </w:r>
          </w:p>
        </w:tc>
      </w:tr>
      <w:tr>
        <w:trPr>
          <w:cantSplit/>
        </w:trPr>
        <w:tc>
          <w:tcPr>
            <w:tcW w:type="dxa" w:w="1757"/>
            <w:shd w:fill="FFFFFF"/>
            <w:tcMar>
              <w:top w:w="95" w:type="dxa"/>
              <w:start w:w="105" w:type="dxa"/>
              <w:bottom w:w="95" w:type="dxa"/>
              <w:end w:w="105" w:type="dxa"/>
            </w:tcMar>
          </w:tcPr>
          <w:p>
            <w:pPr>
              <w:spacing w:after="0"/>
            </w:pPr>
            <w:r>
              <w:rPr>
                <w:rFonts w:ascii="Aptos" w:hAnsi="Aptos" w:eastAsia="Aptos"/>
                <w:b/>
                <w:i w:val="0"/>
                <w:color w:val="13213C"/>
                <w:sz w:val="15"/>
              </w:rPr>
              <w:t>Sentry</w:t>
            </w:r>
          </w:p>
        </w:tc>
        <w:tc>
          <w:tcPr>
            <w:tcW w:type="dxa" w:w="3024"/>
            <w:shd w:fill="FFFFFF"/>
            <w:tcMar>
              <w:top w:w="95" w:type="dxa"/>
              <w:start w:w="105" w:type="dxa"/>
              <w:bottom w:w="95" w:type="dxa"/>
              <w:end w:w="105" w:type="dxa"/>
            </w:tcMar>
          </w:tcPr>
          <w:p>
            <w:pPr>
              <w:spacing w:after="0"/>
            </w:pPr>
            <w:r>
              <w:rPr>
                <w:rFonts w:ascii="Aptos" w:hAnsi="Aptos" w:eastAsia="Aptos"/>
                <w:b w:val="0"/>
                <w:i w:val="0"/>
                <w:color w:val="202938"/>
                <w:sz w:val="15"/>
              </w:rPr>
              <w:t>Error and performance diagnostics</w:t>
            </w:r>
          </w:p>
        </w:tc>
        <w:tc>
          <w:tcPr>
            <w:tcW w:type="dxa" w:w="3096"/>
            <w:shd w:fill="FFFFFF"/>
            <w:tcMar>
              <w:top w:w="95" w:type="dxa"/>
              <w:start w:w="105" w:type="dxa"/>
              <w:bottom w:w="95" w:type="dxa"/>
              <w:end w:w="105" w:type="dxa"/>
            </w:tcMar>
          </w:tcPr>
          <w:p>
            <w:pPr>
              <w:spacing w:after="0"/>
            </w:pPr>
            <w:r>
              <w:rPr>
                <w:rFonts w:ascii="Aptos" w:hAnsi="Aptos" w:eastAsia="Aptos"/>
                <w:b w:val="0"/>
                <w:i w:val="0"/>
                <w:color w:val="202938"/>
                <w:sz w:val="15"/>
              </w:rPr>
              <w:t>Diagnostic and technical metadata; audio is not intentionally sent</w:t>
            </w:r>
          </w:p>
        </w:tc>
        <w:tc>
          <w:tcPr>
            <w:tcW w:type="dxa" w:w="2160"/>
            <w:shd w:fill="FFFFFF"/>
            <w:tcMar>
              <w:top w:w="95" w:type="dxa"/>
              <w:start w:w="105" w:type="dxa"/>
              <w:bottom w:w="95" w:type="dxa"/>
              <w:end w:w="105" w:type="dxa"/>
            </w:tcMar>
          </w:tcPr>
          <w:p>
            <w:pPr>
              <w:spacing w:after="0"/>
            </w:pPr>
            <w:r>
              <w:rPr>
                <w:rFonts w:ascii="Aptos" w:hAnsi="Aptos" w:eastAsia="Aptos"/>
                <w:b w:val="0"/>
                <w:i w:val="0"/>
                <w:color w:val="202938"/>
                <w:sz w:val="15"/>
              </w:rPr>
              <w:t>Germany / EU region</w:t>
            </w:r>
          </w:p>
        </w:tc>
      </w:tr>
      <w:tr>
        <w:trPr>
          <w:cantSplit/>
        </w:trPr>
        <w:tc>
          <w:tcPr>
            <w:tcW w:type="dxa" w:w="1757"/>
            <w:shd w:fill="F7F9FC"/>
            <w:tcMar>
              <w:top w:w="95" w:type="dxa"/>
              <w:start w:w="105" w:type="dxa"/>
              <w:bottom w:w="95" w:type="dxa"/>
              <w:end w:w="105" w:type="dxa"/>
            </w:tcMar>
          </w:tcPr>
          <w:p>
            <w:pPr>
              <w:spacing w:after="0"/>
            </w:pPr>
            <w:r>
              <w:rPr>
                <w:rFonts w:ascii="Aptos" w:hAnsi="Aptos" w:eastAsia="Aptos"/>
                <w:b/>
                <w:i w:val="0"/>
                <w:color w:val="13213C"/>
                <w:sz w:val="15"/>
              </w:rPr>
              <w:t>Resend</w:t>
            </w:r>
          </w:p>
        </w:tc>
        <w:tc>
          <w:tcPr>
            <w:tcW w:type="dxa" w:w="3024"/>
            <w:shd w:fill="F7F9FC"/>
            <w:tcMar>
              <w:top w:w="95" w:type="dxa"/>
              <w:start w:w="105" w:type="dxa"/>
              <w:bottom w:w="95" w:type="dxa"/>
              <w:end w:w="105" w:type="dxa"/>
            </w:tcMar>
          </w:tcPr>
          <w:p>
            <w:pPr>
              <w:spacing w:after="0"/>
            </w:pPr>
            <w:r>
              <w:rPr>
                <w:rFonts w:ascii="Aptos" w:hAnsi="Aptos" w:eastAsia="Aptos"/>
                <w:b w:val="0"/>
                <w:i w:val="0"/>
                <w:color w:val="202938"/>
                <w:sz w:val="15"/>
              </w:rPr>
              <w:t>Transactional service email</w:t>
            </w:r>
          </w:p>
        </w:tc>
        <w:tc>
          <w:tcPr>
            <w:tcW w:type="dxa" w:w="3096"/>
            <w:shd w:fill="F7F9FC"/>
            <w:tcMar>
              <w:top w:w="95" w:type="dxa"/>
              <w:start w:w="105" w:type="dxa"/>
              <w:bottom w:w="95" w:type="dxa"/>
              <w:end w:w="105" w:type="dxa"/>
            </w:tcMar>
          </w:tcPr>
          <w:p>
            <w:pPr>
              <w:spacing w:after="0"/>
            </w:pPr>
            <w:r>
              <w:rPr>
                <w:rFonts w:ascii="Aptos" w:hAnsi="Aptos" w:eastAsia="Aptos"/>
                <w:b w:val="0"/>
                <w:i w:val="0"/>
                <w:color w:val="202938"/>
                <w:sz w:val="15"/>
              </w:rPr>
              <w:t>Recipient address and message metadata</w:t>
            </w:r>
          </w:p>
        </w:tc>
        <w:tc>
          <w:tcPr>
            <w:tcW w:type="dxa" w:w="2160"/>
            <w:shd w:fill="F7F9FC"/>
            <w:tcMar>
              <w:top w:w="95" w:type="dxa"/>
              <w:start w:w="105" w:type="dxa"/>
              <w:bottom w:w="95" w:type="dxa"/>
              <w:end w:w="105" w:type="dxa"/>
            </w:tcMar>
          </w:tcPr>
          <w:p>
            <w:pPr>
              <w:spacing w:after="0"/>
            </w:pPr>
            <w:r>
              <w:rPr>
                <w:rFonts w:ascii="Aptos" w:hAnsi="Aptos" w:eastAsia="Aptos"/>
                <w:b w:val="0"/>
                <w:i w:val="0"/>
                <w:color w:val="202938"/>
                <w:sz w:val="15"/>
              </w:rPr>
              <w:t>Ireland (eu-west-1)</w:t>
            </w:r>
          </w:p>
        </w:tc>
      </w:tr>
    </w:tbl>
    <w:tbl>
      <w:tblPr>
        <w:tblW w:type="auto" w:w="0"/>
        <w:jc w:val="center"/>
        <w:tblLook w:firstColumn="1" w:firstRow="1" w:lastColumn="0" w:lastRow="0" w:noHBand="0" w:noVBand="1" w:val="04A0"/>
      </w:tblPr>
      <w:tblGrid>
        <w:gridCol w:w="10166"/>
      </w:tblGrid>
      <w:tr>
        <w:tc>
          <w:tcPr>
            <w:tcW w:type="dxa" w:w="10166"/>
            <w:shd w:fill="ECFDF3"/>
            <w:tcMar>
              <w:top w:w="150" w:type="dxa"/>
              <w:start w:w="180" w:type="dxa"/>
              <w:bottom w:w="150" w:type="dxa"/>
              <w:end w:w="180" w:type="dxa"/>
            </w:tcMar>
          </w:tcPr>
          <w:p>
            <w:pPr>
              <w:spacing w:after="60"/>
            </w:pPr>
            <w:r>
              <w:rPr>
                <w:rFonts w:ascii="Aptos" w:hAnsi="Aptos" w:eastAsia="Aptos"/>
                <w:b/>
                <w:i w:val="0"/>
                <w:color w:val="067647"/>
                <w:sz w:val="19"/>
              </w:rPr>
              <w:t>EU processing configuration</w:t>
            </w:r>
          </w:p>
          <w:p>
            <w:pPr>
              <w:spacing w:after="0"/>
            </w:pPr>
            <w:r>
              <w:rPr>
                <w:rFonts w:ascii="Aptos" w:hAnsi="Aptos" w:eastAsia="Aptos"/>
                <w:b w:val="0"/>
                <w:i w:val="0"/>
                <w:color w:val="202938"/>
                <w:sz w:val="18"/>
              </w:rPr>
              <w:t>Core application data, recordings, voice processing, and AI feedback processing are configured for European locations. Cloudflare’s edge security service is globally distributed; its role is limited to web traffic delivery and protection rather than storage of roleplay recordings.</w:t>
            </w:r>
          </w:p>
        </w:tc>
      </w:tr>
    </w:tbl>
    <w:p>
      <w:pPr>
        <w:spacing w:after="20"/>
      </w:pPr>
    </w:p>
    <w:p>
      <w:r>
        <w:br w:type="page"/>
      </w:r>
    </w:p>
    <w:p>
      <w:pPr>
        <w:spacing w:after="80"/>
      </w:pPr>
      <w:r>
        <w:rPr>
          <w:rFonts w:ascii="Aptos" w:hAnsi="Aptos" w:eastAsia="Aptos"/>
          <w:b/>
          <w:i w:val="0"/>
          <w:color w:val="146EF5"/>
          <w:sz w:val="16"/>
        </w:rPr>
        <w:t>03 / SECURITY &amp; LIFECYCLE</w:t>
      </w:r>
    </w:p>
    <w:p>
      <w:pPr>
        <w:pStyle w:val="Heading1"/>
      </w:pPr>
      <w:r>
        <w:t>How roleplay data is protected</w:t>
      </w:r>
    </w:p>
    <w:tbl>
      <w:tblPr>
        <w:tblStyle w:val="TableGrid"/>
        <w:tblW w:type="auto" w:w="0"/>
        <w:jc w:val="center"/>
        <w:tblLayout w:type="fixed"/>
        <w:tblLook w:firstColumn="1" w:firstRow="1" w:lastColumn="0" w:lastRow="0" w:noHBand="0" w:noVBand="1" w:val="04A0"/>
      </w:tblPr>
      <w:tblGrid>
        <w:gridCol w:w="2232"/>
        <w:gridCol w:w="7805"/>
      </w:tblGrid>
      <w:tr>
        <w:trPr>
          <w:tblHeader w:val="true"/>
          <w:cantSplit/>
        </w:trPr>
        <w:tc>
          <w:tcPr>
            <w:tcW w:type="dxa" w:w="5083"/>
            <w:shd w:fill="13213C"/>
            <w:tcMar>
              <w:top w:w="105" w:type="dxa"/>
              <w:start w:w="105" w:type="dxa"/>
              <w:bottom w:w="105" w:type="dxa"/>
              <w:end w:w="105" w:type="dxa"/>
            </w:tcMar>
          </w:tcPr>
          <w:p>
            <w:pPr>
              <w:spacing w:after="0"/>
            </w:pPr>
            <w:r>
              <w:rPr>
                <w:rFonts w:ascii="Aptos" w:hAnsi="Aptos" w:eastAsia="Aptos"/>
                <w:b/>
                <w:i w:val="0"/>
                <w:color w:val="FFFFFF"/>
                <w:sz w:val="14"/>
              </w:rPr>
              <w:t>CONTROL AREA</w:t>
            </w:r>
          </w:p>
        </w:tc>
        <w:tc>
          <w:tcPr>
            <w:tcW w:type="dxa" w:w="5083"/>
            <w:shd w:fill="13213C"/>
            <w:tcMar>
              <w:top w:w="105" w:type="dxa"/>
              <w:start w:w="105" w:type="dxa"/>
              <w:bottom w:w="105" w:type="dxa"/>
              <w:end w:w="105" w:type="dxa"/>
            </w:tcMar>
          </w:tcPr>
          <w:p>
            <w:pPr>
              <w:spacing w:after="0"/>
            </w:pPr>
            <w:r>
              <w:rPr>
                <w:rFonts w:ascii="Aptos" w:hAnsi="Aptos" w:eastAsia="Aptos"/>
                <w:b/>
                <w:i w:val="0"/>
                <w:color w:val="FFFFFF"/>
                <w:sz w:val="14"/>
              </w:rPr>
              <w:t>CURRENT MEASURE</w:t>
            </w:r>
          </w:p>
        </w:tc>
      </w:tr>
      <w:tr>
        <w:trPr>
          <w:cantSplit/>
        </w:trPr>
        <w:tc>
          <w:tcPr>
            <w:tcW w:type="dxa" w:w="2232"/>
            <w:shd w:fill="FFFFFF"/>
            <w:tcMar>
              <w:top w:w="95" w:type="dxa"/>
              <w:start w:w="105" w:type="dxa"/>
              <w:bottom w:w="95" w:type="dxa"/>
              <w:end w:w="105" w:type="dxa"/>
            </w:tcMar>
          </w:tcPr>
          <w:p>
            <w:pPr>
              <w:spacing w:after="0"/>
            </w:pPr>
            <w:r>
              <w:rPr>
                <w:rFonts w:ascii="Aptos" w:hAnsi="Aptos" w:eastAsia="Aptos"/>
                <w:b/>
                <w:i w:val="0"/>
                <w:color w:val="13213C"/>
                <w:sz w:val="15"/>
              </w:rPr>
              <w:t>Access control</w:t>
            </w:r>
          </w:p>
        </w:tc>
        <w:tc>
          <w:tcPr>
            <w:tcW w:type="dxa" w:w="7805"/>
            <w:shd w:fill="FFFFFF"/>
            <w:tcMar>
              <w:top w:w="95" w:type="dxa"/>
              <w:start w:w="105" w:type="dxa"/>
              <w:bottom w:w="95" w:type="dxa"/>
              <w:end w:w="105" w:type="dxa"/>
            </w:tcMar>
          </w:tcPr>
          <w:p>
            <w:pPr>
              <w:spacing w:after="0"/>
            </w:pPr>
            <w:r>
              <w:rPr>
                <w:rFonts w:ascii="Aptos" w:hAnsi="Aptos" w:eastAsia="Aptos"/>
                <w:b w:val="0"/>
                <w:i w:val="0"/>
                <w:color w:val="202938"/>
                <w:sz w:val="15"/>
              </w:rPr>
              <w:t>Authenticated access, role-based permissions, and tenant/workspace scoping restrict customer data to authorised users.</w:t>
            </w:r>
          </w:p>
        </w:tc>
      </w:tr>
      <w:tr>
        <w:trPr>
          <w:cantSplit/>
        </w:trPr>
        <w:tc>
          <w:tcPr>
            <w:tcW w:type="dxa" w:w="2232"/>
            <w:shd w:fill="F7F9FC"/>
            <w:tcMar>
              <w:top w:w="95" w:type="dxa"/>
              <w:start w:w="105" w:type="dxa"/>
              <w:bottom w:w="95" w:type="dxa"/>
              <w:end w:w="105" w:type="dxa"/>
            </w:tcMar>
          </w:tcPr>
          <w:p>
            <w:pPr>
              <w:spacing w:after="0"/>
            </w:pPr>
            <w:r>
              <w:rPr>
                <w:rFonts w:ascii="Aptos" w:hAnsi="Aptos" w:eastAsia="Aptos"/>
                <w:b/>
                <w:i w:val="0"/>
                <w:color w:val="13213C"/>
                <w:sz w:val="15"/>
              </w:rPr>
              <w:t>Transport security</w:t>
            </w:r>
          </w:p>
        </w:tc>
        <w:tc>
          <w:tcPr>
            <w:tcW w:type="dxa" w:w="7805"/>
            <w:shd w:fill="F7F9FC"/>
            <w:tcMar>
              <w:top w:w="95" w:type="dxa"/>
              <w:start w:w="105" w:type="dxa"/>
              <w:bottom w:w="95" w:type="dxa"/>
              <w:end w:w="105" w:type="dxa"/>
            </w:tcMar>
          </w:tcPr>
          <w:p>
            <w:pPr>
              <w:spacing w:after="0"/>
            </w:pPr>
            <w:r>
              <w:rPr>
                <w:rFonts w:ascii="Aptos" w:hAnsi="Aptos" w:eastAsia="Aptos"/>
                <w:b w:val="0"/>
                <w:i w:val="0"/>
                <w:color w:val="202938"/>
                <w:sz w:val="15"/>
              </w:rPr>
              <w:t>Roleplay and application traffic is encrypted in transit using TLS-protected provider endpoints.</w:t>
            </w:r>
          </w:p>
        </w:tc>
      </w:tr>
      <w:tr>
        <w:trPr>
          <w:cantSplit/>
        </w:trPr>
        <w:tc>
          <w:tcPr>
            <w:tcW w:type="dxa" w:w="2232"/>
            <w:shd w:fill="FFFFFF"/>
            <w:tcMar>
              <w:top w:w="95" w:type="dxa"/>
              <w:start w:w="105" w:type="dxa"/>
              <w:bottom w:w="95" w:type="dxa"/>
              <w:end w:w="105" w:type="dxa"/>
            </w:tcMar>
          </w:tcPr>
          <w:p>
            <w:pPr>
              <w:spacing w:after="0"/>
            </w:pPr>
            <w:r>
              <w:rPr>
                <w:rFonts w:ascii="Aptos" w:hAnsi="Aptos" w:eastAsia="Aptos"/>
                <w:b/>
                <w:i w:val="0"/>
                <w:color w:val="13213C"/>
                <w:sz w:val="15"/>
              </w:rPr>
              <w:t>Recording storage</w:t>
            </w:r>
          </w:p>
        </w:tc>
        <w:tc>
          <w:tcPr>
            <w:tcW w:type="dxa" w:w="7805"/>
            <w:shd w:fill="FFFFFF"/>
            <w:tcMar>
              <w:top w:w="95" w:type="dxa"/>
              <w:start w:w="105" w:type="dxa"/>
              <w:bottom w:w="95" w:type="dxa"/>
              <w:end w:w="105" w:type="dxa"/>
            </w:tcMar>
          </w:tcPr>
          <w:p>
            <w:pPr>
              <w:spacing w:after="0"/>
            </w:pPr>
            <w:r>
              <w:rPr>
                <w:rFonts w:ascii="Aptos" w:hAnsi="Aptos" w:eastAsia="Aptos"/>
                <w:b w:val="0"/>
                <w:i w:val="0"/>
                <w:color w:val="202938"/>
                <w:sz w:val="15"/>
              </w:rPr>
              <w:t>Recordings are held in a private EU storage bucket. Playback access is provided through time-limited signed URLs.</w:t>
            </w:r>
          </w:p>
        </w:tc>
      </w:tr>
      <w:tr>
        <w:trPr>
          <w:cantSplit/>
        </w:trPr>
        <w:tc>
          <w:tcPr>
            <w:tcW w:type="dxa" w:w="2232"/>
            <w:shd w:fill="F7F9FC"/>
            <w:tcMar>
              <w:top w:w="95" w:type="dxa"/>
              <w:start w:w="105" w:type="dxa"/>
              <w:bottom w:w="95" w:type="dxa"/>
              <w:end w:w="105" w:type="dxa"/>
            </w:tcMar>
          </w:tcPr>
          <w:p>
            <w:pPr>
              <w:spacing w:after="0"/>
            </w:pPr>
            <w:r>
              <w:rPr>
                <w:rFonts w:ascii="Aptos" w:hAnsi="Aptos" w:eastAsia="Aptos"/>
                <w:b/>
                <w:i w:val="0"/>
                <w:color w:val="13213C"/>
                <w:sz w:val="15"/>
              </w:rPr>
              <w:t>Secrets and credentials</w:t>
            </w:r>
          </w:p>
        </w:tc>
        <w:tc>
          <w:tcPr>
            <w:tcW w:type="dxa" w:w="7805"/>
            <w:shd w:fill="F7F9FC"/>
            <w:tcMar>
              <w:top w:w="95" w:type="dxa"/>
              <w:start w:w="105" w:type="dxa"/>
              <w:bottom w:w="95" w:type="dxa"/>
              <w:end w:w="105" w:type="dxa"/>
            </w:tcMar>
          </w:tcPr>
          <w:p>
            <w:pPr>
              <w:spacing w:after="0"/>
            </w:pPr>
            <w:r>
              <w:rPr>
                <w:rFonts w:ascii="Aptos" w:hAnsi="Aptos" w:eastAsia="Aptos"/>
                <w:b w:val="0"/>
                <w:i w:val="0"/>
                <w:color w:val="202938"/>
                <w:sz w:val="15"/>
              </w:rPr>
              <w:t>Service credentials are kept outside customer-facing application content and access is limited by operational need.</w:t>
            </w:r>
          </w:p>
        </w:tc>
      </w:tr>
      <w:tr>
        <w:trPr>
          <w:cantSplit/>
        </w:trPr>
        <w:tc>
          <w:tcPr>
            <w:tcW w:type="dxa" w:w="2232"/>
            <w:shd w:fill="FFFFFF"/>
            <w:tcMar>
              <w:top w:w="95" w:type="dxa"/>
              <w:start w:w="105" w:type="dxa"/>
              <w:bottom w:w="95" w:type="dxa"/>
              <w:end w:w="105" w:type="dxa"/>
            </w:tcMar>
          </w:tcPr>
          <w:p>
            <w:pPr>
              <w:spacing w:after="0"/>
            </w:pPr>
            <w:r>
              <w:rPr>
                <w:rFonts w:ascii="Aptos" w:hAnsi="Aptos" w:eastAsia="Aptos"/>
                <w:b/>
                <w:i w:val="0"/>
                <w:color w:val="13213C"/>
                <w:sz w:val="15"/>
              </w:rPr>
              <w:t>Monitoring</w:t>
            </w:r>
          </w:p>
        </w:tc>
        <w:tc>
          <w:tcPr>
            <w:tcW w:type="dxa" w:w="7805"/>
            <w:shd w:fill="FFFFFF"/>
            <w:tcMar>
              <w:top w:w="95" w:type="dxa"/>
              <w:start w:w="105" w:type="dxa"/>
              <w:bottom w:w="95" w:type="dxa"/>
              <w:end w:w="105" w:type="dxa"/>
            </w:tcMar>
          </w:tcPr>
          <w:p>
            <w:pPr>
              <w:spacing w:after="0"/>
            </w:pPr>
            <w:r>
              <w:rPr>
                <w:rFonts w:ascii="Aptos" w:hAnsi="Aptos" w:eastAsia="Aptos"/>
                <w:b w:val="0"/>
                <w:i w:val="0"/>
                <w:color w:val="202938"/>
                <w:sz w:val="15"/>
              </w:rPr>
              <w:t>Security, application, error, and AI trace monitoring support detection and investigation of abnormal behaviour or failures.</w:t>
            </w:r>
          </w:p>
        </w:tc>
      </w:tr>
      <w:tr>
        <w:trPr>
          <w:cantSplit/>
        </w:trPr>
        <w:tc>
          <w:tcPr>
            <w:tcW w:type="dxa" w:w="2232"/>
            <w:shd w:fill="F7F9FC"/>
            <w:tcMar>
              <w:top w:w="95" w:type="dxa"/>
              <w:start w:w="105" w:type="dxa"/>
              <w:bottom w:w="95" w:type="dxa"/>
              <w:end w:w="105" w:type="dxa"/>
            </w:tcMar>
          </w:tcPr>
          <w:p>
            <w:pPr>
              <w:spacing w:after="0"/>
            </w:pPr>
            <w:r>
              <w:rPr>
                <w:rFonts w:ascii="Aptos" w:hAnsi="Aptos" w:eastAsia="Aptos"/>
                <w:b/>
                <w:i w:val="0"/>
                <w:color w:val="13213C"/>
                <w:sz w:val="15"/>
              </w:rPr>
              <w:t>Isolation</w:t>
            </w:r>
          </w:p>
        </w:tc>
        <w:tc>
          <w:tcPr>
            <w:tcW w:type="dxa" w:w="7805"/>
            <w:shd w:fill="F7F9FC"/>
            <w:tcMar>
              <w:top w:w="95" w:type="dxa"/>
              <w:start w:w="105" w:type="dxa"/>
              <w:bottom w:w="95" w:type="dxa"/>
              <w:end w:w="105" w:type="dxa"/>
            </w:tcMar>
          </w:tcPr>
          <w:p>
            <w:pPr>
              <w:spacing w:after="0"/>
            </w:pPr>
            <w:r>
              <w:rPr>
                <w:rFonts w:ascii="Aptos" w:hAnsi="Aptos" w:eastAsia="Aptos"/>
                <w:b w:val="0"/>
                <w:i w:val="0"/>
                <w:color w:val="202938"/>
                <w:sz w:val="15"/>
              </w:rPr>
              <w:t>Application queries and access checks are scoped to the customer tenant; users cannot intentionally browse another tenant’s roleplays.</w:t>
            </w:r>
          </w:p>
        </w:tc>
      </w:tr>
      <w:tr>
        <w:trPr>
          <w:cantSplit/>
        </w:trPr>
        <w:tc>
          <w:tcPr>
            <w:tcW w:type="dxa" w:w="2232"/>
            <w:shd w:fill="FFFFFF"/>
            <w:tcMar>
              <w:top w:w="95" w:type="dxa"/>
              <w:start w:w="105" w:type="dxa"/>
              <w:bottom w:w="95" w:type="dxa"/>
              <w:end w:w="105" w:type="dxa"/>
            </w:tcMar>
          </w:tcPr>
          <w:p>
            <w:pPr>
              <w:spacing w:after="0"/>
            </w:pPr>
            <w:r>
              <w:rPr>
                <w:rFonts w:ascii="Aptos" w:hAnsi="Aptos" w:eastAsia="Aptos"/>
                <w:b/>
                <w:i w:val="0"/>
                <w:color w:val="13213C"/>
                <w:sz w:val="15"/>
              </w:rPr>
              <w:t>Personnel</w:t>
            </w:r>
          </w:p>
        </w:tc>
        <w:tc>
          <w:tcPr>
            <w:tcW w:type="dxa" w:w="7805"/>
            <w:shd w:fill="FFFFFF"/>
            <w:tcMar>
              <w:top w:w="95" w:type="dxa"/>
              <w:start w:w="105" w:type="dxa"/>
              <w:bottom w:w="95" w:type="dxa"/>
              <w:end w:w="105" w:type="dxa"/>
            </w:tcMar>
          </w:tcPr>
          <w:p>
            <w:pPr>
              <w:spacing w:after="0"/>
            </w:pPr>
            <w:r>
              <w:rPr>
                <w:rFonts w:ascii="Aptos" w:hAnsi="Aptos" w:eastAsia="Aptos"/>
                <w:b w:val="0"/>
                <w:i w:val="0"/>
                <w:color w:val="202938"/>
                <w:sz w:val="15"/>
              </w:rPr>
              <w:t>Personnel and authorised contractors with access are bound by confidentiality obligations and least-privilege expectations.</w:t>
            </w:r>
          </w:p>
        </w:tc>
      </w:tr>
      <w:tr>
        <w:trPr>
          <w:cantSplit/>
        </w:trPr>
        <w:tc>
          <w:tcPr>
            <w:tcW w:type="dxa" w:w="2232"/>
            <w:shd w:fill="F7F9FC"/>
            <w:tcMar>
              <w:top w:w="95" w:type="dxa"/>
              <w:start w:w="105" w:type="dxa"/>
              <w:bottom w:w="95" w:type="dxa"/>
              <w:end w:w="105" w:type="dxa"/>
            </w:tcMar>
          </w:tcPr>
          <w:p>
            <w:pPr>
              <w:spacing w:after="0"/>
            </w:pPr>
            <w:r>
              <w:rPr>
                <w:rFonts w:ascii="Aptos" w:hAnsi="Aptos" w:eastAsia="Aptos"/>
                <w:b/>
                <w:i w:val="0"/>
                <w:color w:val="13213C"/>
                <w:sz w:val="15"/>
              </w:rPr>
              <w:t>Incident response</w:t>
            </w:r>
          </w:p>
        </w:tc>
        <w:tc>
          <w:tcPr>
            <w:tcW w:type="dxa" w:w="7805"/>
            <w:shd w:fill="F7F9FC"/>
            <w:tcMar>
              <w:top w:w="95" w:type="dxa"/>
              <w:start w:w="105" w:type="dxa"/>
              <w:bottom w:w="95" w:type="dxa"/>
              <w:end w:w="105" w:type="dxa"/>
            </w:tcMar>
          </w:tcPr>
          <w:p>
            <w:pPr>
              <w:spacing w:after="0"/>
            </w:pPr>
            <w:r>
              <w:rPr>
                <w:rFonts w:ascii="Aptos" w:hAnsi="Aptos" w:eastAsia="Aptos"/>
                <w:b w:val="0"/>
                <w:i w:val="0"/>
                <w:color w:val="202938"/>
                <w:sz w:val="15"/>
              </w:rPr>
              <w:t>Zell maintains incident handling procedures and will notify the customer without undue delay after becoming aware of a personal-data breach affecting the service.</w:t>
            </w:r>
          </w:p>
        </w:tc>
      </w:tr>
    </w:tbl>
    <w:p>
      <w:pPr>
        <w:pStyle w:val="Heading2"/>
      </w:pPr>
      <w:r>
        <w:t>Retention, deletion and return</w:t>
      </w:r>
    </w:p>
    <w:p>
      <w:r>
        <w:rPr>
          <w:rFonts w:ascii="Aptos" w:hAnsi="Aptos" w:eastAsia="Aptos"/>
          <w:b/>
          <w:i w:val="0"/>
          <w:color w:val="202938"/>
          <w:sz w:val="18"/>
        </w:rPr>
        <w:t xml:space="preserve">Is the audio recording retained? </w:t>
      </w:r>
      <w:r>
        <w:rPr>
          <w:rFonts w:ascii="Aptos" w:hAnsi="Aptos" w:eastAsia="Aptos"/>
          <w:b w:val="0"/>
          <w:i w:val="0"/>
          <w:color w:val="202938"/>
          <w:sz w:val="18"/>
        </w:rPr>
      </w:r>
    </w:p>
    <w:p>
      <w:r>
        <w:rPr>
          <w:rFonts w:ascii="Aptos" w:hAnsi="Aptos" w:eastAsia="Aptos"/>
          <w:b w:val="0"/>
          <w:i w:val="0"/>
          <w:color w:val="202938"/>
          <w:sz w:val="18"/>
        </w:rPr>
        <w:t>Yes. Recording is part of the requested roleplay use case and is stored so authorised users can replay and review the exercise.</w:t>
      </w:r>
    </w:p>
    <w:p>
      <w:r>
        <w:rPr>
          <w:rFonts w:ascii="Aptos" w:hAnsi="Aptos" w:eastAsia="Aptos"/>
          <w:b/>
          <w:i w:val="0"/>
          <w:color w:val="202938"/>
          <w:sz w:val="18"/>
        </w:rPr>
        <w:t xml:space="preserve">How long is data retained? </w:t>
      </w:r>
      <w:r>
        <w:rPr>
          <w:rFonts w:ascii="Aptos" w:hAnsi="Aptos" w:eastAsia="Aptos"/>
          <w:b w:val="0"/>
          <w:i w:val="0"/>
          <w:color w:val="202938"/>
          <w:sz w:val="18"/>
        </w:rPr>
      </w:r>
    </w:p>
    <w:p>
      <w:r>
        <w:rPr>
          <w:rFonts w:ascii="Aptos" w:hAnsi="Aptos" w:eastAsia="Aptos"/>
          <w:b w:val="0"/>
          <w:i w:val="0"/>
          <w:color w:val="202938"/>
          <w:sz w:val="18"/>
        </w:rPr>
        <w:t>Roleplay data is retained for the customer’s contract term or a shorter period agreed with the customer. The customer should define its required operational retention period during implementation.</w:t>
      </w:r>
    </w:p>
    <w:p>
      <w:r>
        <w:rPr>
          <w:rFonts w:ascii="Aptos" w:hAnsi="Aptos" w:eastAsia="Aptos"/>
          <w:b/>
          <w:i w:val="0"/>
          <w:color w:val="202938"/>
          <w:sz w:val="18"/>
        </w:rPr>
        <w:t xml:space="preserve">What happens when a roleplay is deleted? </w:t>
      </w:r>
      <w:r>
        <w:rPr>
          <w:rFonts w:ascii="Aptos" w:hAnsi="Aptos" w:eastAsia="Aptos"/>
          <w:b w:val="0"/>
          <w:i w:val="0"/>
          <w:color w:val="202938"/>
          <w:sz w:val="18"/>
        </w:rPr>
      </w:r>
    </w:p>
    <w:p>
      <w:r>
        <w:rPr>
          <w:rFonts w:ascii="Aptos" w:hAnsi="Aptos" w:eastAsia="Aptos"/>
          <w:b w:val="0"/>
          <w:i w:val="0"/>
          <w:color w:val="202938"/>
          <w:sz w:val="18"/>
        </w:rPr>
        <w:t>Deletion removes the application record and related relational data and queues deletion of the corresponding private recording. Provider backups age out through ordinary backup-retention cycles.</w:t>
      </w:r>
    </w:p>
    <w:p>
      <w:r>
        <w:rPr>
          <w:rFonts w:ascii="Aptos" w:hAnsi="Aptos" w:eastAsia="Aptos"/>
          <w:b/>
          <w:i w:val="0"/>
          <w:color w:val="202938"/>
          <w:sz w:val="18"/>
        </w:rPr>
        <w:t xml:space="preserve">What happens at termination? </w:t>
      </w:r>
      <w:r>
        <w:rPr>
          <w:rFonts w:ascii="Aptos" w:hAnsi="Aptos" w:eastAsia="Aptos"/>
          <w:b w:val="0"/>
          <w:i w:val="0"/>
          <w:color w:val="202938"/>
          <w:sz w:val="18"/>
        </w:rPr>
      </w:r>
    </w:p>
    <w:p>
      <w:r>
        <w:rPr>
          <w:rFonts w:ascii="Aptos" w:hAnsi="Aptos" w:eastAsia="Aptos"/>
          <w:b w:val="0"/>
          <w:i w:val="0"/>
          <w:color w:val="202938"/>
          <w:sz w:val="18"/>
        </w:rPr>
        <w:t>At the customer’s choice and subject to the DPA, Zell returns or deletes personal data after the services end, except where applicable law requires limited retention.</w:t>
      </w:r>
    </w:p>
    <w:p>
      <w:r>
        <w:br w:type="page"/>
      </w:r>
    </w:p>
    <w:p>
      <w:pPr>
        <w:spacing w:after="80"/>
      </w:pPr>
      <w:r>
        <w:rPr>
          <w:rFonts w:ascii="Aptos" w:hAnsi="Aptos" w:eastAsia="Aptos"/>
          <w:b/>
          <w:i w:val="0"/>
          <w:color w:val="146EF5"/>
          <w:sz w:val="16"/>
        </w:rPr>
        <w:t>04 / PRIVACY &amp; AI GOVERNANCE</w:t>
      </w:r>
    </w:p>
    <w:p>
      <w:pPr>
        <w:pStyle w:val="Heading1"/>
      </w:pPr>
      <w:r>
        <w:t>Roleplay compliance FAQ</w:t>
      </w:r>
    </w:p>
    <w:p>
      <w:pPr>
        <w:pStyle w:val="Heading2"/>
      </w:pPr>
      <w:r>
        <w:t>Who is controller and who is processor?</w:t>
      </w:r>
    </w:p>
    <w:p>
      <w:r>
        <w:rPr>
          <w:rFonts w:ascii="Aptos" w:hAnsi="Aptos" w:eastAsia="Aptos"/>
          <w:b w:val="0"/>
          <w:i w:val="0"/>
          <w:color w:val="202938"/>
          <w:sz w:val="18"/>
        </w:rPr>
        <w:t>The customer is the controller for participant data and decides why the roleplay is used, who participates, and who may review results. Zell acts as processor and processes the data only to provide the contracted roleplay service and on documented instructions.</w:t>
      </w:r>
    </w:p>
    <w:p>
      <w:pPr>
        <w:pStyle w:val="Heading2"/>
      </w:pPr>
      <w:r>
        <w:t>Is customer data used to train general-purpose AI models?</w:t>
      </w:r>
    </w:p>
    <w:p>
      <w:r>
        <w:rPr>
          <w:rFonts w:ascii="Aptos" w:hAnsi="Aptos" w:eastAsia="Aptos"/>
          <w:b w:val="0"/>
          <w:i w:val="0"/>
          <w:color w:val="202938"/>
          <w:sz w:val="18"/>
        </w:rPr>
        <w:t>No. Zell’s DPA prohibits use of customer personal data to train or improve general-purpose AI models unless the customer gives express written authorisation. Providers are configured and contracted for service processing, not customer-data model training.</w:t>
      </w:r>
    </w:p>
    <w:p>
      <w:pPr>
        <w:pStyle w:val="Heading2"/>
      </w:pPr>
      <w:r>
        <w:t>Does the roleplay make employment decisions?</w:t>
      </w:r>
    </w:p>
    <w:p>
      <w:r>
        <w:rPr>
          <w:rFonts w:ascii="Aptos" w:hAnsi="Aptos" w:eastAsia="Aptos"/>
          <w:b w:val="0"/>
          <w:i w:val="0"/>
          <w:color w:val="202938"/>
          <w:sz w:val="18"/>
        </w:rPr>
        <w:t>No autonomous employment decision is required or intended. Scores and feedback are training aids. Customers should retain meaningful human review and should not use a roleplay score as the sole basis for a decision with legal or similarly significant effects.</w:t>
      </w:r>
    </w:p>
    <w:p>
      <w:pPr>
        <w:pStyle w:val="Heading2"/>
      </w:pPr>
      <w:r>
        <w:t>How are data-subject requests handled?</w:t>
      </w:r>
    </w:p>
    <w:p>
      <w:r>
        <w:rPr>
          <w:rFonts w:ascii="Aptos" w:hAnsi="Aptos" w:eastAsia="Aptos"/>
          <w:b w:val="0"/>
          <w:i w:val="0"/>
          <w:color w:val="202938"/>
          <w:sz w:val="18"/>
        </w:rPr>
        <w:t>The customer remains the primary contact for participants. Zell assists with access, correction, deletion, restriction, portability, objection, and other requests where the relevant data is held in the service.</w:t>
      </w:r>
    </w:p>
    <w:p>
      <w:pPr>
        <w:pStyle w:val="Heading2"/>
      </w:pPr>
      <w:r>
        <w:t>Does Zell support DPIAs and audits?</w:t>
      </w:r>
    </w:p>
    <w:p>
      <w:r>
        <w:rPr>
          <w:rFonts w:ascii="Aptos" w:hAnsi="Aptos" w:eastAsia="Aptos"/>
          <w:b w:val="0"/>
          <w:i w:val="0"/>
          <w:color w:val="202938"/>
          <w:sz w:val="18"/>
        </w:rPr>
        <w:t>Yes. Zell provides information reasonably required for the customer’s data-protection impact assessment and makes compliance information available under the DPA. Audits are handled subject to confidentiality, security, scope, and reasonable-frequency safeguards.</w:t>
      </w:r>
    </w:p>
    <w:p>
      <w:pPr>
        <w:pStyle w:val="Heading2"/>
      </w:pPr>
      <w:r>
        <w:t>How are subprocessors governed?</w:t>
      </w:r>
    </w:p>
    <w:p>
      <w:r>
        <w:rPr>
          <w:rFonts w:ascii="Aptos" w:hAnsi="Aptos" w:eastAsia="Aptos"/>
          <w:b w:val="0"/>
          <w:i w:val="0"/>
          <w:color w:val="202938"/>
          <w:sz w:val="18"/>
        </w:rPr>
        <w:t>Zell contractually requires subprocessors to protect personal data to standards consistent with Zell’s processor obligations. Zell remains responsible for their performance within the limits of the DPA and provides notice of material changes through its subprocessor disclosure process.</w:t>
      </w:r>
    </w:p>
    <w:tbl>
      <w:tblPr>
        <w:tblW w:type="auto" w:w="0"/>
        <w:jc w:val="center"/>
        <w:tblLook w:firstColumn="1" w:firstRow="1" w:lastColumn="0" w:lastRow="0" w:noHBand="0" w:noVBand="1" w:val="04A0"/>
      </w:tblPr>
      <w:tblGrid>
        <w:gridCol w:w="10166"/>
      </w:tblGrid>
      <w:tr>
        <w:tc>
          <w:tcPr>
            <w:tcW w:type="dxa" w:w="10166"/>
            <w:shd w:fill="EEF4FF"/>
            <w:tcMar>
              <w:top w:w="150" w:type="dxa"/>
              <w:start w:w="180" w:type="dxa"/>
              <w:bottom w:w="150" w:type="dxa"/>
              <w:end w:w="180" w:type="dxa"/>
            </w:tcMar>
          </w:tcPr>
          <w:p>
            <w:pPr>
              <w:spacing w:after="60"/>
            </w:pPr>
            <w:r>
              <w:rPr>
                <w:rFonts w:ascii="Aptos" w:hAnsi="Aptos" w:eastAsia="Aptos"/>
                <w:b/>
                <w:i w:val="0"/>
                <w:color w:val="146EF5"/>
                <w:sz w:val="19"/>
              </w:rPr>
              <w:t>Customer-side requirements</w:t>
            </w:r>
          </w:p>
          <w:p>
            <w:pPr>
              <w:spacing w:after="0"/>
            </w:pPr>
            <w:r>
              <w:rPr>
                <w:rFonts w:ascii="Aptos" w:hAnsi="Aptos" w:eastAsia="Aptos"/>
                <w:b w:val="0"/>
                <w:i w:val="0"/>
                <w:color w:val="202938"/>
                <w:sz w:val="18"/>
              </w:rPr>
              <w:t>Before launch, the customer should document its lawful basis, give participants an appropriate privacy notice, define retention and reviewer access, avoid unnecessary special-category data, and retain human oversight over the use of scores.</w:t>
            </w:r>
          </w:p>
        </w:tc>
      </w:tr>
    </w:tbl>
    <w:p>
      <w:pPr>
        <w:spacing w:after="20"/>
      </w:pPr>
    </w:p>
    <w:p>
      <w:pPr>
        <w:pStyle w:val="Heading2"/>
      </w:pPr>
      <w:r>
        <w:t>Contact</w:t>
      </w:r>
    </w:p>
    <w:tbl>
      <w:tblPr>
        <w:tblW w:type="auto" w:w="0"/>
        <w:jc w:val="center"/>
        <w:tblLayout w:type="fixed"/>
        <w:tblLook w:firstColumn="1" w:firstRow="1" w:lastColumn="0" w:lastRow="0" w:noHBand="0" w:noVBand="1" w:val="04A0"/>
      </w:tblPr>
      <w:tblGrid>
        <w:gridCol w:w="1152"/>
        <w:gridCol w:w="4824"/>
        <w:gridCol w:w="4032"/>
      </w:tblGrid>
      <w:tr>
        <w:tc>
          <w:tcPr>
            <w:tcW w:type="dxa" w:w="3389"/>
            <w:shd w:fill="13213C"/>
            <w:tcMar>
              <w:top w:w="150" w:type="dxa"/>
              <w:start w:w="160" w:type="dxa"/>
              <w:bottom w:w="150" w:type="dxa"/>
              <w:end w:w="160" w:type="dxa"/>
            </w:tcMar>
          </w:tcPr>
          <w:p>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avatar.png"/>
                          <pic:cNvPicPr/>
                        </pic:nvPicPr>
                        <pic:blipFill>
                          <a:blip r:embed="rId11"/>
                          <a:stretch>
                            <a:fillRect/>
                          </a:stretch>
                        </pic:blipFill>
                        <pic:spPr>
                          <a:xfrm>
                            <a:off x="0" y="0"/>
                            <a:ext cx="502920" cy="502920"/>
                          </a:xfrm>
                          <a:prstGeom prst="rect"/>
                        </pic:spPr>
                      </pic:pic>
                    </a:graphicData>
                  </a:graphic>
                </wp:inline>
              </w:drawing>
            </w:r>
          </w:p>
        </w:tc>
        <w:tc>
          <w:tcPr>
            <w:tcW w:type="dxa" w:w="3389"/>
            <w:shd w:fill="13213C"/>
            <w:tcMar>
              <w:top w:w="150" w:type="dxa"/>
              <w:start w:w="160" w:type="dxa"/>
              <w:bottom w:w="150" w:type="dxa"/>
              <w:end w:w="160" w:type="dxa"/>
            </w:tcMar>
          </w:tcPr>
          <w:p>
            <w:r>
              <w:rPr>
                <w:rFonts w:ascii="Aptos" w:hAnsi="Aptos" w:eastAsia="Aptos"/>
                <w:b/>
                <w:i w:val="0"/>
                <w:color w:val="FFFFFF"/>
                <w:sz w:val="21"/>
              </w:rPr>
              <w:t>Moritz Beck</w:t>
              <w:br/>
            </w:r>
            <w:r>
              <w:rPr>
                <w:rFonts w:ascii="Aptos" w:hAnsi="Aptos" w:eastAsia="Aptos"/>
                <w:b w:val="0"/>
                <w:i w:val="0"/>
                <w:color w:val="BDCBE0"/>
                <w:sz w:val="17"/>
              </w:rPr>
              <w:t>CTO &amp; Co-Founder</w:t>
            </w:r>
          </w:p>
        </w:tc>
        <w:tc>
          <w:tcPr>
            <w:tcW w:type="dxa" w:w="3389"/>
            <w:shd w:fill="13213C"/>
            <w:tcMar>
              <w:top w:w="150" w:type="dxa"/>
              <w:start w:w="160" w:type="dxa"/>
              <w:bottom w:w="150" w:type="dxa"/>
              <w:end w:w="160" w:type="dxa"/>
            </w:tcMar>
          </w:tcPr>
          <w:p>
            <w:pPr>
              <w:jc w:val="right"/>
            </w:pPr>
            <w:hyperlink r:id="rId12">
              <w:r>
                <w:rPr>
                  <w:color w:val="8EB7FF"/>
                  <w:u w:val="single"/>
                </w:rPr>
                <w:t>moritz@getzell.com</w:t>
              </w:r>
            </w:hyperlink>
            <w:r>
              <w:br/>
            </w:r>
            <w:hyperlink r:id="rId13">
              <w:r>
                <w:rPr>
                  <w:color w:val="8EB7FF"/>
                  <w:u w:val="single"/>
                </w:rPr>
                <w:t>+49 152 04506322</w:t>
              </w:r>
            </w:hyperlink>
          </w:p>
        </w:tc>
      </w:tr>
    </w:tbl>
    <w:sectPr w:rsidR="00FC693F" w:rsidRPr="0006063C" w:rsidSect="00034616">
      <w:headerReference w:type="default" r:id="rId9"/>
      <w:footerReference w:type="default" r:id="rId10"/>
      <w:pgSz w:w="12240" w:h="15840"/>
      <w:pgMar w:top="893" w:right="1037" w:bottom="835" w:left="1037" w:header="36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208"/>
      <w:gridCol w:w="1958"/>
    </w:tblGrid>
    <w:tr>
      <w:tc>
        <w:tcPr>
          <w:tcW w:type="dxa" w:w="5083"/>
        </w:tcPr>
        <w:p>
          <w:pPr>
            <w:spacing w:after="0"/>
          </w:pPr>
          <w:r>
            <w:rPr>
              <w:rFonts w:ascii="Aptos" w:hAnsi="Aptos" w:eastAsia="Aptos"/>
              <w:b w:val="0"/>
              <w:i w:val="0"/>
              <w:color w:val="667085"/>
              <w:sz w:val="14"/>
            </w:rPr>
            <w:t>CONFIDENTIAL • CURRENT-STATE REVIEW • 3 SEPTEMBER 2026</w:t>
          </w:r>
        </w:p>
      </w:tc>
      <w:tc>
        <w:tcPr>
          <w:tcW w:type="dxa" w:w="5083"/>
        </w:tcPr>
        <w:p>
          <w:pPr>
            <w:spacing w:after="0"/>
            <w:jc w:val="right"/>
          </w:pPr>
          <w:r>
            <w:rPr>
              <w:rFonts w:ascii="Aptos" w:hAnsi="Aptos" w:eastAsia="Aptos"/>
              <w:color w:val="667085"/>
              <w:sz w:val="14"/>
            </w:rPr>
            <w:t xml:space="preserve">Page </w:t>
          </w:r>
          <w:r>
            <w:rPr>
              <w:rFonts w:ascii="Aptos" w:hAnsi="Aptos" w:eastAsia="Aptos"/>
              <w:color w:val="667085"/>
              <w:sz w:val="14"/>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eastAsia="Aptos"/>
        <w:b/>
        <w:i w:val="0"/>
        <w:color w:val="146EF5"/>
        <w:sz w:val="19"/>
      </w:rPr>
      <w:t>ZELL</w:t>
    </w:r>
    <w:r>
      <w:rPr>
        <w:rFonts w:ascii="Aptos" w:hAnsi="Aptos" w:eastAsia="Aptos"/>
        <w:b/>
        <w:i w:val="0"/>
        <w:color w:val="667085"/>
        <w:sz w:val="14"/>
      </w:rPr>
      <w:t xml:space="preserve">  /  CUSTOMER IT REVIEW  /  ROLEPLAY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9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ptos Display" w:hAnsi="Aptos Display" w:eastAsia="Aptos Display"/>
      <w:b/>
      <w:bCs/>
      <w:color w:val="13213C"/>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Aptos Display"/>
      <w:b/>
      <w:bCs/>
      <w:color w:val="13213C"/>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eastAsia="Aptos Display"/>
      <w:b/>
      <w:bCs/>
      <w:color w:val="13213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13213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mailto:moritz@getzell.com" TargetMode="External"/><Relationship Id="rId13" Type="http://schemas.openxmlformats.org/officeDocument/2006/relationships/hyperlink" Target="tel:+49152045063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Zell – Roleplay IT &amp; Compliance Review</dc:title>
  <dc:subject>Customer IT review for the browser-based voice roleplay use case</dc:subject>
  <dc:creator>Zell UG (haftungsbeschränkt)</dc:creator>
  <cp:keywords>Zell, IT review, security, GDPR, roleplay</cp:keywords>
  <dc:description>generated by python-docx</dc:description>
  <cp:lastModifiedBy/>
  <cp:revision>1</cp:revision>
  <dcterms:created xsi:type="dcterms:W3CDTF">2013-12-23T23:15:00Z</dcterms:created>
  <dcterms:modified xsi:type="dcterms:W3CDTF">2013-12-23T23:15:00Z</dcterms:modified>
  <cp:category/>
</cp:coreProperties>
</file>