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sz w:val="32"/>
          <w:szCs w:val="32"/>
          <w:u w:val="single"/>
        </w:rPr>
        <w:t>Graphics Windowing Utilities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This document is compares several popular windowing libraries, in order to assess its suitability for Vulkan applications: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u w:val="single"/>
        </w:rPr>
        <w:t>Supported platforms, and Graphics API backends</w:t>
      </w:r>
    </w:p>
    <w:tbl>
      <w:tblPr>
        <w:tblStyle w:val="Table1"/>
        <w:tblW w:w="13580" w:type="dxa"/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6" w:type="dxa"/>
          <w:bottom w:w="0" w:type="dxa"/>
          <w:right w:w="108" w:type="dxa"/>
        </w:tblCellMar>
        <w:tblLook w:val="0000"/>
      </w:tblPr>
      <w:tblGrid>
        <w:gridCol w:w="1797"/>
        <w:gridCol w:w="1172"/>
        <w:gridCol w:w="1100"/>
        <w:gridCol w:w="1509"/>
        <w:gridCol w:w="1209"/>
        <w:gridCol w:w="1358"/>
        <w:gridCol w:w="1361"/>
        <w:gridCol w:w="1357"/>
        <w:gridCol w:w="1358"/>
        <w:gridCol w:w="1357"/>
      </w:tblGrid>
      <w:tr>
        <w:trPr/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Utility Name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Vulkan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OpenGL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OpenGLES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DirectX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Windows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Linux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Android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OS X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iPhone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WSIWindow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Y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GLFW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Y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GLFM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N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SFML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N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soon</w:t>
            </w:r>
            <w:r>
              <w:rPr>
                <w:rStyle w:val="FootnoteAnchor"/>
                <w:rFonts w:eastAsia="Liberation Serif" w:cs="Liberation Serif"/>
                <w:b w:val="false"/>
                <w:color w:val="00000A"/>
                <w:sz w:val="24"/>
                <w:szCs w:val="24"/>
              </w:rPr>
              <w:footnoteReference w:id="2"/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soon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SDL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N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FreeGLUT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N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2"/>
        <w:tblW w:w="13574" w:type="dxa"/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6" w:type="dxa"/>
          <w:bottom w:w="0" w:type="dxa"/>
          <w:right w:w="108" w:type="dxa"/>
        </w:tblCellMar>
        <w:tblLook w:val="0000"/>
      </w:tblPr>
      <w:tblGrid>
        <w:gridCol w:w="1798"/>
        <w:gridCol w:w="1471"/>
        <w:gridCol w:w="1472"/>
        <w:gridCol w:w="1471"/>
        <w:gridCol w:w="1472"/>
        <w:gridCol w:w="1471"/>
        <w:gridCol w:w="1472"/>
        <w:gridCol w:w="1471"/>
        <w:gridCol w:w="1474"/>
      </w:tblGrid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Utility Name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Keyboard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Mouse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Multi-touch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Joystick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Sensors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Audio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Networking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WSIWindow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GLFW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GLFM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incomplete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Mobile only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SFML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Mobile only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SDL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FreeGLUT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TODO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TODO</w:t>
            </w:r>
            <w:r>
              <w:rPr>
                <w:rStyle w:val="FootnoteAnchor"/>
                <w:rFonts w:eastAsia="Liberation Serif" w:cs="Liberation Serif"/>
                <w:b w:val="false"/>
                <w:color w:val="00000A"/>
                <w:sz w:val="24"/>
                <w:szCs w:val="24"/>
              </w:rPr>
              <w:footnoteReference w:id="3"/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u w:val="single"/>
        </w:rPr>
        <w:t>Linux Windowing systems</w:t>
      </w:r>
    </w:p>
    <w:tbl>
      <w:tblPr>
        <w:tblStyle w:val="Table3"/>
        <w:tblW w:w="13570" w:type="dxa"/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6" w:type="dxa"/>
          <w:bottom w:w="0" w:type="dxa"/>
          <w:right w:w="108" w:type="dxa"/>
        </w:tblCellMar>
        <w:tblLook w:val="0000"/>
      </w:tblPr>
      <w:tblGrid>
        <w:gridCol w:w="1798"/>
        <w:gridCol w:w="1168"/>
        <w:gridCol w:w="1099"/>
        <w:gridCol w:w="1362"/>
        <w:gridCol w:w="1357"/>
        <w:gridCol w:w="1404"/>
        <w:gridCol w:w="1313"/>
        <w:gridCol w:w="1357"/>
        <w:gridCol w:w="1357"/>
        <w:gridCol w:w="1353"/>
      </w:tblGrid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Utility Name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XCB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XLib</w:t>
            </w:r>
          </w:p>
        </w:tc>
        <w:tc>
          <w:tcPr>
            <w:tcW w:w="1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Wayland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Mir</w:t>
            </w: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WSIWindow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  <w:t>Y?</w:t>
            </w:r>
          </w:p>
        </w:tc>
        <w:tc>
          <w:tcPr>
            <w:tcW w:w="1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GLFW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SFML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SDL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WIP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WIP</w:t>
            </w: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FreeGLUT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u w:val="single"/>
        </w:rPr>
        <w:t>Vulkan features</w:t>
      </w:r>
    </w:p>
    <w:tbl>
      <w:tblPr>
        <w:tblStyle w:val="Table4"/>
        <w:tblW w:w="13535" w:type="dxa"/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6" w:type="dxa"/>
          <w:bottom w:w="0" w:type="dxa"/>
          <w:right w:w="108" w:type="dxa"/>
        </w:tblCellMar>
        <w:tblLook w:val="0000"/>
      </w:tblPr>
      <w:tblGrid>
        <w:gridCol w:w="1529"/>
        <w:gridCol w:w="1501"/>
        <w:gridCol w:w="1184"/>
        <w:gridCol w:w="1350"/>
        <w:gridCol w:w="1202"/>
        <w:gridCol w:w="1356"/>
        <w:gridCol w:w="1500"/>
        <w:gridCol w:w="1200"/>
        <w:gridCol w:w="1359"/>
        <w:gridCol w:w="1352"/>
      </w:tblGrid>
      <w:tr>
        <w:trPr/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/>
                <w:color w:val="00000A"/>
                <w:sz w:val="24"/>
                <w:szCs w:val="24"/>
              </w:rPr>
              <w:t>Utility Name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Create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  <w:t>a</w:t>
            </w: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 xml:space="preserve"> Window (non</w:t>
            </w:r>
            <w:r>
              <w:rPr/>
              <w:t>-</w:t>
            </w: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Vulkan)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  <w:t xml:space="preserve">Build </w:t>
            </w: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Dispatch table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Load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Vulkan Extensions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Load Validation Layers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Validation  Debug Report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Query Presentation support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EEE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Create Vulkan Surface</w:t>
            </w:r>
          </w:p>
        </w:tc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WSIWindow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GLFW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SFML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SDL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FreeGLUT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FF66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Y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9999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Liberation Serif" w:cs="Liberation Serif"/>
                <w:b w:val="false"/>
                <w:color w:val="00000A"/>
                <w:sz w:val="24"/>
                <w:szCs w:val="24"/>
              </w:rPr>
              <w:t>N</w:t>
            </w:r>
          </w:p>
        </w:tc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36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189230</wp:posOffset>
            </wp:positionH>
            <wp:positionV relativeFrom="paragraph">
              <wp:posOffset>118745</wp:posOffset>
            </wp:positionV>
            <wp:extent cx="8240395" cy="1477645"/>
            <wp:effectExtent l="0" t="0" r="0" b="0"/>
            <wp:wrapSquare wrapText="bothSides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39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WSIWindow is intended to be used as a static linked library, rather than a separate .so or .dll.  </w:t>
      </w:r>
      <w:r>
        <w:rPr/>
        <w:t>A major goal was to keep the binary footprint as small as possible, while avoiding any third-party dependencies, other than the OS, and Vulkan driver.</w:t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orient="landscape" w:w="15840" w:h="122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before="0" w:after="0"/>
        <w:rPr/>
      </w:pPr>
      <w:r>
        <w:rPr>
          <w:vertAlign w:val="superscript"/>
        </w:rPr>
        <w:footnoteRef/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SFML already has some experimental Android and iPhone support, but its still incomplete.</w:t>
      </w:r>
    </w:p>
  </w:footnote>
  <w:footnote w:id="3">
    <w:p>
      <w:pPr>
        <w:pStyle w:val="Normal"/>
        <w:spacing w:before="0" w:after="0"/>
        <w:rPr/>
      </w:pPr>
      <w:r>
        <w:rPr>
          <w:vertAlign w:val="superscript"/>
        </w:rPr>
        <w:footnoteRef/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FreeGLUT is planning to use Android’s Accelerometer and Gyroscope sensors to emulate a Joystick.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LibreOffice/5.1.4.2$Linux_X86_64 LibreOffice_project/10m0$Build-2</Application>
  <Pages>2</Pages>
  <Words>329</Words>
  <Characters>1208</Characters>
  <CharactersWithSpaces>1325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2017-01-18T18:18:33Z</dcterms:created>
  <dc:creator/>
  <dc:description/>
  <dc:language>en-US</dc:language>
  <cp:lastModifiedBy/>
  <dcterms:modified xsi:type="dcterms:W3CDTF">2017-01-19T10:36:56Z</dcterms:modified>
  <cp:revision>4</cp:revision>
  <dc:subject/>
  <dc:title/>
</cp:coreProperties>
</file>