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p>
    <w:p>
      <w:pPr>
        <w:spacing w:after="120"/>
      </w:pPr>
    </w:p>
    <w:p>
      <w:pPr>
        <w:spacing w:after="120"/>
      </w:pPr>
    </w:p>
    <w:p>
      <w:pPr>
        <w:spacing w:after="120"/>
      </w:pPr>
    </w:p>
    <w:p>
      <w:pPr>
        <w:spacing w:after="120"/>
      </w:pPr>
    </w:p>
    <w:p>
      <w:pPr>
        <w:jc w:val="center"/>
      </w:pPr>
      <w:r>
        <w:rPr>
          <w:rFonts w:ascii="Calibri" w:hAnsi="Calibri"/>
          <w:b/>
          <w:color w:val="2E74B5"/>
          <w:sz w:val="22"/>
        </w:rPr>
        <w:t>SOC TICKETING SYSTEM</w:t>
      </w:r>
    </w:p>
    <w:p>
      <w:pPr>
        <w:spacing w:before="160" w:after="200"/>
        <w:jc w:val="center"/>
      </w:pPr>
      <w:r>
        <w:rPr>
          <w:rFonts w:ascii="Calibri" w:hAnsi="Calibri"/>
          <w:b/>
          <w:color w:val="0B2545"/>
          <w:sz w:val="56"/>
        </w:rPr>
        <w:t>UAT VM Setup and</w:t>
        <w:br/>
        <w:t>Operations Guide</w:t>
      </w:r>
    </w:p>
    <w:p>
      <w:pPr>
        <w:spacing w:after="520"/>
        <w:jc w:val="center"/>
      </w:pPr>
      <w:r>
        <w:rPr>
          <w:rFonts w:ascii="Calibri" w:hAnsi="Calibri"/>
          <w:color w:val="5B6573"/>
          <w:sz w:val="26"/>
        </w:rPr>
        <w:t>Windows Server deployment: what was configured, why it was needed, and how to operate it.</w:t>
      </w:r>
    </w:p>
    <w:p>
      <w:pPr>
        <w:pBdr>
          <w:bottom w:val="single" w:sz="12" w:space="8" w:color="2E74B5"/>
        </w:pBdr>
      </w:pPr>
    </w:p>
    <w:p>
      <w:pPr>
        <w:spacing w:before="360" w:after="80"/>
        <w:jc w:val="center"/>
      </w:pPr>
      <w:r>
        <w:rPr>
          <w:rFonts w:ascii="Calibri" w:hAnsi="Calibri"/>
          <w:b/>
          <w:color w:val="0B2545"/>
          <w:sz w:val="22"/>
        </w:rPr>
        <w:t>Prepared for the SOC Ticketing team</w:t>
      </w:r>
    </w:p>
    <w:p>
      <w:pPr>
        <w:jc w:val="center"/>
      </w:pPr>
      <w:r>
        <w:t>17 July 2026 | UAT status: web path, corrected UAT database, functional validation, daily database backups, and loopback database connection performance configuration completed</w:t>
      </w:r>
    </w:p>
    <w:p>
      <w:r>
        <w:br w:type="page"/>
      </w:r>
    </w:p>
    <w:p>
      <w:pPr>
        <w:pStyle w:val="Heading1"/>
        <w:keepNext/>
      </w:pPr>
      <w:r>
        <w:t>Purpose and current state</w:t>
      </w:r>
    </w:p>
    <w:p>
      <w:pPr/>
      <w:r>
        <w:rPr>
          <w:rFonts w:ascii="Calibri" w:hAnsi="Calibri"/>
          <w:color w:val="000000"/>
          <w:sz w:val="22"/>
        </w:rPr>
        <w:t>This guide records how the SOC Ticketing System UAT environment was built on Windows Server, why each component exists, and how to operate the environment. UAT is a separate acceptance-testing environment: it must not share application credentials, database data, or operational risk with Development or Production.</w:t>
      </w:r>
    </w:p>
    <w:p>
      <w:pPr>
        <w:shd w:fill="F4F6F9" w:val="clear"/>
        <w:spacing w:before="40" w:after="40"/>
        <w:ind w:left="173" w:right="173"/>
      </w:pPr>
      <w:r>
        <w:t>Current status: The IIS, Waitress, and tester network path were validated; a TCP test from a tester PC to the UAT public IP on port 80 returned True. The .env database settings use ticketdata_uat and ticket_uat, local PostgreSQL access for ticket_uat was restored, and Django migrations were applied to the correct UAT database. The UAT superuser, demo fixture, static files, service restart, local/tester browser checks, populated manual backup, and daily PostgreSQL 18 backup task have all been completed and verified. On 17 July 2026, UAT also enabled 60-second Django database connection reuse and disabled PostgreSQL TLS negotiation only for the VM-local loopback connection. Local IIS requests then stabilized at 51-58 ms after one warm-up request. A tester-led authenticated workflow performance pass remains in progress. HTTPS, SMTP, backup-restore testing, media backup, and tighter access restrictions remain later hardening work.</w:t>
      </w:r>
    </w:p>
    <w:p>
      <w:pPr>
        <w:spacing w:after="20"/>
      </w:pPr>
    </w:p>
    <w:p>
      <w:pPr>
        <w:pStyle w:val="Heading1"/>
        <w:keepNext/>
      </w:pPr>
      <w:r>
        <w:t>Architecture and request path</w:t>
      </w:r>
    </w:p>
    <w:p>
      <w:pPr/>
      <w:r>
        <w:rPr>
          <w:rFonts w:ascii="Calibri" w:hAnsi="Calibri"/>
          <w:color w:val="000000"/>
          <w:sz w:val="22"/>
        </w:rPr>
        <w:t>The public request path is deliberately split into a tester-facing web layer and private application and database layers. This prevents a tester from directly reaching the app server or database.</w:t>
      </w:r>
    </w:p>
    <w:p>
      <w:pPr>
        <w:jc w:val="center"/>
      </w:pPr>
      <w:r>
        <w:drawing>
          <wp:inline xmlns:a="http://schemas.openxmlformats.org/drawingml/2006/main" xmlns:pic="http://schemas.openxmlformats.org/drawingml/2006/picture">
            <wp:extent cx="5943600" cy="1981200"/>
            <wp:docPr id="1" name="Picture 1" descr="Diagram showing tester browser through DTBS cloud firewall and IIS to private Waitress, Django, and PostgreSQL components."/>
            <wp:cNvGraphicFramePr>
              <a:graphicFrameLocks noChangeAspect="1"/>
            </wp:cNvGraphicFramePr>
            <a:graphic>
              <a:graphicData uri="http://schemas.openxmlformats.org/drawingml/2006/picture">
                <pic:pic>
                  <pic:nvPicPr>
                    <pic:cNvPr id="0" name="uat_vm_architecture.png"/>
                    <pic:cNvPicPr/>
                  </pic:nvPicPr>
                  <pic:blipFill>
                    <a:blip r:embed="rId12"/>
                    <a:stretch>
                      <a:fillRect/>
                    </a:stretch>
                  </pic:blipFill>
                  <pic:spPr>
                    <a:xfrm>
                      <a:off x="0" y="0"/>
                      <a:ext cx="5943600" cy="1981200"/>
                    </a:xfrm>
                    <a:prstGeom prst="rect"/>
                  </pic:spPr>
                </pic:pic>
              </a:graphicData>
            </a:graphic>
          </wp:inline>
        </w:drawing>
      </w:r>
    </w:p>
    <w:p>
      <w:pPr>
        <w:pStyle w:val="Small"/>
        <w:jc w:val="center"/>
      </w:pPr>
      <w:r>
        <w:t>Figure 1. UAT request path and intended security boundary.</w:t>
      </w:r>
    </w:p>
    <w:tbl>
      <w:tblPr>
        <w:tblStyle w:val="TableGrid"/>
        <w:tblW w:type="dxa" w:w="9360"/>
        <w:tblLayout w:type="fixed"/>
        <w:tblLook w:firstColumn="1" w:firstRow="1" w:lastColumn="0" w:lastRow="0" w:noHBand="0" w:noVBand="1" w:val="04A0"/>
        <w:jc w:val="left"/>
        <w:tblInd w:w="120" w:type="dxa"/>
      </w:tblPr>
      <w:tblGrid>
        <w:gridCol w:w="1900"/>
        <w:gridCol w:w="4460"/>
        <w:gridCol w:w="3000"/>
      </w:tblGrid>
      <w:tr>
        <w:trPr>
          <w:tblHeader w:val="true"/>
        </w:trPr>
        <w:tc>
          <w:tcPr>
            <w:tcW w:type="dxa" w:w="1900"/>
            <w:tcMar>
              <w:top w:w="80" w:type="dxa"/>
              <w:start w:w="120" w:type="dxa"/>
              <w:bottom w:w="80" w:type="dxa"/>
              <w:end w:w="120" w:type="dxa"/>
            </w:tcMar>
            <w:vAlign w:val="center"/>
            <w:shd w:fill="E8EEF5" w:val="clear"/>
          </w:tcPr>
          <w:p>
            <w:pPr>
              <w:spacing w:after="0"/>
              <w:jc w:val="left"/>
            </w:pPr>
            <w:r>
              <w:rPr>
                <w:rFonts w:ascii="Calibri" w:hAnsi="Calibri"/>
                <w:b/>
                <w:color w:val="0B2545"/>
                <w:sz w:val="19"/>
              </w:rPr>
              <w:t>Layer</w:t>
            </w:r>
          </w:p>
        </w:tc>
        <w:tc>
          <w:tcPr>
            <w:tcW w:type="dxa" w:w="4460"/>
            <w:tcMar>
              <w:top w:w="80" w:type="dxa"/>
              <w:start w:w="120" w:type="dxa"/>
              <w:bottom w:w="80" w:type="dxa"/>
              <w:end w:w="120" w:type="dxa"/>
            </w:tcMar>
            <w:vAlign w:val="center"/>
            <w:shd w:fill="E8EEF5" w:val="clear"/>
          </w:tcPr>
          <w:p>
            <w:pPr>
              <w:spacing w:after="0"/>
              <w:jc w:val="left"/>
            </w:pPr>
            <w:r>
              <w:rPr>
                <w:rFonts w:ascii="Calibri" w:hAnsi="Calibri"/>
                <w:b/>
                <w:color w:val="0B2545"/>
                <w:sz w:val="19"/>
              </w:rPr>
              <w:t>Role</w:t>
            </w:r>
          </w:p>
        </w:tc>
        <w:tc>
          <w:tcPr>
            <w:tcW w:type="dxa" w:w="3000"/>
            <w:tcMar>
              <w:top w:w="80" w:type="dxa"/>
              <w:start w:w="120" w:type="dxa"/>
              <w:bottom w:w="80" w:type="dxa"/>
              <w:end w:w="120" w:type="dxa"/>
            </w:tcMar>
            <w:vAlign w:val="center"/>
            <w:shd w:fill="E8EEF5" w:val="clear"/>
          </w:tcPr>
          <w:p>
            <w:pPr>
              <w:spacing w:after="0"/>
              <w:jc w:val="left"/>
            </w:pPr>
            <w:r>
              <w:rPr>
                <w:rFonts w:ascii="Calibri" w:hAnsi="Calibri"/>
                <w:b/>
                <w:color w:val="0B2545"/>
                <w:sz w:val="19"/>
              </w:rPr>
              <w:t>Exposure</w:t>
            </w:r>
          </w:p>
        </w:tc>
      </w:tr>
      <w:tr>
        <w:tc>
          <w:tcPr>
            <w:tcW w:type="dxa" w:w="1900"/>
            <w:tcMar>
              <w:top w:w="80" w:type="dxa"/>
              <w:start w:w="120" w:type="dxa"/>
              <w:bottom w:w="80" w:type="dxa"/>
              <w:end w:w="120" w:type="dxa"/>
            </w:tcMar>
            <w:vAlign w:val="center"/>
          </w:tcPr>
          <w:p>
            <w:pPr>
              <w:spacing w:before="0" w:after="0" w:line="264" w:lineRule="auto"/>
              <w:jc w:val="left"/>
            </w:pPr>
            <w:r>
              <w:rPr>
                <w:rFonts w:ascii="Calibri" w:hAnsi="Calibri"/>
                <w:color w:val="000000"/>
                <w:sz w:val="18"/>
              </w:rPr>
              <w:t>DTBS cloud firewall</w:t>
            </w:r>
          </w:p>
        </w:tc>
        <w:tc>
          <w:tcPr>
            <w:tcW w:type="dxa" w:w="4460"/>
            <w:tcMar>
              <w:top w:w="80" w:type="dxa"/>
              <w:start w:w="120" w:type="dxa"/>
              <w:bottom w:w="80" w:type="dxa"/>
              <w:end w:w="120" w:type="dxa"/>
            </w:tcMar>
            <w:vAlign w:val="center"/>
          </w:tcPr>
          <w:p>
            <w:pPr>
              <w:spacing w:before="0" w:after="0" w:line="264" w:lineRule="auto"/>
              <w:jc w:val="left"/>
            </w:pPr>
            <w:r>
              <w:rPr>
                <w:rFonts w:ascii="Calibri" w:hAnsi="Calibri"/>
                <w:color w:val="000000"/>
                <w:sz w:val="18"/>
              </w:rPr>
              <w:t>Permits only approved inbound network traffic to the VM.</w:t>
            </w:r>
          </w:p>
        </w:tc>
        <w:tc>
          <w:tcPr>
            <w:tcW w:type="dxa" w:w="3000"/>
            <w:tcMar>
              <w:top w:w="80" w:type="dxa"/>
              <w:start w:w="120" w:type="dxa"/>
              <w:bottom w:w="80" w:type="dxa"/>
              <w:end w:w="120" w:type="dxa"/>
            </w:tcMar>
            <w:vAlign w:val="center"/>
          </w:tcPr>
          <w:p>
            <w:pPr>
              <w:spacing w:before="0" w:after="0" w:line="264" w:lineRule="auto"/>
              <w:jc w:val="left"/>
            </w:pPr>
            <w:r>
              <w:rPr>
                <w:rFonts w:ascii="Calibri" w:hAnsi="Calibri"/>
                <w:color w:val="000000"/>
                <w:sz w:val="18"/>
              </w:rPr>
              <w:t>Tester network -&gt; TCP 80</w:t>
            </w:r>
          </w:p>
        </w:tc>
      </w:tr>
      <w:tr>
        <w:tc>
          <w:tcPr>
            <w:tcW w:type="dxa" w:w="1900"/>
            <w:tcMar>
              <w:top w:w="80" w:type="dxa"/>
              <w:start w:w="120" w:type="dxa"/>
              <w:bottom w:w="80" w:type="dxa"/>
              <w:end w:w="120" w:type="dxa"/>
            </w:tcMar>
            <w:vAlign w:val="center"/>
          </w:tcPr>
          <w:p>
            <w:pPr>
              <w:spacing w:before="0" w:after="0" w:line="264" w:lineRule="auto"/>
              <w:jc w:val="left"/>
            </w:pPr>
            <w:r>
              <w:rPr>
                <w:rFonts w:ascii="Calibri" w:hAnsi="Calibri"/>
                <w:color w:val="000000"/>
                <w:sz w:val="18"/>
              </w:rPr>
              <w:t>IIS</w:t>
            </w:r>
          </w:p>
        </w:tc>
        <w:tc>
          <w:tcPr>
            <w:tcW w:type="dxa" w:w="4460"/>
            <w:tcMar>
              <w:top w:w="80" w:type="dxa"/>
              <w:start w:w="120" w:type="dxa"/>
              <w:bottom w:w="80" w:type="dxa"/>
              <w:end w:w="120" w:type="dxa"/>
            </w:tcMar>
            <w:vAlign w:val="center"/>
          </w:tcPr>
          <w:p>
            <w:pPr>
              <w:spacing w:before="0" w:after="0" w:line="264" w:lineRule="auto"/>
              <w:jc w:val="left"/>
            </w:pPr>
            <w:r>
              <w:rPr>
                <w:rFonts w:ascii="Calibri" w:hAnsi="Calibri"/>
                <w:color w:val="000000"/>
                <w:sz w:val="18"/>
              </w:rPr>
              <w:t>Receives HTTP requests and acts as the reverse proxy.</w:t>
            </w:r>
          </w:p>
        </w:tc>
        <w:tc>
          <w:tcPr>
            <w:tcW w:type="dxa" w:w="3000"/>
            <w:tcMar>
              <w:top w:w="80" w:type="dxa"/>
              <w:start w:w="120" w:type="dxa"/>
              <w:bottom w:w="80" w:type="dxa"/>
              <w:end w:w="120" w:type="dxa"/>
            </w:tcMar>
            <w:vAlign w:val="center"/>
          </w:tcPr>
          <w:p>
            <w:pPr>
              <w:spacing w:before="0" w:after="0" w:line="264" w:lineRule="auto"/>
              <w:jc w:val="left"/>
            </w:pPr>
            <w:r>
              <w:rPr>
                <w:rFonts w:ascii="Calibri" w:hAnsi="Calibri"/>
                <w:color w:val="000000"/>
                <w:sz w:val="18"/>
              </w:rPr>
              <w:t>Public UAT web entry point</w:t>
            </w:r>
          </w:p>
        </w:tc>
      </w:tr>
      <w:tr>
        <w:tc>
          <w:tcPr>
            <w:tcW w:type="dxa" w:w="1900"/>
            <w:tcMar>
              <w:top w:w="80" w:type="dxa"/>
              <w:start w:w="120" w:type="dxa"/>
              <w:bottom w:w="80" w:type="dxa"/>
              <w:end w:w="120" w:type="dxa"/>
            </w:tcMar>
            <w:vAlign w:val="center"/>
          </w:tcPr>
          <w:p>
            <w:pPr>
              <w:spacing w:before="0" w:after="0" w:line="264" w:lineRule="auto"/>
              <w:jc w:val="left"/>
            </w:pPr>
            <w:r>
              <w:rPr>
                <w:rFonts w:ascii="Calibri" w:hAnsi="Calibri"/>
                <w:color w:val="000000"/>
                <w:sz w:val="18"/>
              </w:rPr>
              <w:t>ARR + URL Rewrite</w:t>
            </w:r>
          </w:p>
        </w:tc>
        <w:tc>
          <w:tcPr>
            <w:tcW w:type="dxa" w:w="4460"/>
            <w:tcMar>
              <w:top w:w="80" w:type="dxa"/>
              <w:start w:w="120" w:type="dxa"/>
              <w:bottom w:w="80" w:type="dxa"/>
              <w:end w:w="120" w:type="dxa"/>
            </w:tcMar>
            <w:vAlign w:val="center"/>
          </w:tcPr>
          <w:p>
            <w:pPr>
              <w:spacing w:before="0" w:after="0" w:line="264" w:lineRule="auto"/>
              <w:jc w:val="left"/>
            </w:pPr>
            <w:r>
              <w:rPr>
                <w:rFonts w:ascii="Calibri" w:hAnsi="Calibri"/>
                <w:color w:val="000000"/>
                <w:sz w:val="18"/>
              </w:rPr>
              <w:t>Forwards IIS requests to the local application service.</w:t>
            </w:r>
          </w:p>
        </w:tc>
        <w:tc>
          <w:tcPr>
            <w:tcW w:type="dxa" w:w="3000"/>
            <w:tcMar>
              <w:top w:w="80" w:type="dxa"/>
              <w:start w:w="120" w:type="dxa"/>
              <w:bottom w:w="80" w:type="dxa"/>
              <w:end w:w="120" w:type="dxa"/>
            </w:tcMar>
            <w:vAlign w:val="center"/>
          </w:tcPr>
          <w:p>
            <w:pPr>
              <w:spacing w:before="0" w:after="0" w:line="264" w:lineRule="auto"/>
              <w:jc w:val="left"/>
            </w:pPr>
            <w:r>
              <w:rPr>
                <w:rFonts w:ascii="Calibri" w:hAnsi="Calibri"/>
                <w:color w:val="000000"/>
                <w:sz w:val="18"/>
              </w:rPr>
              <w:t>VM-local only</w:t>
            </w:r>
          </w:p>
        </w:tc>
      </w:tr>
      <w:tr>
        <w:tc>
          <w:tcPr>
            <w:tcW w:type="dxa" w:w="1900"/>
            <w:tcMar>
              <w:top w:w="80" w:type="dxa"/>
              <w:start w:w="120" w:type="dxa"/>
              <w:bottom w:w="80" w:type="dxa"/>
              <w:end w:w="120" w:type="dxa"/>
            </w:tcMar>
            <w:vAlign w:val="center"/>
          </w:tcPr>
          <w:p>
            <w:pPr>
              <w:spacing w:before="0" w:after="0" w:line="264" w:lineRule="auto"/>
              <w:jc w:val="left"/>
            </w:pPr>
            <w:r>
              <w:rPr>
                <w:rFonts w:ascii="Calibri" w:hAnsi="Calibri"/>
                <w:color w:val="000000"/>
                <w:sz w:val="18"/>
              </w:rPr>
              <w:t>Waitress + Django</w:t>
            </w:r>
          </w:p>
        </w:tc>
        <w:tc>
          <w:tcPr>
            <w:tcW w:type="dxa" w:w="4460"/>
            <w:tcMar>
              <w:top w:w="80" w:type="dxa"/>
              <w:start w:w="120" w:type="dxa"/>
              <w:bottom w:w="80" w:type="dxa"/>
              <w:end w:w="120" w:type="dxa"/>
            </w:tcMar>
            <w:vAlign w:val="center"/>
          </w:tcPr>
          <w:p>
            <w:pPr>
              <w:spacing w:before="0" w:after="0" w:line="264" w:lineRule="auto"/>
              <w:jc w:val="left"/>
            </w:pPr>
            <w:r>
              <w:rPr>
                <w:rFonts w:ascii="Calibri" w:hAnsi="Calibri"/>
                <w:color w:val="000000"/>
                <w:sz w:val="18"/>
              </w:rPr>
              <w:t>Runs the SOC Ticket application using Windows-compatible WSGI hosting.</w:t>
            </w:r>
          </w:p>
        </w:tc>
        <w:tc>
          <w:tcPr>
            <w:tcW w:type="dxa" w:w="3000"/>
            <w:tcMar>
              <w:top w:w="80" w:type="dxa"/>
              <w:start w:w="120" w:type="dxa"/>
              <w:bottom w:w="80" w:type="dxa"/>
              <w:end w:w="120" w:type="dxa"/>
            </w:tcMar>
            <w:vAlign w:val="center"/>
          </w:tcPr>
          <w:p>
            <w:pPr>
              <w:spacing w:before="0" w:after="0" w:line="264" w:lineRule="auto"/>
              <w:jc w:val="left"/>
            </w:pPr>
            <w:r>
              <w:rPr>
                <w:rFonts w:ascii="Calibri" w:hAnsi="Calibri"/>
                <w:color w:val="000000"/>
                <w:sz w:val="18"/>
              </w:rPr>
              <w:t>127.0.0.1:8000 only</w:t>
            </w:r>
          </w:p>
        </w:tc>
      </w:tr>
      <w:tr>
        <w:tc>
          <w:tcPr>
            <w:tcW w:type="dxa" w:w="1900"/>
            <w:tcMar>
              <w:top w:w="80" w:type="dxa"/>
              <w:start w:w="120" w:type="dxa"/>
              <w:bottom w:w="80" w:type="dxa"/>
              <w:end w:w="120" w:type="dxa"/>
            </w:tcMar>
            <w:vAlign w:val="center"/>
          </w:tcPr>
          <w:p>
            <w:pPr>
              <w:spacing w:before="0" w:after="0" w:line="264" w:lineRule="auto"/>
              <w:jc w:val="left"/>
            </w:pPr>
            <w:r>
              <w:rPr>
                <w:rFonts w:ascii="Calibri" w:hAnsi="Calibri"/>
                <w:color w:val="000000"/>
                <w:sz w:val="18"/>
              </w:rPr>
              <w:t>PostgreSQL</w:t>
            </w:r>
          </w:p>
        </w:tc>
        <w:tc>
          <w:tcPr>
            <w:tcW w:type="dxa" w:w="4460"/>
            <w:tcMar>
              <w:top w:w="80" w:type="dxa"/>
              <w:start w:w="120" w:type="dxa"/>
              <w:bottom w:w="80" w:type="dxa"/>
              <w:end w:w="120" w:type="dxa"/>
            </w:tcMar>
            <w:vAlign w:val="center"/>
          </w:tcPr>
          <w:p>
            <w:pPr>
              <w:spacing w:before="0" w:after="0" w:line="264" w:lineRule="auto"/>
              <w:jc w:val="left"/>
            </w:pPr>
            <w:r>
              <w:rPr>
                <w:rFonts w:ascii="Calibri" w:hAnsi="Calibri"/>
                <w:color w:val="000000"/>
                <w:sz w:val="18"/>
              </w:rPr>
              <w:t>Stores UAT users, tickets, test alerts, and configuration data.</w:t>
            </w:r>
          </w:p>
        </w:tc>
        <w:tc>
          <w:tcPr>
            <w:tcW w:type="dxa" w:w="3000"/>
            <w:tcMar>
              <w:top w:w="80" w:type="dxa"/>
              <w:start w:w="120" w:type="dxa"/>
              <w:bottom w:w="80" w:type="dxa"/>
              <w:end w:w="120" w:type="dxa"/>
            </w:tcMar>
            <w:vAlign w:val="center"/>
          </w:tcPr>
          <w:p>
            <w:pPr>
              <w:spacing w:before="0" w:after="0" w:line="264" w:lineRule="auto"/>
              <w:jc w:val="left"/>
            </w:pPr>
            <w:r>
              <w:rPr>
                <w:rFonts w:ascii="Calibri" w:hAnsi="Calibri"/>
                <w:color w:val="000000"/>
                <w:sz w:val="18"/>
              </w:rPr>
              <w:t>Local database only</w:t>
            </w:r>
          </w:p>
        </w:tc>
      </w:tr>
    </w:tbl>
    <w:p>
      <w:pPr>
        <w:spacing w:after="40"/>
      </w:pPr>
    </w:p>
    <w:p>
      <w:pPr>
        <w:pStyle w:val="Heading1"/>
        <w:keepNext/>
      </w:pPr>
      <w:r>
        <w:t>Why this Windows-native approach was used</w:t>
      </w:r>
    </w:p>
    <w:p>
      <w:pPr/>
      <w:r>
        <w:rPr>
          <w:rFonts w:ascii="Calibri" w:hAnsi="Calibri"/>
          <w:color w:val="000000"/>
          <w:sz w:val="22"/>
        </w:rPr>
        <w:t>The provisioned UAT VM is Windows Server. Rather than delay testing by waiting for another VM or adding a Linux virtualization layer, UAT uses a Windows-native deployment. The existing Linux Docker Compose configuration remains useful for a future Linux deployment, but it is not the active UAT runtime on this VM.</w:t>
      </w:r>
    </w:p>
    <w:tbl>
      <w:tblPr>
        <w:tblStyle w:val="TableGrid"/>
        <w:tblW w:type="dxa" w:w="9360"/>
        <w:tblLayout w:type="fixed"/>
        <w:tblLook w:firstColumn="1" w:firstRow="1" w:lastColumn="0" w:lastRow="0" w:noHBand="0" w:noVBand="1" w:val="04A0"/>
        <w:jc w:val="left"/>
        <w:tblInd w:w="120" w:type="dxa"/>
      </w:tblPr>
      <w:tblGrid>
        <w:gridCol w:w="2700"/>
        <w:gridCol w:w="6660"/>
      </w:tblGrid>
      <w:tr>
        <w:trPr>
          <w:tblHeader w:val="true"/>
        </w:trPr>
        <w:tc>
          <w:tcPr>
            <w:tcW w:type="dxa" w:w="2700"/>
            <w:tcMar>
              <w:top w:w="80" w:type="dxa"/>
              <w:start w:w="120" w:type="dxa"/>
              <w:bottom w:w="80" w:type="dxa"/>
              <w:end w:w="120" w:type="dxa"/>
            </w:tcMar>
            <w:vAlign w:val="center"/>
            <w:shd w:fill="E8EEF5" w:val="clear"/>
          </w:tcPr>
          <w:p>
            <w:pPr>
              <w:spacing w:after="0"/>
              <w:jc w:val="left"/>
            </w:pPr>
            <w:r>
              <w:rPr>
                <w:rFonts w:ascii="Calibri" w:hAnsi="Calibri"/>
                <w:b/>
                <w:color w:val="0B2545"/>
                <w:sz w:val="19"/>
              </w:rPr>
              <w:t>Decision</w:t>
            </w:r>
          </w:p>
        </w:tc>
        <w:tc>
          <w:tcPr>
            <w:tcW w:type="dxa" w:w="6660"/>
            <w:tcMar>
              <w:top w:w="80" w:type="dxa"/>
              <w:start w:w="120" w:type="dxa"/>
              <w:bottom w:w="80" w:type="dxa"/>
              <w:end w:w="120" w:type="dxa"/>
            </w:tcMar>
            <w:vAlign w:val="center"/>
            <w:shd w:fill="E8EEF5" w:val="clear"/>
          </w:tcPr>
          <w:p>
            <w:pPr>
              <w:spacing w:after="0"/>
              <w:jc w:val="left"/>
            </w:pPr>
            <w:r>
              <w:rPr>
                <w:rFonts w:ascii="Calibri" w:hAnsi="Calibri"/>
                <w:b/>
                <w:color w:val="0B2545"/>
                <w:sz w:val="19"/>
              </w:rPr>
              <w:t>Reason</w:t>
            </w:r>
          </w:p>
        </w:tc>
      </w:tr>
      <w:tr>
        <w:tc>
          <w:tcPr>
            <w:tcW w:type="dxa" w:w="2700"/>
            <w:tcMar>
              <w:top w:w="80" w:type="dxa"/>
              <w:start w:w="120" w:type="dxa"/>
              <w:bottom w:w="80" w:type="dxa"/>
              <w:end w:w="120" w:type="dxa"/>
            </w:tcMar>
            <w:vAlign w:val="center"/>
          </w:tcPr>
          <w:p>
            <w:pPr>
              <w:spacing w:before="0" w:after="0" w:line="264" w:lineRule="auto"/>
              <w:jc w:val="left"/>
            </w:pPr>
            <w:r>
              <w:rPr>
                <w:rFonts w:ascii="Calibri" w:hAnsi="Calibri"/>
                <w:color w:val="000000"/>
                <w:sz w:val="18"/>
              </w:rPr>
              <w:t>Use native Python and PostgreSQL</w:t>
            </w:r>
          </w:p>
        </w:tc>
        <w:tc>
          <w:tcPr>
            <w:tcW w:type="dxa" w:w="6660"/>
            <w:tcMar>
              <w:top w:w="80" w:type="dxa"/>
              <w:start w:w="120" w:type="dxa"/>
              <w:bottom w:w="80" w:type="dxa"/>
              <w:end w:w="120" w:type="dxa"/>
            </w:tcMar>
            <w:vAlign w:val="center"/>
          </w:tcPr>
          <w:p>
            <w:pPr>
              <w:spacing w:before="0" w:after="0" w:line="264" w:lineRule="auto"/>
              <w:jc w:val="left"/>
            </w:pPr>
            <w:r>
              <w:rPr>
                <w:rFonts w:ascii="Calibri" w:hAnsi="Calibri"/>
                <w:color w:val="000000"/>
                <w:sz w:val="18"/>
              </w:rPr>
              <w:t>Both were already installed on the Windows UAT VM and allow the application to run without Docker.</w:t>
            </w:r>
          </w:p>
        </w:tc>
      </w:tr>
      <w:tr>
        <w:tc>
          <w:tcPr>
            <w:tcW w:type="dxa" w:w="2700"/>
            <w:tcMar>
              <w:top w:w="80" w:type="dxa"/>
              <w:start w:w="120" w:type="dxa"/>
              <w:bottom w:w="80" w:type="dxa"/>
              <w:end w:w="120" w:type="dxa"/>
            </w:tcMar>
            <w:vAlign w:val="center"/>
          </w:tcPr>
          <w:p>
            <w:pPr>
              <w:spacing w:before="0" w:after="0" w:line="264" w:lineRule="auto"/>
              <w:jc w:val="left"/>
            </w:pPr>
            <w:r>
              <w:rPr>
                <w:rFonts w:ascii="Calibri" w:hAnsi="Calibri"/>
                <w:color w:val="000000"/>
                <w:sz w:val="18"/>
              </w:rPr>
              <w:t>Use Waitress instead of Gunicorn</w:t>
            </w:r>
          </w:p>
        </w:tc>
        <w:tc>
          <w:tcPr>
            <w:tcW w:type="dxa" w:w="6660"/>
            <w:tcMar>
              <w:top w:w="80" w:type="dxa"/>
              <w:start w:w="120" w:type="dxa"/>
              <w:bottom w:w="80" w:type="dxa"/>
              <w:end w:w="120" w:type="dxa"/>
            </w:tcMar>
            <w:vAlign w:val="center"/>
          </w:tcPr>
          <w:p>
            <w:pPr>
              <w:spacing w:before="0" w:after="0" w:line="264" w:lineRule="auto"/>
              <w:jc w:val="left"/>
            </w:pPr>
            <w:r>
              <w:rPr>
                <w:rFonts w:ascii="Calibri" w:hAnsi="Calibri"/>
                <w:color w:val="000000"/>
                <w:sz w:val="18"/>
              </w:rPr>
              <w:t>Waitress is a Windows-compatible WSGI server; the repository's Gunicorn production command targets Linux.</w:t>
            </w:r>
          </w:p>
        </w:tc>
      </w:tr>
      <w:tr>
        <w:tc>
          <w:tcPr>
            <w:tcW w:type="dxa" w:w="2700"/>
            <w:tcMar>
              <w:top w:w="80" w:type="dxa"/>
              <w:start w:w="120" w:type="dxa"/>
              <w:bottom w:w="80" w:type="dxa"/>
              <w:end w:w="120" w:type="dxa"/>
            </w:tcMar>
            <w:vAlign w:val="center"/>
          </w:tcPr>
          <w:p>
            <w:pPr>
              <w:spacing w:before="0" w:after="0" w:line="264" w:lineRule="auto"/>
              <w:jc w:val="left"/>
            </w:pPr>
            <w:r>
              <w:rPr>
                <w:rFonts w:ascii="Calibri" w:hAnsi="Calibri"/>
                <w:color w:val="000000"/>
                <w:sz w:val="18"/>
              </w:rPr>
              <w:t>Put IIS in front of Waitress</w:t>
            </w:r>
          </w:p>
        </w:tc>
        <w:tc>
          <w:tcPr>
            <w:tcW w:type="dxa" w:w="6660"/>
            <w:tcMar>
              <w:top w:w="80" w:type="dxa"/>
              <w:start w:w="120" w:type="dxa"/>
              <w:bottom w:w="80" w:type="dxa"/>
              <w:end w:w="120" w:type="dxa"/>
            </w:tcMar>
            <w:vAlign w:val="center"/>
          </w:tcPr>
          <w:p>
            <w:pPr>
              <w:spacing w:before="0" w:after="0" w:line="264" w:lineRule="auto"/>
              <w:jc w:val="left"/>
            </w:pPr>
            <w:r>
              <w:rPr>
                <w:rFonts w:ascii="Calibri" w:hAnsi="Calibri"/>
                <w:color w:val="000000"/>
                <w:sz w:val="18"/>
              </w:rPr>
              <w:t>IIS provides the tester-facing web endpoint while Waitress remains private on localhost.</w:t>
            </w:r>
          </w:p>
        </w:tc>
      </w:tr>
      <w:tr>
        <w:tc>
          <w:tcPr>
            <w:tcW w:type="dxa" w:w="2700"/>
            <w:tcMar>
              <w:top w:w="80" w:type="dxa"/>
              <w:start w:w="120" w:type="dxa"/>
              <w:bottom w:w="80" w:type="dxa"/>
              <w:end w:w="120" w:type="dxa"/>
            </w:tcMar>
            <w:vAlign w:val="center"/>
          </w:tcPr>
          <w:p>
            <w:pPr>
              <w:spacing w:before="0" w:after="0" w:line="264" w:lineRule="auto"/>
              <w:jc w:val="left"/>
            </w:pPr>
            <w:r>
              <w:rPr>
                <w:rFonts w:ascii="Calibri" w:hAnsi="Calibri"/>
                <w:color w:val="000000"/>
                <w:sz w:val="18"/>
              </w:rPr>
              <w:t>Keep UAT data separate</w:t>
            </w:r>
          </w:p>
        </w:tc>
        <w:tc>
          <w:tcPr>
            <w:tcW w:type="dxa" w:w="6660"/>
            <w:tcMar>
              <w:top w:w="80" w:type="dxa"/>
              <w:start w:w="120" w:type="dxa"/>
              <w:bottom w:w="80" w:type="dxa"/>
              <w:end w:w="120" w:type="dxa"/>
            </w:tcMar>
            <w:vAlign w:val="center"/>
          </w:tcPr>
          <w:p>
            <w:pPr>
              <w:spacing w:before="0" w:after="0" w:line="264" w:lineRule="auto"/>
              <w:jc w:val="left"/>
            </w:pPr>
            <w:r>
              <w:rPr>
                <w:rFonts w:ascii="Calibri" w:hAnsi="Calibri"/>
                <w:color w:val="000000"/>
                <w:sz w:val="18"/>
              </w:rPr>
              <w:t>A dedicated database and UAT-only superuser prevent Development or Production data from being changed during acceptance testing.</w:t>
            </w:r>
          </w:p>
        </w:tc>
      </w:tr>
    </w:tbl>
    <w:p>
      <w:pPr>
        <w:spacing w:after="40"/>
      </w:pPr>
    </w:p>
    <w:p>
      <w:pPr>
        <w:pStyle w:val="Heading1"/>
        <w:keepNext/>
      </w:pPr>
      <w:r>
        <w:t>Build process completed</w:t>
      </w:r>
    </w:p>
    <w:p>
      <w:pPr>
        <w:pStyle w:val="Heading2"/>
        <w:keepNext/>
      </w:pPr>
      <w:r>
        <w:t>Prepare the application and isolated UAT data</w:t>
      </w:r>
    </w:p>
    <w:p>
      <w:pPr>
        <w:numPr>
          <w:ilvl w:val="0"/>
          <w:numId w:val="10"/>
        </w:numPr>
      </w:pPr>
      <w:r>
        <w:rPr>
          <w:rFonts w:ascii="Calibri" w:hAnsi="Calibri"/>
          <w:color w:val="000000"/>
          <w:sz w:val="22"/>
        </w:rPr>
        <w:t>Installed Git, Python, and PostgreSQL on the UAT Windows Server, then cloned the SOC Ticket repository to C:\Projects\SOC_Ticket.</w:t>
      </w:r>
    </w:p>
    <w:p>
      <w:pPr>
        <w:numPr>
          <w:ilvl w:val="0"/>
          <w:numId w:val="10"/>
        </w:numPr>
      </w:pPr>
      <w:r>
        <w:rPr>
          <w:rFonts w:ascii="Calibri" w:hAnsi="Calibri"/>
          <w:color w:val="000000"/>
          <w:sz w:val="22"/>
        </w:rPr>
        <w:t>Created a project-local Python virtual environment (.venv) and installed the repository's Python dependencies. This isolates the application packages from other Python software on the VM.</w:t>
      </w:r>
    </w:p>
    <w:p>
      <w:pPr>
        <w:numPr>
          <w:ilvl w:val="0"/>
          <w:numId w:val="10"/>
        </w:numPr>
      </w:pPr>
      <w:r>
        <w:rPr>
          <w:rFonts w:ascii="Calibri" w:hAnsi="Calibri"/>
          <w:color w:val="000000"/>
          <w:sz w:val="22"/>
        </w:rPr>
        <w:t>Created a dedicated PostgreSQL role (ticket_uat) and database (ticketdata_uat). These names and passwords are UAT-only and must not be reused in other environments.</w:t>
      </w:r>
    </w:p>
    <w:p>
      <w:pPr>
        <w:numPr>
          <w:ilvl w:val="0"/>
          <w:numId w:val="10"/>
        </w:numPr>
      </w:pPr>
      <w:r>
        <w:t>Copied .env.example to .env and set DEBUG=False, a unique Django SECRET_KEY, and UAT-only backup paths. The UAT database values are now DB_NAME=ticketdata_uat and DB_USER=ticket_uat. The ticket_uat PostgreSQL password was restored locally and is stored only in the VM's protected .env file.</w:t>
      </w:r>
    </w:p>
    <w:p>
      <w:pPr>
        <w:numPr>
          <w:ilvl w:val="0"/>
          <w:numId w:val="10"/>
        </w:numPr>
      </w:pPr>
      <w:r>
        <w:t>Django migrations, the UAT-only superuser, and the bundled Wazuh fixture have been applied to ticketdata_uat. Local and tester-browser checks were repeated successfully against the corrected database.</w:t>
      </w:r>
    </w:p>
    <w:p>
      <w:pPr>
        <w:pStyle w:val="Code"/>
        <w:shd w:fill="F2F4F7" w:val="clear"/>
      </w:pPr>
      <w:r>
        <w:rPr>
          <w:rFonts w:ascii="Consolas" w:hAnsi="Consolas"/>
          <w:color w:val="0B2545"/>
          <w:sz w:val="18"/>
        </w:rPr>
        <w:t>cd C:\Projects\SOC_Ticket</w:t>
        <w:br/>
      </w:r>
      <w:r>
        <w:rPr>
          <w:rFonts w:ascii="Consolas" w:hAnsi="Consolas"/>
          <w:color w:val="0B2545"/>
          <w:sz w:val="18"/>
        </w:rPr>
        <w:t>.\.venv\Scripts\Activate.ps1</w:t>
        <w:br/>
      </w:r>
      <w:r>
        <w:rPr>
          <w:rFonts w:ascii="Consolas" w:hAnsi="Consolas"/>
          <w:color w:val="0B2545"/>
          <w:sz w:val="18"/>
        </w:rPr>
        <w:t>python manage.py migrate</w:t>
        <w:br/>
      </w:r>
      <w:r>
        <w:rPr>
          <w:rFonts w:ascii="Consolas" w:hAnsi="Consolas"/>
          <w:color w:val="0B2545"/>
          <w:sz w:val="18"/>
        </w:rPr>
        <w:t>python manage.py createsuperuser</w:t>
        <w:br/>
      </w:r>
      <w:r>
        <w:rPr>
          <w:rFonts w:ascii="Consolas" w:hAnsi="Consolas"/>
          <w:color w:val="0B2545"/>
          <w:sz w:val="18"/>
        </w:rPr>
        <w:t>python manage.py ingest_wazuh_alerts --fixture</w:t>
      </w:r>
    </w:p>
    <w:p>
      <w:pPr>
        <w:shd w:fill="F4F6F9" w:val="clear"/>
        <w:spacing w:before="40" w:after="40"/>
        <w:ind w:left="173" w:right="173"/>
      </w:pPr>
      <w:r>
        <w:rPr>
          <w:rFonts w:ascii="Calibri" w:hAnsi="Calibri"/>
          <w:b/>
          <w:color w:val="0B2545"/>
          <w:sz w:val="21"/>
        </w:rPr>
        <w:t xml:space="preserve">Why this matters: </w:t>
      </w:r>
      <w:r>
        <w:rPr>
          <w:rFonts w:ascii="Calibri" w:hAnsi="Calibri"/>
          <w:color w:val="000000"/>
          <w:sz w:val="21"/>
        </w:rPr>
        <w:t>Migrations create the database schema expected by the application. The separate UAT database and fixture let testers work with realistic data without contacting Production services. A correct database name alone is not enough: the Django DB_PASSWORD must match the password stored for the ticket_uat PostgreSQL role.</w:t>
      </w:r>
    </w:p>
    <w:p>
      <w:pPr>
        <w:spacing w:after="20"/>
      </w:pPr>
    </w:p>
    <w:p>
      <w:pPr>
        <w:pStyle w:val="Heading2"/>
        <w:keepNext/>
      </w:pPr>
      <w:r>
        <w:t>Validate locally before exposing the VM</w:t>
      </w:r>
    </w:p>
    <w:p>
      <w:pPr/>
      <w:r>
        <w:t>The application was first started on the UAT VM and tested through a local browser. The superuser successfully logged in and reached the dashboard. After the database correction, this test was repeated successfully with the UAT superuser and fixture data in ticketdata_uat.</w:t>
      </w:r>
    </w:p>
    <w:p>
      <w:pPr>
        <w:pStyle w:val="Code"/>
        <w:shd w:fill="F2F4F7" w:val="clear"/>
      </w:pPr>
      <w:r>
        <w:rPr>
          <w:rFonts w:ascii="Consolas" w:hAnsi="Consolas"/>
          <w:color w:val="0B2545"/>
          <w:sz w:val="18"/>
        </w:rPr>
        <w:t>python manage.py runserver 127.0.0.1:8088</w:t>
      </w:r>
    </w:p>
    <w:p>
      <w:pPr>
        <w:pStyle w:val="Heading2"/>
        <w:keepNext/>
      </w:pPr>
      <w:r>
        <w:t>Run the app with Waitress and persist it across reboots</w:t>
      </w:r>
    </w:p>
    <w:p>
      <w:pPr/>
      <w:r>
        <w:rPr>
          <w:rFonts w:ascii="Calibri" w:hAnsi="Calibri"/>
          <w:color w:val="000000"/>
          <w:sz w:val="22"/>
        </w:rPr>
        <w:t>Django's runserver is only a development server. UAT instead uses Waitress, a Windows-compatible WSGI server, bound to localhost. Binding to 127.0.0.1:8000 means external users cannot bypass IIS and connect directly to the application process.</w:t>
      </w:r>
    </w:p>
    <w:p>
      <w:pPr>
        <w:pStyle w:val="Code"/>
        <w:shd w:fill="F2F4F7" w:val="clear"/>
      </w:pPr>
      <w:r>
        <w:rPr>
          <w:rFonts w:ascii="Consolas" w:hAnsi="Consolas"/>
          <w:color w:val="0B2545"/>
          <w:sz w:val="18"/>
        </w:rPr>
        <w:t>pip install waitress</w:t>
        <w:br/>
      </w:r>
      <w:r>
        <w:rPr>
          <w:rFonts w:ascii="Consolas" w:hAnsi="Consolas"/>
          <w:color w:val="0B2545"/>
          <w:sz w:val="18"/>
        </w:rPr>
        <w:t>waitress-serve --listen=127.0.0.1:8000 config.wsgi:application</w:t>
      </w:r>
    </w:p>
    <w:p>
      <w:pPr/>
      <w:r>
        <w:rPr>
          <w:rFonts w:ascii="Calibri" w:hAnsi="Calibri"/>
          <w:color w:val="000000"/>
          <w:sz w:val="22"/>
        </w:rPr>
        <w:t>A launcher file, C:\Projects\SOC_Ticket\run-uat.cmd, changes to the project directory and starts Waitress. A Windows Scheduled Task named SOC Ticket UAT runs that launcher as Local System at VM startup, so the app returns after a reboot without an administrator keeping PowerShell open.</w:t>
      </w:r>
    </w:p>
    <w:p>
      <w:pPr>
        <w:pStyle w:val="Code"/>
        <w:shd w:fill="F2F4F7" w:val="clear"/>
      </w:pPr>
      <w:r>
        <w:rPr>
          <w:rFonts w:ascii="Consolas" w:hAnsi="Consolas"/>
          <w:color w:val="0B2545"/>
          <w:sz w:val="18"/>
        </w:rPr>
        <w:t>schtasks /Create /TN "SOC Ticket UAT" /SC ONSTART /RU "SYSTEM" /RL HIGHEST /TR "C:\Projects\SOC_Ticket\run-uat.cmd" /F</w:t>
        <w:br/>
      </w:r>
      <w:r>
        <w:rPr>
          <w:rFonts w:ascii="Consolas" w:hAnsi="Consolas"/>
          <w:color w:val="0B2545"/>
          <w:sz w:val="18"/>
        </w:rPr>
        <w:t>schtasks /Run /TN "SOC Ticket UAT"</w:t>
      </w:r>
    </w:p>
    <w:p>
      <w:pPr>
        <w:pStyle w:val="Heading2"/>
        <w:keepNext/>
      </w:pPr>
      <w:r>
        <w:t>Configure IIS as the UAT web edge</w:t>
      </w:r>
    </w:p>
    <w:p>
      <w:pPr>
        <w:numPr>
          <w:ilvl w:val="0"/>
          <w:numId w:val="11"/>
        </w:numPr>
      </w:pPr>
      <w:r>
        <w:rPr>
          <w:rFonts w:ascii="Calibri" w:hAnsi="Calibri"/>
          <w:color w:val="000000"/>
          <w:sz w:val="22"/>
        </w:rPr>
        <w:t>Installed the IIS Web Server role and verified the default IIS page locally.</w:t>
      </w:r>
    </w:p>
    <w:p>
      <w:pPr>
        <w:numPr>
          <w:ilvl w:val="0"/>
          <w:numId w:val="11"/>
        </w:numPr>
      </w:pPr>
      <w:r>
        <w:rPr>
          <w:rFonts w:ascii="Calibri" w:hAnsi="Calibri"/>
          <w:color w:val="000000"/>
          <w:sz w:val="22"/>
        </w:rPr>
        <w:t>Installed URL Rewrite and Application Request Routing (ARR), then enabled proxy behavior in ARR Server Proxy Settings.</w:t>
      </w:r>
    </w:p>
    <w:p>
      <w:pPr>
        <w:numPr>
          <w:ilvl w:val="0"/>
          <w:numId w:val="11"/>
        </w:numPr>
      </w:pPr>
      <w:r>
        <w:rPr>
          <w:rFonts w:ascii="Calibri" w:hAnsi="Calibri"/>
          <w:color w:val="000000"/>
          <w:sz w:val="22"/>
        </w:rPr>
        <w:t>Added an IIS URL Rewrite rule to the Default Web Site. The rule forwards every incoming path to http://127.0.0.1:8000/{R:0}, where Waitress serves Django.</w:t>
      </w:r>
    </w:p>
    <w:p>
      <w:pPr>
        <w:numPr>
          <w:ilvl w:val="0"/>
          <w:numId w:val="11"/>
        </w:numPr>
      </w:pPr>
      <w:r>
        <w:rPr>
          <w:rFonts w:ascii="Calibri" w:hAnsi="Calibri"/>
          <w:color w:val="000000"/>
          <w:sz w:val="22"/>
        </w:rPr>
        <w:t>Verified that http://127.0.0.1/ on the VM displays the SOC Ticket login page instead of the IIS default page.</w:t>
      </w:r>
    </w:p>
    <w:p>
      <w:pPr>
        <w:shd w:fill="F4F6F9" w:val="clear"/>
        <w:spacing w:before="40" w:after="40"/>
        <w:ind w:left="173" w:right="173"/>
      </w:pPr>
      <w:r>
        <w:rPr>
          <w:rFonts w:ascii="Calibri" w:hAnsi="Calibri"/>
          <w:b/>
          <w:color w:val="0B2545"/>
          <w:sz w:val="21"/>
        </w:rPr>
        <w:t xml:space="preserve">Why this matters: </w:t>
      </w:r>
      <w:r>
        <w:rPr>
          <w:rFonts w:ascii="Calibri" w:hAnsi="Calibri"/>
          <w:color w:val="000000"/>
          <w:sz w:val="21"/>
        </w:rPr>
        <w:t>IIS is the only web service that should face testers. ARR and URL Rewrite let IIS proxy requests inward while Waitress and PostgreSQL remain inaccessible from the cloud network.</w:t>
      </w:r>
    </w:p>
    <w:p>
      <w:pPr>
        <w:spacing w:after="20"/>
      </w:pPr>
    </w:p>
    <w:p>
      <w:pPr>
        <w:pStyle w:val="Heading2"/>
        <w:keepNext/>
      </w:pPr>
      <w:r>
        <w:t>Allow controlled tester access</w:t>
      </w:r>
    </w:p>
    <w:p>
      <w:pPr/>
      <w:r>
        <w:rPr>
          <w:rFonts w:ascii="Calibri" w:hAnsi="Calibri"/>
          <w:color w:val="000000"/>
          <w:sz w:val="22"/>
        </w:rPr>
        <w:t>The UAT .env file was updated so Django recognizes the UAT public IP in ALLOWED_HOSTS and generates links using the UAT SITE_URL. The SOC Ticket UAT task was restarted to load the configuration.</w:t>
      </w:r>
    </w:p>
    <w:p>
      <w:pPr>
        <w:pStyle w:val="Code"/>
        <w:shd w:fill="F2F4F7" w:val="clear"/>
      </w:pPr>
      <w:r>
        <w:rPr>
          <w:rFonts w:ascii="Consolas" w:hAnsi="Consolas"/>
          <w:color w:val="0B2545"/>
          <w:sz w:val="18"/>
        </w:rPr>
        <w:t>schtasks /End /TN "SOC Ticket UAT"</w:t>
        <w:br/>
      </w:r>
      <w:r>
        <w:rPr>
          <w:rFonts w:ascii="Consolas" w:hAnsi="Consolas"/>
          <w:color w:val="0B2545"/>
          <w:sz w:val="18"/>
        </w:rPr>
        <w:t>schtasks /Run /TN "SOC Ticket UAT"</w:t>
        <w:br/>
      </w:r>
      <w:r>
        <w:rPr>
          <w:rFonts w:ascii="Consolas" w:hAnsi="Consolas"/>
          <w:color w:val="0B2545"/>
          <w:sz w:val="18"/>
        </w:rPr>
        <w:t>New-NetFirewallRule -DisplayName "SOC Ticket UAT HTTP" -Direction Inbound -Protocol TCP -LocalPort 80 -Action Allow</w:t>
      </w:r>
    </w:p>
    <w:p>
      <w:pPr/>
      <w:r>
        <w:rPr>
          <w:rFonts w:ascii="Calibri" w:hAnsi="Calibri"/>
          <w:color w:val="000000"/>
          <w:sz w:val="22"/>
        </w:rPr>
        <w:t>Windows Firewall permits IIS on TCP 80. DTBS cloud firewall rules must also permit TCP 80 from the tester or office public IP range. The external check Test-NetConnection &lt;UAT_PUBLIC_IP&gt; -Port 80 returned TcpTestSucceeded : True, showing that the network path to IIS is open.</w:t>
      </w:r>
    </w:p>
    <w:p>
      <w:pPr>
        <w:pStyle w:val="Heading1"/>
        <w:keepNext/>
      </w:pPr>
      <w:r>
        <w:t>Validation record</w:t>
      </w:r>
    </w:p>
    <w:tbl>
      <w:tblPr>
        <w:tblStyle w:val="TableGrid"/>
        <w:tblW w:type="dxa" w:w="9360"/>
        <w:tblLayout w:type="fixed"/>
        <w:tblLook w:firstColumn="1" w:firstRow="1" w:lastColumn="0" w:lastRow="0" w:noHBand="0" w:noVBand="1" w:val="04A0"/>
        <w:jc w:val="left"/>
        <w:tblInd w:w="120" w:type="dxa"/>
      </w:tblPr>
      <w:tblGrid>
        <w:gridCol w:w="2250"/>
        <w:gridCol w:w="2440"/>
        <w:gridCol w:w="4670"/>
      </w:tblGrid>
      <w:tr>
        <w:trPr>
          <w:tblHeader w:val="true"/>
        </w:trPr>
        <w:tc>
          <w:tcPr>
            <w:tcW w:type="dxa" w:w="2250"/>
            <w:tcMar>
              <w:top w:w="80" w:type="dxa"/>
              <w:start w:w="120" w:type="dxa"/>
              <w:bottom w:w="80" w:type="dxa"/>
              <w:end w:w="120" w:type="dxa"/>
            </w:tcMar>
            <w:vAlign w:val="center"/>
            <w:shd w:fill="E8EEF5" w:val="clear"/>
          </w:tcPr>
          <w:p>
            <w:pPr>
              <w:spacing w:after="0"/>
              <w:jc w:val="left"/>
            </w:pPr>
            <w:r>
              <w:rPr>
                <w:rFonts w:ascii="Calibri" w:hAnsi="Calibri"/>
                <w:b/>
                <w:color w:val="0B2545"/>
                <w:sz w:val="19"/>
              </w:rPr>
              <w:t>Check</w:t>
            </w:r>
          </w:p>
        </w:tc>
        <w:tc>
          <w:tcPr>
            <w:tcW w:type="dxa" w:w="2440"/>
            <w:tcMar>
              <w:top w:w="80" w:type="dxa"/>
              <w:start w:w="120" w:type="dxa"/>
              <w:bottom w:w="80" w:type="dxa"/>
              <w:end w:w="120" w:type="dxa"/>
            </w:tcMar>
            <w:vAlign w:val="center"/>
            <w:shd w:fill="E8EEF5" w:val="clear"/>
          </w:tcPr>
          <w:p>
            <w:pPr>
              <w:spacing w:after="0"/>
              <w:jc w:val="left"/>
            </w:pPr>
            <w:r>
              <w:rPr>
                <w:rFonts w:ascii="Calibri" w:hAnsi="Calibri"/>
                <w:b/>
                <w:color w:val="0B2545"/>
                <w:sz w:val="19"/>
              </w:rPr>
              <w:t>Observed result</w:t>
            </w:r>
          </w:p>
        </w:tc>
        <w:tc>
          <w:tcPr>
            <w:tcW w:type="dxa" w:w="4670"/>
            <w:tcMar>
              <w:top w:w="80" w:type="dxa"/>
              <w:start w:w="120" w:type="dxa"/>
              <w:bottom w:w="80" w:type="dxa"/>
              <w:end w:w="120" w:type="dxa"/>
            </w:tcMar>
            <w:vAlign w:val="center"/>
            <w:shd w:fill="E8EEF5" w:val="clear"/>
          </w:tcPr>
          <w:p>
            <w:pPr>
              <w:spacing w:after="0"/>
              <w:jc w:val="left"/>
            </w:pPr>
            <w:r>
              <w:rPr>
                <w:rFonts w:ascii="Calibri" w:hAnsi="Calibri"/>
                <w:b/>
                <w:color w:val="0B2545"/>
                <w:sz w:val="19"/>
              </w:rPr>
              <w:t>Meaning</w:t>
            </w:r>
          </w:p>
        </w:tc>
      </w:tr>
      <w:tr>
        <w:tc>
          <w:tcPr>
            <w:tcW w:type="dxa" w:w="2250"/>
            <w:tcMar>
              <w:top w:w="80" w:type="dxa"/>
              <w:start w:w="120" w:type="dxa"/>
              <w:bottom w:w="80" w:type="dxa"/>
              <w:end w:w="120" w:type="dxa"/>
            </w:tcMar>
            <w:vAlign w:val="center"/>
          </w:tcPr>
          <w:p>
            <w:pPr>
              <w:spacing w:before="0" w:after="0" w:line="264" w:lineRule="auto"/>
              <w:jc w:val="left"/>
            </w:pPr>
            <w:r>
              <w:rPr>
                <w:rFonts w:ascii="Calibri" w:hAnsi="Calibri"/>
                <w:color w:val="000000"/>
                <w:sz w:val="18"/>
              </w:rPr>
              <w:t>Django local login</w:t>
            </w:r>
          </w:p>
        </w:tc>
        <w:tc>
          <w:tcPr>
            <w:tcW w:type="dxa" w:w="2440"/>
            <w:tcMar>
              <w:top w:w="80" w:type="dxa"/>
              <w:start w:w="120" w:type="dxa"/>
              <w:bottom w:w="80" w:type="dxa"/>
              <w:end w:w="120" w:type="dxa"/>
            </w:tcMar>
            <w:vAlign w:val="center"/>
          </w:tcPr>
          <w:p>
            <w:r>
              <w:t>Confirmed</w:t>
            </w:r>
          </w:p>
        </w:tc>
        <w:tc>
          <w:tcPr>
            <w:tcW w:type="dxa" w:w="4670"/>
            <w:tcMar>
              <w:top w:w="80" w:type="dxa"/>
              <w:start w:w="120" w:type="dxa"/>
              <w:bottom w:w="80" w:type="dxa"/>
              <w:end w:w="120" w:type="dxa"/>
            </w:tcMar>
            <w:vAlign w:val="center"/>
          </w:tcPr>
          <w:p>
            <w:r>
              <w:t>Confirmed with the UAT superuser against ticketdata_uat after the service restart.</w:t>
            </w:r>
          </w:p>
        </w:tc>
      </w:tr>
      <w:tr>
        <w:tc>
          <w:tcPr>
            <w:tcW w:type="dxa" w:w="2250"/>
            <w:tcMar>
              <w:top w:w="80" w:type="dxa"/>
              <w:start w:w="120" w:type="dxa"/>
              <w:bottom w:w="80" w:type="dxa"/>
              <w:end w:w="120" w:type="dxa"/>
            </w:tcMar>
            <w:vAlign w:val="center"/>
          </w:tcPr>
          <w:p>
            <w:pPr>
              <w:spacing w:before="0" w:after="0" w:line="264" w:lineRule="auto"/>
              <w:jc w:val="left"/>
            </w:pPr>
            <w:r>
              <w:rPr>
                <w:rFonts w:ascii="Calibri" w:hAnsi="Calibri"/>
                <w:color w:val="000000"/>
                <w:sz w:val="18"/>
              </w:rPr>
              <w:t>Waitress local endpoint</w:t>
            </w:r>
          </w:p>
        </w:tc>
        <w:tc>
          <w:tcPr>
            <w:tcW w:type="dxa" w:w="2440"/>
            <w:tcMar>
              <w:top w:w="80" w:type="dxa"/>
              <w:start w:w="120" w:type="dxa"/>
              <w:bottom w:w="80" w:type="dxa"/>
              <w:end w:w="120" w:type="dxa"/>
            </w:tcMar>
            <w:vAlign w:val="center"/>
          </w:tcPr>
          <w:p>
            <w:pPr>
              <w:spacing w:before="0" w:after="0" w:line="264" w:lineRule="auto"/>
              <w:jc w:val="left"/>
            </w:pPr>
            <w:r>
              <w:rPr>
                <w:rFonts w:ascii="Calibri" w:hAnsi="Calibri"/>
                <w:color w:val="000000"/>
                <w:sz w:val="18"/>
              </w:rPr>
              <w:t>Confirmed</w:t>
            </w:r>
          </w:p>
        </w:tc>
        <w:tc>
          <w:tcPr>
            <w:tcW w:type="dxa" w:w="4670"/>
            <w:tcMar>
              <w:top w:w="80" w:type="dxa"/>
              <w:start w:w="120" w:type="dxa"/>
              <w:bottom w:w="80" w:type="dxa"/>
              <w:end w:w="120" w:type="dxa"/>
            </w:tcMar>
            <w:vAlign w:val="center"/>
          </w:tcPr>
          <w:p>
            <w:pPr>
              <w:spacing w:before="0" w:after="0" w:line="264" w:lineRule="auto"/>
              <w:jc w:val="left"/>
            </w:pPr>
            <w:r>
              <w:rPr>
                <w:rFonts w:ascii="Calibri" w:hAnsi="Calibri"/>
                <w:color w:val="000000"/>
                <w:sz w:val="18"/>
              </w:rPr>
              <w:t>Waitress served the application on 127.0.0.1:8000.</w:t>
            </w:r>
          </w:p>
        </w:tc>
      </w:tr>
      <w:tr>
        <w:tc>
          <w:tcPr>
            <w:tcW w:type="dxa" w:w="2250"/>
            <w:tcMar>
              <w:top w:w="80" w:type="dxa"/>
              <w:start w:w="120" w:type="dxa"/>
              <w:bottom w:w="80" w:type="dxa"/>
              <w:end w:w="120" w:type="dxa"/>
            </w:tcMar>
            <w:vAlign w:val="center"/>
          </w:tcPr>
          <w:p>
            <w:pPr>
              <w:spacing w:before="0" w:after="0" w:line="264" w:lineRule="auto"/>
              <w:jc w:val="left"/>
            </w:pPr>
            <w:r>
              <w:rPr>
                <w:rFonts w:ascii="Calibri" w:hAnsi="Calibri"/>
                <w:color w:val="000000"/>
                <w:sz w:val="18"/>
              </w:rPr>
              <w:t>IIS reverse proxy</w:t>
            </w:r>
          </w:p>
        </w:tc>
        <w:tc>
          <w:tcPr>
            <w:tcW w:type="dxa" w:w="2440"/>
            <w:tcMar>
              <w:top w:w="80" w:type="dxa"/>
              <w:start w:w="120" w:type="dxa"/>
              <w:bottom w:w="80" w:type="dxa"/>
              <w:end w:w="120" w:type="dxa"/>
            </w:tcMar>
            <w:vAlign w:val="center"/>
          </w:tcPr>
          <w:p>
            <w:pPr>
              <w:spacing w:before="0" w:after="0" w:line="264" w:lineRule="auto"/>
              <w:jc w:val="left"/>
            </w:pPr>
            <w:r>
              <w:rPr>
                <w:rFonts w:ascii="Calibri" w:hAnsi="Calibri"/>
                <w:color w:val="000000"/>
                <w:sz w:val="18"/>
              </w:rPr>
              <w:t>Configured</w:t>
            </w:r>
          </w:p>
        </w:tc>
        <w:tc>
          <w:tcPr>
            <w:tcW w:type="dxa" w:w="4670"/>
            <w:tcMar>
              <w:top w:w="80" w:type="dxa"/>
              <w:start w:w="120" w:type="dxa"/>
              <w:bottom w:w="80" w:type="dxa"/>
              <w:end w:w="120" w:type="dxa"/>
            </w:tcMar>
            <w:vAlign w:val="center"/>
          </w:tcPr>
          <w:p>
            <w:pPr>
              <w:spacing w:before="0" w:after="0" w:line="264" w:lineRule="auto"/>
              <w:jc w:val="left"/>
            </w:pPr>
            <w:r>
              <w:rPr>
                <w:rFonts w:ascii="Calibri" w:hAnsi="Calibri"/>
                <w:color w:val="000000"/>
                <w:sz w:val="18"/>
              </w:rPr>
              <w:t>The Default Web Site routes traffic to Waitress using ARR and URL Rewrite.</w:t>
            </w:r>
          </w:p>
        </w:tc>
      </w:tr>
      <w:tr>
        <w:tc>
          <w:tcPr>
            <w:tcW w:type="dxa" w:w="2250"/>
            <w:tcMar>
              <w:top w:w="80" w:type="dxa"/>
              <w:start w:w="120" w:type="dxa"/>
              <w:bottom w:w="80" w:type="dxa"/>
              <w:end w:w="120" w:type="dxa"/>
            </w:tcMar>
            <w:vAlign w:val="center"/>
          </w:tcPr>
          <w:p>
            <w:pPr>
              <w:spacing w:before="0" w:after="0" w:line="264" w:lineRule="auto"/>
              <w:jc w:val="left"/>
            </w:pPr>
            <w:r>
              <w:rPr>
                <w:rFonts w:ascii="Calibri" w:hAnsi="Calibri"/>
                <w:color w:val="000000"/>
                <w:sz w:val="18"/>
              </w:rPr>
              <w:t>External TCP 80</w:t>
            </w:r>
          </w:p>
        </w:tc>
        <w:tc>
          <w:tcPr>
            <w:tcW w:type="dxa" w:w="2440"/>
            <w:tcMar>
              <w:top w:w="80" w:type="dxa"/>
              <w:start w:w="120" w:type="dxa"/>
              <w:bottom w:w="80" w:type="dxa"/>
              <w:end w:w="120" w:type="dxa"/>
            </w:tcMar>
            <w:vAlign w:val="center"/>
          </w:tcPr>
          <w:p>
            <w:pPr>
              <w:spacing w:before="0" w:after="0" w:line="264" w:lineRule="auto"/>
              <w:jc w:val="left"/>
            </w:pPr>
            <w:r>
              <w:rPr>
                <w:rFonts w:ascii="Calibri" w:hAnsi="Calibri"/>
                <w:color w:val="000000"/>
                <w:sz w:val="18"/>
              </w:rPr>
              <w:t>TcpTestSucceeded : True</w:t>
            </w:r>
          </w:p>
        </w:tc>
        <w:tc>
          <w:tcPr>
            <w:tcW w:type="dxa" w:w="4670"/>
            <w:tcMar>
              <w:top w:w="80" w:type="dxa"/>
              <w:start w:w="120" w:type="dxa"/>
              <w:bottom w:w="80" w:type="dxa"/>
              <w:end w:w="120" w:type="dxa"/>
            </w:tcMar>
            <w:vAlign w:val="center"/>
          </w:tcPr>
          <w:p>
            <w:pPr>
              <w:spacing w:before="0" w:after="0" w:line="264" w:lineRule="auto"/>
              <w:jc w:val="left"/>
            </w:pPr>
            <w:r>
              <w:rPr>
                <w:rFonts w:ascii="Calibri" w:hAnsi="Calibri"/>
                <w:color w:val="000000"/>
                <w:sz w:val="18"/>
              </w:rPr>
              <w:t>A tester PC can reach IIS through the network path.</w:t>
            </w:r>
          </w:p>
        </w:tc>
      </w:tr>
      <w:tr>
        <w:tc>
          <w:tcPr>
            <w:tcW w:type="dxa" w:w="2250"/>
            <w:tcMar>
              <w:top w:w="80" w:type="dxa"/>
              <w:start w:w="120" w:type="dxa"/>
              <w:bottom w:w="80" w:type="dxa"/>
              <w:end w:w="120" w:type="dxa"/>
            </w:tcMar>
            <w:vAlign w:val="center"/>
          </w:tcPr>
          <w:p>
            <w:pPr>
              <w:spacing w:before="0" w:after="0" w:line="264" w:lineRule="auto"/>
              <w:jc w:val="left"/>
            </w:pPr>
            <w:r>
              <w:rPr>
                <w:rFonts w:ascii="Calibri" w:hAnsi="Calibri"/>
                <w:color w:val="000000"/>
                <w:sz w:val="18"/>
              </w:rPr>
              <w:t>External browser login</w:t>
            </w:r>
          </w:p>
        </w:tc>
        <w:tc>
          <w:tcPr>
            <w:tcW w:type="dxa" w:w="2440"/>
            <w:tcMar>
              <w:top w:w="80" w:type="dxa"/>
              <w:start w:w="120" w:type="dxa"/>
              <w:bottom w:w="80" w:type="dxa"/>
              <w:end w:w="120" w:type="dxa"/>
            </w:tcMar>
            <w:vAlign w:val="center"/>
          </w:tcPr>
          <w:p>
            <w:r>
              <w:t>Confirmed</w:t>
            </w:r>
          </w:p>
        </w:tc>
        <w:tc>
          <w:tcPr>
            <w:tcW w:type="dxa" w:w="4670"/>
            <w:tcMar>
              <w:top w:w="80" w:type="dxa"/>
              <w:start w:w="120" w:type="dxa"/>
              <w:bottom w:w="80" w:type="dxa"/>
              <w:end w:w="120" w:type="dxa"/>
            </w:tcMar>
            <w:vAlign w:val="center"/>
          </w:tcPr>
          <w:p>
            <w:r>
              <w:t>Confirmed from a permitted tester PC after the UAT database correction.</w:t>
            </w:r>
          </w:p>
        </w:tc>
      </w:tr>
      <w:tr>
        <w:tc>
          <w:tcPr>
            <w:tcW w:type="dxa" w:w="2250"/>
            <w:tcMar>
              <w:top w:w="80" w:type="dxa"/>
              <w:start w:w="120" w:type="dxa"/>
              <w:bottom w:w="80" w:type="dxa"/>
              <w:end w:w="120" w:type="dxa"/>
            </w:tcMar>
            <w:vAlign w:val="center"/>
          </w:tcPr>
          <w:p>
            <w:r>
              <w:t>Database connection configuration</w:t>
            </w:r>
          </w:p>
        </w:tc>
        <w:tc>
          <w:tcPr>
            <w:tcW w:type="dxa" w:w="2440"/>
            <w:tcMar>
              <w:top w:w="80" w:type="dxa"/>
              <w:start w:w="120" w:type="dxa"/>
              <w:bottom w:w="80" w:type="dxa"/>
              <w:end w:w="120" w:type="dxa"/>
            </w:tcMar>
            <w:vAlign w:val="center"/>
          </w:tcPr>
          <w:p>
            <w:r>
              <w:t>Confirmed</w:t>
            </w:r>
          </w:p>
        </w:tc>
        <w:tc>
          <w:tcPr>
            <w:tcW w:type="dxa" w:w="4670"/>
            <w:tcMar>
              <w:top w:w="80" w:type="dxa"/>
              <w:start w:w="120" w:type="dxa"/>
              <w:bottom w:w="80" w:type="dxa"/>
              <w:end w:w="120" w:type="dxa"/>
            </w:tcMar>
            <w:vAlign w:val="center"/>
          </w:tcPr>
          <w:p>
            <w:r>
              <w:t>Django reported loopback host, 60-second connection reuse, health checks enabled, and sslmode=disable.</w:t>
            </w:r>
          </w:p>
        </w:tc>
      </w:tr>
      <w:tr>
        <w:tc>
          <w:tcPr>
            <w:tcW w:type="dxa" w:w="2250"/>
            <w:tcMar>
              <w:top w:w="80" w:type="dxa"/>
              <w:start w:w="120" w:type="dxa"/>
              <w:bottom w:w="80" w:type="dxa"/>
              <w:end w:w="120" w:type="dxa"/>
            </w:tcMar>
            <w:vAlign w:val="center"/>
          </w:tcPr>
          <w:p>
            <w:r>
              <w:t>IIS warm-request timing</w:t>
            </w:r>
          </w:p>
        </w:tc>
        <w:tc>
          <w:tcPr>
            <w:tcW w:type="dxa" w:w="2440"/>
            <w:tcMar>
              <w:top w:w="80" w:type="dxa"/>
              <w:start w:w="120" w:type="dxa"/>
              <w:bottom w:w="80" w:type="dxa"/>
              <w:end w:w="120" w:type="dxa"/>
            </w:tcMar>
            <w:vAlign w:val="center"/>
          </w:tcPr>
          <w:p>
            <w:r>
              <w:t>51-58 ms</w:t>
            </w:r>
          </w:p>
        </w:tc>
        <w:tc>
          <w:tcPr>
            <w:tcW w:type="dxa" w:w="4670"/>
            <w:tcMar>
              <w:top w:w="80" w:type="dxa"/>
              <w:start w:w="120" w:type="dxa"/>
              <w:bottom w:w="80" w:type="dxa"/>
              <w:end w:w="120" w:type="dxa"/>
            </w:tcMar>
            <w:vAlign w:val="center"/>
          </w:tcPr>
          <w:p>
            <w:r>
              <w:t>Requests 2-10 to the local IIS login endpoint were stable after a 496 ms initial warm-up request.</w:t>
            </w:r>
          </w:p>
        </w:tc>
      </w:tr>
    </w:tbl>
    <w:p>
      <w:pPr>
        <w:spacing w:after="40"/>
      </w:pPr>
    </w:p>
    <w:p>
      <w:pPr>
        <w:pStyle w:val="Heading1"/>
        <w:keepNext/>
      </w:pPr>
      <w:r>
        <w:t>Operations reference</w:t>
      </w:r>
    </w:p>
    <w:p>
      <w:pPr>
        <w:pStyle w:val="Heading2"/>
        <w:keepNext/>
      </w:pPr>
      <w:r>
        <w:t>Start, restart, and check the application service</w:t>
      </w:r>
    </w:p>
    <w:p>
      <w:pPr>
        <w:pStyle w:val="Code"/>
        <w:shd w:fill="F2F4F7" w:val="clear"/>
      </w:pPr>
      <w:r>
        <w:rPr>
          <w:rFonts w:ascii="Consolas" w:hAnsi="Consolas"/>
          <w:color w:val="0B2545"/>
          <w:sz w:val="18"/>
        </w:rPr>
        <w:t>schtasks /Query /TN "SOC Ticket UAT" /V /FO LIST</w:t>
        <w:br/>
      </w:r>
      <w:r>
        <w:rPr>
          <w:rFonts w:ascii="Consolas" w:hAnsi="Consolas"/>
          <w:color w:val="0B2545"/>
          <w:sz w:val="18"/>
        </w:rPr>
        <w:t>schtasks /End /TN "SOC Ticket UAT"</w:t>
        <w:br/>
      </w:r>
      <w:r>
        <w:rPr>
          <w:rFonts w:ascii="Consolas" w:hAnsi="Consolas"/>
          <w:color w:val="0B2545"/>
          <w:sz w:val="18"/>
        </w:rPr>
        <w:t>schtasks /Run /TN "SOC Ticket UAT"</w:t>
        <w:br/>
      </w:r>
      <w:r>
        <w:rPr>
          <w:rFonts w:ascii="Consolas" w:hAnsi="Consolas"/>
          <w:color w:val="0B2545"/>
          <w:sz w:val="18"/>
        </w:rPr>
        <w:t>Get-NetTCPConnection -LocalPort 8000 -State Listen</w:t>
      </w:r>
    </w:p>
    <w:p>
      <w:pPr/>
      <w:r>
        <w:rPr>
          <w:rFonts w:ascii="Calibri" w:hAnsi="Calibri"/>
          <w:color w:val="000000"/>
          <w:sz w:val="22"/>
        </w:rPr>
        <w:t>Use the browser on the VM to test http://127.0.0.1/ through IIS. Use Test-NetConnection &lt;UAT_PUBLIC_IP&gt; -Port 80 from a permitted tester PC to isolate a network problem from an application problem.</w:t>
      </w:r>
    </w:p>
    <w:p>
      <w:pPr>
        <w:pStyle w:val="Heading2"/>
        <w:keepNext/>
      </w:pPr>
      <w:r>
        <w:t>UAT database correction completed (15 July 2026)</w:t>
      </w:r>
    </w:p>
    <w:p>
      <w:pPr/>
      <w:r>
        <w:t>After DB_NAME and DB_USER were corrected to ticketdata_uat and ticket_uat, local PostgreSQL access for ticket_uat was restored by the operator. A manual backup confirmed that ticketdata_uat was initially empty, and Django migrations have since been applied to this correct database. The IIS proxy, cloud firewall, and Django source were not the cause of the credential issue.</w:t>
      </w:r>
    </w:p>
    <w:p>
      <w:pPr/>
      <w:r>
        <w:rPr>
          <w:rFonts w:ascii="Calibri" w:hAnsi="Calibri"/>
          <w:color w:val="000000"/>
          <w:sz w:val="22"/>
        </w:rPr>
        <w:t>Discovery confirmed that the running service is postgresql-x64-18 (running as NT AUTHORITY\NetworkService) and its authentication file is C:\Program Files\PostgreSQL\18\data\pg_hba.conf.</w:t>
      </w:r>
    </w:p>
    <w:p>
      <w:pPr>
        <w:shd w:fill="FFF7E1" w:val="clear"/>
        <w:spacing w:before="40" w:after="40"/>
        <w:ind w:left="173" w:right="173"/>
      </w:pPr>
      <w:r>
        <w:t>Incident reference only: if a future local credential recovery is necessary, temporarily permit only connections originating from the UAT VM itself (127.0.0.1 and ::1). Do not open PostgreSQL to the network, and restore scram-sha-256 immediately after the local password reset.</w:t>
      </w:r>
    </w:p>
    <w:p>
      <w:pPr>
        <w:spacing w:after="20"/>
      </w:pPr>
    </w:p>
    <w:p>
      <w:pPr>
        <w:numPr>
          <w:ilvl w:val="0"/>
          <w:numId w:val="12"/>
        </w:numPr>
      </w:pPr>
      <w:r>
        <w:rPr>
          <w:rFonts w:ascii="Calibri" w:hAnsi="Calibri"/>
          <w:color w:val="000000"/>
          <w:sz w:val="22"/>
        </w:rPr>
        <w:t>Back up pg_hba.conf before changing it. Keep the backup until password authentication has been restored and verified.</w:t>
      </w:r>
    </w:p>
    <w:p>
      <w:pPr>
        <w:numPr>
          <w:ilvl w:val="0"/>
          <w:numId w:val="12"/>
        </w:numPr>
      </w:pPr>
      <w:r>
        <w:rPr>
          <w:rFonts w:ascii="Calibri" w:hAnsi="Calibri"/>
          <w:color w:val="000000"/>
          <w:sz w:val="22"/>
        </w:rPr>
        <w:t>In pg_hba.conf, change only the two localhost host rules (127.0.0.1/32 and ::1/128) so their final authentication method is trust. Do not alter broad network rules or expose TCP 5432 in Windows or DTBS firewalls.</w:t>
      </w:r>
    </w:p>
    <w:p>
      <w:pPr>
        <w:numPr>
          <w:ilvl w:val="0"/>
          <w:numId w:val="12"/>
        </w:numPr>
      </w:pPr>
      <w:r>
        <w:rPr>
          <w:rFonts w:ascii="Calibri" w:hAnsi="Calibri"/>
          <w:color w:val="000000"/>
          <w:sz w:val="22"/>
        </w:rPr>
        <w:t>Restart the postgresql-x64-18 service, then use the local PostgreSQL administrator login to set new passwords for postgres and ticket_uat. Never put either password in a command line, document, Git repository, or chat message.</w:t>
      </w:r>
    </w:p>
    <w:p>
      <w:pPr>
        <w:numPr>
          <w:ilvl w:val="0"/>
          <w:numId w:val="12"/>
        </w:numPr>
      </w:pPr>
      <w:r>
        <w:rPr>
          <w:rFonts w:ascii="Calibri" w:hAnsi="Calibri"/>
          <w:color w:val="000000"/>
          <w:sz w:val="22"/>
        </w:rPr>
        <w:t>Restore the original pg_hba.conf from the backup and restart PostgreSQL again. This re-enables normal password authentication.</w:t>
      </w:r>
    </w:p>
    <w:p>
      <w:pPr>
        <w:numPr>
          <w:ilvl w:val="0"/>
          <w:numId w:val="12"/>
        </w:numPr>
      </w:pPr>
      <w:r>
        <w:t>For any future recovery, put the new ticket_uat password into C:\Projects\SOC_Ticket\.env, validate Django's connection to ticketdata_uat, then run migrations, collect static files, and restart the SOC Ticket UAT task.</w:t>
      </w:r>
    </w:p>
    <w:p>
      <w:pPr>
        <w:pStyle w:val="Code"/>
        <w:shd w:fill="F2F4F7" w:val="clear"/>
      </w:pPr>
      <w:r>
        <w:rPr>
          <w:rFonts w:ascii="Consolas" w:hAnsi="Consolas"/>
          <w:color w:val="0B2545"/>
          <w:sz w:val="18"/>
        </w:rPr>
        <w:t># Back up the PostgreSQL local authentication rules (Administrator PowerShell)</w:t>
        <w:br/>
      </w:r>
      <w:r>
        <w:rPr>
          <w:rFonts w:ascii="Consolas" w:hAnsi="Consolas"/>
          <w:color w:val="0B2545"/>
          <w:sz w:val="18"/>
        </w:rPr>
        <w:t>Copy-Item `</w:t>
        <w:br/>
      </w:r>
      <w:r>
        <w:rPr>
          <w:rFonts w:ascii="Consolas" w:hAnsi="Consolas"/>
          <w:color w:val="0B2545"/>
          <w:sz w:val="18"/>
        </w:rPr>
        <w:t xml:space="preserve">  "C:\Program Files\PostgreSQL\18\data\pg_hba.conf" `</w:t>
        <w:br/>
      </w:r>
      <w:r>
        <w:rPr>
          <w:rFonts w:ascii="Consolas" w:hAnsi="Consolas"/>
          <w:color w:val="0B2545"/>
          <w:sz w:val="18"/>
        </w:rPr>
        <w:t xml:space="preserve">  "C:\Program Files\PostgreSQL\18\data\pg_hba.conf.pre-reset"</w:t>
        <w:br/>
      </w:r>
      <w:r>
        <w:rPr>
          <w:rFonts w:ascii="Consolas" w:hAnsi="Consolas"/>
          <w:color w:val="0B2545"/>
          <w:sz w:val="18"/>
        </w:rPr>
        <w:t>notepad "C:\Program Files\PostgreSQL\18\data\pg_hba.conf"</w:t>
        <w:br/>
      </w:r>
      <w:r>
        <w:rPr>
          <w:rFonts w:ascii="Consolas" w:hAnsi="Consolas"/>
          <w:color w:val="0B2545"/>
          <w:sz w:val="18"/>
        </w:rPr>
        <w:t>Restart-Service -Name postgresql-x64-18</w:t>
        <w:br/>
      </w:r>
      <w:r>
        <w:rPr>
          <w:rFonts w:ascii="Consolas" w:hAnsi="Consolas"/>
          <w:color w:val="0B2545"/>
          <w:sz w:val="18"/>
        </w:rPr>
        <w:br/>
      </w:r>
      <w:r>
        <w:rPr>
          <w:rFonts w:ascii="Consolas" w:hAnsi="Consolas"/>
          <w:color w:val="0B2545"/>
          <w:sz w:val="18"/>
        </w:rPr>
        <w:t># After the two localhost rules are temporarily set to trust</w:t>
        <w:br/>
      </w:r>
      <w:r>
        <w:rPr>
          <w:rFonts w:ascii="Consolas" w:hAnsi="Consolas"/>
          <w:color w:val="0B2545"/>
          <w:sz w:val="18"/>
        </w:rPr>
        <w:t>&amp; "C:\Program Files\PostgreSQL\18\bin\psql.exe" -h 127.0.0.1 -U postgres -d postgres</w:t>
        <w:br/>
      </w:r>
      <w:r>
        <w:rPr>
          <w:rFonts w:ascii="Consolas" w:hAnsi="Consolas"/>
          <w:color w:val="0B2545"/>
          <w:sz w:val="18"/>
        </w:rPr>
        <w:t># At the postgres prompt:  \password postgres   then   \password ticket_uat   then   \q</w:t>
        <w:br/>
      </w:r>
      <w:r>
        <w:rPr>
          <w:rFonts w:ascii="Consolas" w:hAnsi="Consolas"/>
          <w:color w:val="0B2545"/>
          <w:sz w:val="18"/>
        </w:rPr>
        <w:br/>
      </w:r>
      <w:r>
        <w:rPr>
          <w:rFonts w:ascii="Consolas" w:hAnsi="Consolas"/>
          <w:color w:val="0B2545"/>
          <w:sz w:val="18"/>
        </w:rPr>
        <w:t># Restore password authentication immediately</w:t>
        <w:br/>
      </w:r>
      <w:r>
        <w:rPr>
          <w:rFonts w:ascii="Consolas" w:hAnsi="Consolas"/>
          <w:color w:val="0B2545"/>
          <w:sz w:val="18"/>
        </w:rPr>
        <w:t>Copy-Item `</w:t>
        <w:br/>
      </w:r>
      <w:r>
        <w:rPr>
          <w:rFonts w:ascii="Consolas" w:hAnsi="Consolas"/>
          <w:color w:val="0B2545"/>
          <w:sz w:val="18"/>
        </w:rPr>
        <w:t xml:space="preserve">  "C:\Program Files\PostgreSQL\18\data\pg_hba.conf.pre-reset" `</w:t>
        <w:br/>
      </w:r>
      <w:r>
        <w:rPr>
          <w:rFonts w:ascii="Consolas" w:hAnsi="Consolas"/>
          <w:color w:val="0B2545"/>
          <w:sz w:val="18"/>
        </w:rPr>
        <w:t xml:space="preserve">  "C:\Program Files\PostgreSQL\18\data\pg_hba.conf" -Force</w:t>
        <w:br/>
      </w:r>
      <w:r>
        <w:rPr>
          <w:rFonts w:ascii="Consolas" w:hAnsi="Consolas"/>
          <w:color w:val="0B2545"/>
          <w:sz w:val="18"/>
        </w:rPr>
        <w:t>Restart-Service -Name postgresql-x64-18</w:t>
      </w:r>
    </w:p>
    <w:p>
      <w:pPr>
        <w:pStyle w:val="Code"/>
        <w:shd w:fill="F2F4F7" w:val="clear"/>
      </w:pPr>
      <w:r>
        <w:t>cd C:\Projects\SOC_Ticket</w:t>
        <w:br/>
        <w:t>.\.venv\Scripts\Activate.ps1</w:t>
        <w:br/>
        <w:t># Update .env first: DB_NAME=ticketdata_uat, DB_USER=ticket_uat, and the new DB_PASSWORD.</w:t>
        <w:br/>
        <w:t>python manage.py shell -c "from django.db import connection; connection.ensure_connection(); print('Connected to:', connection.settings_dict['NAME'])"</w:t>
        <w:br/>
        <w:t>python manage.py migrate</w:t>
        <w:br/>
        <w:t>python manage.py createsuperuser</w:t>
        <w:br/>
        <w:t>python manage.py ingest_wazuh_alerts --fixture</w:t>
        <w:br/>
        <w:t>python manage.py collectstatic --noinput</w:t>
        <w:br/>
        <w:t>schtasks /End /TN "SOC Ticket UAT"</w:t>
        <w:br/>
        <w:t>schtasks /Run /TN "SOC Ticket UAT"</w:t>
      </w:r>
    </w:p>
    <w:p>
      <w:pPr>
        <w:pStyle w:val="Heading2"/>
        <w:shd w:fill="F2F4F7" w:val="clear"/>
      </w:pPr>
      <w:r>
        <w:t>Database connection performance configuration (17 July 2026)</w:t>
      </w:r>
    </w:p>
    <w:p>
      <w:pPr>
        <w:shd w:fill="F2F4F7" w:val="clear"/>
      </w:pPr>
      <w:r>
        <w:t>Performance investigation separated database query speed from connection startup. Once connected, SELECT 1 completed in less than 1 ms, but new connections previously took 18.8-28.5 seconds through Django. A direct PostgreSQL connection with SSL disabled took about 4.66 seconds, while SSL preferred timed out. This pointed to connection/TLS negotiation and VM-wide process-start overhead rather than slow SQL execution.</w:t>
      </w:r>
    </w:p>
    <w:p>
      <w:pPr>
        <w:shd w:fill="F2F4F7" w:val="clear"/>
      </w:pPr>
      <w:r>
        <w:t>Commit 9f750e4 added configurable Django connection reuse, connection health checks, and PostgreSQL sslmode. The UAT .env now uses the following values. These settings apply only because PostgreSQL is on the same VM and TCP 5432 remains closed to tester and public networks.</w:t>
      </w:r>
    </w:p>
    <w:p>
      <w:pPr>
        <w:pStyle w:val="Code"/>
        <w:shd w:fill="F2F4F7" w:val="clear"/>
      </w:pPr>
      <w:r>
        <w:t>DB_HOST=127.0.0.1</w:t>
        <w:br/>
        <w:t>DB_PORT=5432</w:t>
        <w:br/>
        <w:t>DB_CONN_MAX_AGE=60</w:t>
        <w:br/>
        <w:t>DB_SSLMODE=disable</w:t>
      </w:r>
    </w:p>
    <w:p>
      <w:pPr>
        <w:shd w:fill="F2F4F7" w:val="clear"/>
      </w:pPr>
      <w:r>
        <w:t>Django confirmed HOST=127.0.0.1, PORT=5432, CONN_MAX_AGE=60, CONN_HEALTH_CHECKS=True, and sslmode=disable after the scheduled task was restarted. A local IIS test recorded 496 ms for the first warm-up request and 51-58 ms for requests 2-10. If PostgreSQL is ever moved off this VM, review this setting and require properly validated TLS instead of carrying DB_SSLMODE=disable to a network connection.</w:t>
      </w:r>
    </w:p>
    <w:p>
      <w:pPr>
        <w:shd w:fill="F2F4F7" w:val="clear"/>
      </w:pPr>
      <w:r>
        <w:t>VM counters collected during the investigation did not show CPU, memory, or disk saturation: CPU utilization was low, about 4.2 GB of memory remained available, and observed disk latency was below about 1.2 ms. The installed 8 GB of RAM was therefore not identified as the primary cause. If PowerShell and general process startup remain slow, investigate endpoint-security scan overhead, cloud-host scheduling, and RDP/network latency separately; do not disable Trellix/McAfee without administrator approval.</w:t>
      </w:r>
    </w:p>
    <w:p>
      <w:pPr>
        <w:pStyle w:val="Heading2"/>
      </w:pPr>
      <w:r>
        <w:t>Back up the UAT PostgreSQL database</w:t>
      </w:r>
    </w:p>
    <w:p>
      <w:r>
        <w:t>Use PostgreSQL 18 pg_dump in custom archive format for the UAT database. Keep archives outside the project folder at C:\Backups\SOC-Ticket-UAT and never expose PostgreSQL TCP 5432. After browser validation, create a fresh manual backup and inspect it with pg_restore -l; unlike the initial empty archive, it should show schema and data entries.</w:t>
      </w:r>
    </w:p>
    <w:p>
      <w:pPr>
        <w:pStyle w:val="Code"/>
      </w:pPr>
      <w:r>
        <w:t>&amp; "C:\Program Files\PostgreSQL\18\bin\pg_dump.exe" `</w:t>
        <w:br/>
        <w:t xml:space="preserve">  -h 127.0.0.1 `</w:t>
        <w:br/>
        <w:t xml:space="preserve">  -U ticket_uat `</w:t>
        <w:br/>
        <w:t xml:space="preserve">  -d ticketdata_uat `</w:t>
        <w:br/>
        <w:t xml:space="preserve">  -F c `</w:t>
        <w:br/>
        <w:t xml:space="preserve">  -f "C:\Backups\SOC-Ticket-UAT\ticketdata_uat_post_uat_validation.backup"</w:t>
        <w:br/>
        <w:br/>
        <w:t>&amp; "C:\Program Files\PostgreSQL\18\bin\pg_restore.exe" `</w:t>
        <w:br/>
        <w:t xml:space="preserve">  -l "C:\Backups\SOC-Ticket-UAT\ticketdata_uat_post_uat_validation.backup" `</w:t>
        <w:br/>
        <w:t xml:space="preserve">  | Select-Object -First 30</w:t>
      </w:r>
    </w:p>
    <w:p>
      <w:r>
        <w:t>Daily-backup configuration completed: a restricted PGPASSFILE at C:\ProgramData\SOC-Ticket-UAT\pgpass.conf is read only by SYSTEM and local Administrators; C:\Scripts\Backup-SOC-Ticket-UAT.ps1 runs pg_dump against 127.0.0.1 and retains daily archives for 30 days; the Scheduled Task named SOC Ticket UAT Daily Backup runs as SYSTEM at 02:00. The task was tested manually and its log verified. Uploaded media and a restore test are separate later hardening work.</w:t>
      </w:r>
    </w:p>
    <w:p>
      <w:pPr>
        <w:pStyle w:val="Code"/>
      </w:pPr>
      <w:r>
        <w:t>schtasks /Create /TN "SOC Ticket UAT Daily Backup" /SC DAILY /ST 02:00 `</w:t>
        <w:br/>
        <w:t xml:space="preserve">  /RU "SYSTEM" /RL HIGHEST `</w:t>
        <w:br/>
        <w:t xml:space="preserve">  /TR "powershell.exe -NoProfile -ExecutionPolicy Bypass -File C:\Scripts\Backup-SOC-Ticket-UAT.ps1" /F</w:t>
        <w:br/>
        <w:br/>
        <w:t>schtasks /Query /TN "SOC Ticket UAT Daily Backup" /V /FO LIST</w:t>
      </w:r>
    </w:p>
    <w:p>
      <w:pPr>
        <w:pStyle w:val="Heading2"/>
        <w:keepNext/>
      </w:pPr>
      <w:r>
        <w:t>Apply an approved code update</w:t>
      </w:r>
    </w:p>
    <w:p>
      <w:pPr/>
      <w:r>
        <w:t>UAT does not update automatically when a commit is pushed. Deployment is manual. Only deploy a reviewed commit that UAT is meant to evaluate. Record the current Git commit before changing it, confirm the working tree contains no unexpected application-code edits, back up UAT data, then update dependencies and database schema before restarting the scheduled task.</w:t>
      </w:r>
    </w:p>
    <w:p>
      <w:pPr>
        <w:pStyle w:val="Code"/>
        <w:shd w:fill="F2F4F7" w:val="clear"/>
      </w:pPr>
      <w:r>
        <w:t>cd C:\Projects\SOC_Ticket</w:t>
        <w:br/>
        <w:t>git status --short</w:t>
        <w:br/>
        <w:t>git rev-parse --short HEAD</w:t>
        <w:br/>
        <w:t>git pull --ff-only</w:t>
        <w:br/>
        <w:t>.\.venv\Scripts\Activate.ps1</w:t>
        <w:br/>
        <w:t>pip install -r requirements.txt</w:t>
        <w:br/>
        <w:t>python manage.py check</w:t>
        <w:br/>
        <w:t>python manage.py migrate</w:t>
        <w:br/>
        <w:t>python manage.py collectstatic --noinput</w:t>
        <w:br/>
        <w:t>schtasks /End /TN "SOC Ticket UAT"</w:t>
        <w:br/>
        <w:t>schtasks /Run /TN "SOC Ticket UAT"</w:t>
      </w:r>
    </w:p>
    <w:p>
      <w:pPr>
        <w:shd w:fill="FFF7E1" w:val="clear"/>
        <w:spacing w:before="40" w:after="40"/>
        <w:ind w:left="173" w:right="173"/>
      </w:pPr>
      <w:r>
        <w:t>Change-control note: Do not normally edit application code directly in the UAT folder. Make changes in Development, test and commit them, then deploy the selected commit to UAT. Exception record: during the 17 July 2026 connection investigation, the staged configuration-only diff was verified on UAT and committed as 9f750e4 before being pushed to main. The Development PC must pull main before further development so both copies share that history.</w:t>
      </w:r>
    </w:p>
    <w:p>
      <w:pPr>
        <w:shd w:fill="FFF7E1" w:val="clear"/>
        <w:spacing w:before="40" w:after="40"/>
        <w:ind w:left="173" w:right="173"/>
      </w:pPr>
      <w:r>
        <w:t>Run the full Django test suite on Development or CI, not against the UAT runtime role. The ticket_uat PostgreSQL role intentionally does not have CREATEDB; therefore, python manage.py test on UAT can report permission denied while creating the test database. Do not grant CREATEDB merely to make UAT tests run. python manage.py check, migrations, and controlled browser smoke tests are the appropriate UAT deployment checks.</w:t>
      </w:r>
    </w:p>
    <w:p>
      <w:pPr>
        <w:spacing w:after="20"/>
      </w:pPr>
    </w:p>
    <w:p>
      <w:pPr>
        <w:pStyle w:val="Heading1"/>
        <w:keepNext/>
      </w:pPr>
      <w:r>
        <w:t>Security boundaries and current limitations</w:t>
      </w:r>
    </w:p>
    <w:tbl>
      <w:tblPr>
        <w:tblStyle w:val="TableGrid"/>
        <w:tblW w:type="dxa" w:w="9360"/>
        <w:tblLayout w:type="fixed"/>
        <w:tblLook w:firstColumn="1" w:firstRow="1" w:lastColumn="0" w:lastRow="0" w:noHBand="0" w:noVBand="1" w:val="04A0"/>
        <w:jc w:val="left"/>
        <w:tblInd w:w="120" w:type="dxa"/>
      </w:tblPr>
      <w:tblGrid>
        <w:gridCol w:w="2450"/>
        <w:gridCol w:w="6910"/>
      </w:tblGrid>
      <w:tr>
        <w:trPr>
          <w:tblHeader w:val="true"/>
        </w:trPr>
        <w:tc>
          <w:tcPr>
            <w:tcW w:type="dxa" w:w="2450"/>
            <w:tcMar>
              <w:top w:w="80" w:type="dxa"/>
              <w:start w:w="120" w:type="dxa"/>
              <w:bottom w:w="80" w:type="dxa"/>
              <w:end w:w="120" w:type="dxa"/>
            </w:tcMar>
            <w:vAlign w:val="center"/>
            <w:shd w:fill="E8EEF5" w:val="clear"/>
          </w:tcPr>
          <w:p>
            <w:pPr>
              <w:spacing w:after="0"/>
              <w:jc w:val="left"/>
            </w:pPr>
            <w:r>
              <w:rPr>
                <w:rFonts w:ascii="Calibri" w:hAnsi="Calibri"/>
                <w:b/>
                <w:color w:val="0B2545"/>
                <w:sz w:val="19"/>
              </w:rPr>
              <w:t>Control</w:t>
            </w:r>
          </w:p>
        </w:tc>
        <w:tc>
          <w:tcPr>
            <w:tcW w:type="dxa" w:w="6910"/>
            <w:tcMar>
              <w:top w:w="80" w:type="dxa"/>
              <w:start w:w="120" w:type="dxa"/>
              <w:bottom w:w="80" w:type="dxa"/>
              <w:end w:w="120" w:type="dxa"/>
            </w:tcMar>
            <w:vAlign w:val="center"/>
            <w:shd w:fill="E8EEF5" w:val="clear"/>
          </w:tcPr>
          <w:p>
            <w:pPr>
              <w:spacing w:after="0"/>
              <w:jc w:val="left"/>
            </w:pPr>
            <w:r>
              <w:rPr>
                <w:rFonts w:ascii="Calibri" w:hAnsi="Calibri"/>
                <w:b/>
                <w:color w:val="0B2545"/>
                <w:sz w:val="19"/>
              </w:rPr>
              <w:t>Current rule or limitation</w:t>
            </w:r>
          </w:p>
        </w:tc>
      </w:tr>
      <w:tr>
        <w:tc>
          <w:tcPr>
            <w:tcW w:type="dxa" w:w="2450"/>
            <w:tcMar>
              <w:top w:w="80" w:type="dxa"/>
              <w:start w:w="120" w:type="dxa"/>
              <w:bottom w:w="80" w:type="dxa"/>
              <w:end w:w="120" w:type="dxa"/>
            </w:tcMar>
            <w:vAlign w:val="center"/>
          </w:tcPr>
          <w:p>
            <w:pPr>
              <w:spacing w:before="0" w:after="0" w:line="264" w:lineRule="auto"/>
              <w:jc w:val="left"/>
            </w:pPr>
            <w:r>
              <w:rPr>
                <w:rFonts w:ascii="Calibri" w:hAnsi="Calibri"/>
                <w:color w:val="000000"/>
                <w:sz w:val="18"/>
              </w:rPr>
              <w:t>Django debug mode</w:t>
            </w:r>
          </w:p>
        </w:tc>
        <w:tc>
          <w:tcPr>
            <w:tcW w:type="dxa" w:w="6910"/>
            <w:tcMar>
              <w:top w:w="80" w:type="dxa"/>
              <w:start w:w="120" w:type="dxa"/>
              <w:bottom w:w="80" w:type="dxa"/>
              <w:end w:w="120" w:type="dxa"/>
            </w:tcMar>
            <w:vAlign w:val="center"/>
          </w:tcPr>
          <w:p>
            <w:pPr>
              <w:spacing w:before="0" w:after="0" w:line="264" w:lineRule="auto"/>
              <w:jc w:val="left"/>
            </w:pPr>
            <w:r>
              <w:rPr>
                <w:rFonts w:ascii="Calibri" w:hAnsi="Calibri"/>
                <w:color w:val="000000"/>
                <w:sz w:val="18"/>
              </w:rPr>
              <w:t>DEBUG=False in UAT. Stack traces and development behavior must not be exposed to testers.</w:t>
            </w:r>
          </w:p>
        </w:tc>
      </w:tr>
      <w:tr>
        <w:tc>
          <w:tcPr>
            <w:tcW w:type="dxa" w:w="2450"/>
            <w:tcMar>
              <w:top w:w="80" w:type="dxa"/>
              <w:start w:w="120" w:type="dxa"/>
              <w:bottom w:w="80" w:type="dxa"/>
              <w:end w:w="120" w:type="dxa"/>
            </w:tcMar>
            <w:vAlign w:val="center"/>
          </w:tcPr>
          <w:p>
            <w:pPr>
              <w:spacing w:before="0" w:after="0" w:line="264" w:lineRule="auto"/>
              <w:jc w:val="left"/>
            </w:pPr>
            <w:r>
              <w:rPr>
                <w:rFonts w:ascii="Calibri" w:hAnsi="Calibri"/>
                <w:color w:val="000000"/>
                <w:sz w:val="18"/>
              </w:rPr>
              <w:t>Application service</w:t>
            </w:r>
          </w:p>
        </w:tc>
        <w:tc>
          <w:tcPr>
            <w:tcW w:type="dxa" w:w="6910"/>
            <w:tcMar>
              <w:top w:w="80" w:type="dxa"/>
              <w:start w:w="120" w:type="dxa"/>
              <w:bottom w:w="80" w:type="dxa"/>
              <w:end w:w="120" w:type="dxa"/>
            </w:tcMar>
            <w:vAlign w:val="center"/>
          </w:tcPr>
          <w:p>
            <w:pPr>
              <w:spacing w:before="0" w:after="0" w:line="264" w:lineRule="auto"/>
              <w:jc w:val="left"/>
            </w:pPr>
            <w:r>
              <w:rPr>
                <w:rFonts w:ascii="Calibri" w:hAnsi="Calibri"/>
                <w:color w:val="000000"/>
                <w:sz w:val="18"/>
              </w:rPr>
              <w:t>Waitress listens only on 127.0.0.1:8000. Do not open port 8000 in Windows or DTBS firewall rules.</w:t>
            </w:r>
          </w:p>
        </w:tc>
      </w:tr>
      <w:tr>
        <w:tc>
          <w:tcPr>
            <w:tcW w:type="dxa" w:w="2450"/>
            <w:tcMar>
              <w:top w:w="80" w:type="dxa"/>
              <w:start w:w="120" w:type="dxa"/>
              <w:bottom w:w="80" w:type="dxa"/>
              <w:end w:w="120" w:type="dxa"/>
            </w:tcMar>
            <w:vAlign w:val="center"/>
          </w:tcPr>
          <w:p>
            <w:pPr>
              <w:spacing w:before="0" w:after="0" w:line="264" w:lineRule="auto"/>
              <w:jc w:val="left"/>
            </w:pPr>
            <w:r>
              <w:rPr>
                <w:rFonts w:ascii="Calibri" w:hAnsi="Calibri"/>
                <w:color w:val="000000"/>
                <w:sz w:val="18"/>
              </w:rPr>
              <w:t>Database</w:t>
            </w:r>
          </w:p>
        </w:tc>
        <w:tc>
          <w:tcPr>
            <w:tcW w:type="dxa" w:w="6910"/>
            <w:tcMar>
              <w:top w:w="80" w:type="dxa"/>
              <w:start w:w="120" w:type="dxa"/>
              <w:bottom w:w="80" w:type="dxa"/>
              <w:end w:w="120" w:type="dxa"/>
            </w:tcMar>
            <w:vAlign w:val="center"/>
          </w:tcPr>
          <w:p>
            <w:pPr>
              <w:spacing w:before="0" w:after="0" w:line="264" w:lineRule="auto"/>
              <w:jc w:val="left"/>
            </w:pPr>
            <w:r>
              <w:rPr>
                <w:rFonts w:ascii="Calibri" w:hAnsi="Calibri"/>
                <w:color w:val="000000"/>
                <w:sz w:val="18"/>
              </w:rPr>
              <w:t>PostgreSQL is UAT-only. Do not expose TCP 5432 to the internet or reuse Production data or passwords.</w:t>
            </w:r>
          </w:p>
        </w:tc>
      </w:tr>
      <w:tr>
        <w:tc>
          <w:tcPr>
            <w:tcW w:type="dxa" w:w="2450"/>
            <w:tcMar>
              <w:top w:w="80" w:type="dxa"/>
              <w:start w:w="120" w:type="dxa"/>
              <w:bottom w:w="80" w:type="dxa"/>
              <w:end w:w="120" w:type="dxa"/>
            </w:tcMar>
            <w:vAlign w:val="center"/>
          </w:tcPr>
          <w:p>
            <w:pPr>
              <w:spacing w:before="0" w:after="0" w:line="264" w:lineRule="auto"/>
              <w:jc w:val="left"/>
            </w:pPr>
            <w:r>
              <w:rPr>
                <w:rFonts w:ascii="Calibri" w:hAnsi="Calibri"/>
                <w:color w:val="000000"/>
                <w:sz w:val="18"/>
              </w:rPr>
              <w:t>Credential recovery</w:t>
            </w:r>
          </w:p>
        </w:tc>
        <w:tc>
          <w:tcPr>
            <w:tcW w:type="dxa" w:w="6910"/>
            <w:tcMar>
              <w:top w:w="80" w:type="dxa"/>
              <w:start w:w="120" w:type="dxa"/>
              <w:bottom w:w="80" w:type="dxa"/>
              <w:end w:w="120" w:type="dxa"/>
            </w:tcMar>
            <w:vAlign w:val="center"/>
          </w:tcPr>
          <w:p>
            <w:r>
              <w:t>Completed 15 July 2026. The .env uses ticketdata_uat and ticket_uat; keep any future recovery limited to localhost and restore scram-sha-256 immediately.</w:t>
            </w:r>
          </w:p>
        </w:tc>
      </w:tr>
      <w:tr>
        <w:tc>
          <w:tcPr>
            <w:tcW w:type="dxa" w:w="2450"/>
            <w:tcMar>
              <w:top w:w="80" w:type="dxa"/>
              <w:start w:w="120" w:type="dxa"/>
              <w:bottom w:w="80" w:type="dxa"/>
              <w:end w:w="120" w:type="dxa"/>
            </w:tcMar>
            <w:vAlign w:val="center"/>
          </w:tcPr>
          <w:p>
            <w:pPr>
              <w:spacing w:before="0" w:after="0" w:line="264" w:lineRule="auto"/>
              <w:jc w:val="left"/>
            </w:pPr>
            <w:r>
              <w:rPr>
                <w:rFonts w:ascii="Calibri" w:hAnsi="Calibri"/>
                <w:color w:val="000000"/>
                <w:sz w:val="18"/>
              </w:rPr>
              <w:t>Cloud access</w:t>
            </w:r>
          </w:p>
        </w:tc>
        <w:tc>
          <w:tcPr>
            <w:tcW w:type="dxa" w:w="6910"/>
            <w:tcMar>
              <w:top w:w="80" w:type="dxa"/>
              <w:start w:w="120" w:type="dxa"/>
              <w:bottom w:w="80" w:type="dxa"/>
              <w:end w:w="120" w:type="dxa"/>
            </w:tcMar>
            <w:vAlign w:val="center"/>
          </w:tcPr>
          <w:p>
            <w:pPr>
              <w:spacing w:before="0" w:after="0" w:line="264" w:lineRule="auto"/>
              <w:jc w:val="left"/>
            </w:pPr>
            <w:r>
              <w:rPr>
                <w:rFonts w:ascii="Calibri" w:hAnsi="Calibri"/>
                <w:color w:val="000000"/>
                <w:sz w:val="18"/>
              </w:rPr>
              <w:t>Allow only TCP 80 for approved tester/office sources during the current HTTP test. Restrict administrative RDP access separately.</w:t>
            </w:r>
          </w:p>
        </w:tc>
      </w:tr>
      <w:tr>
        <w:tc>
          <w:tcPr>
            <w:tcW w:type="dxa" w:w="2450"/>
            <w:tcMar>
              <w:top w:w="80" w:type="dxa"/>
              <w:start w:w="120" w:type="dxa"/>
              <w:bottom w:w="80" w:type="dxa"/>
              <w:end w:w="120" w:type="dxa"/>
            </w:tcMar>
            <w:vAlign w:val="center"/>
          </w:tcPr>
          <w:p>
            <w:pPr>
              <w:spacing w:before="0" w:after="0" w:line="264" w:lineRule="auto"/>
              <w:jc w:val="left"/>
            </w:pPr>
            <w:r>
              <w:rPr>
                <w:rFonts w:ascii="Calibri" w:hAnsi="Calibri"/>
                <w:color w:val="000000"/>
                <w:sz w:val="18"/>
              </w:rPr>
              <w:t>HTTPS</w:t>
            </w:r>
          </w:p>
        </w:tc>
        <w:tc>
          <w:tcPr>
            <w:tcW w:type="dxa" w:w="6910"/>
            <w:tcMar>
              <w:top w:w="80" w:type="dxa"/>
              <w:start w:w="120" w:type="dxa"/>
              <w:bottom w:w="80" w:type="dxa"/>
              <w:end w:w="120" w:type="dxa"/>
            </w:tcMar>
            <w:vAlign w:val="center"/>
          </w:tcPr>
          <w:p>
            <w:pPr>
              <w:spacing w:before="0" w:after="0" w:line="264" w:lineRule="auto"/>
              <w:jc w:val="left"/>
            </w:pPr>
            <w:r>
              <w:rPr>
                <w:rFonts w:ascii="Calibri" w:hAnsi="Calibri"/>
                <w:color w:val="000000"/>
                <w:sz w:val="18"/>
              </w:rPr>
              <w:t>Not yet configured. HTTP does not protect login credentials or ticket content against interception; keep access restricted until TLS is complete.</w:t>
            </w:r>
          </w:p>
        </w:tc>
      </w:tr>
    </w:tbl>
    <w:p>
      <w:pPr>
        <w:spacing w:after="40"/>
      </w:pPr>
    </w:p>
    <w:p>
      <w:pPr>
        <w:pStyle w:val="Heading1"/>
        <w:keepNext/>
      </w:pPr>
      <w:r>
        <w:t>Required next actions before wider UAT</w:t>
      </w:r>
    </w:p>
    <w:p>
      <w:pPr>
        <w:numPr>
          <w:ilvl w:val="0"/>
          <w:numId w:val="13"/>
        </w:numPr>
      </w:pPr>
      <w:r>
        <w:t>Functional validation completed: the UAT superuser and demo Wazuh fixture are present, static files were collected, the SOC Ticket UAT task was restarted, and Django confirmed Connected to: ticketdata_uat.</w:t>
      </w:r>
    </w:p>
    <w:p>
      <w:pPr>
        <w:numPr>
          <w:ilvl w:val="0"/>
          <w:numId w:val="13"/>
        </w:numPr>
      </w:pPr>
      <w:r>
        <w:t>External browser validation completed from an approved tester PC at http://&lt;UAT_PUBLIC_IP&gt;/ after the UAT database correction, including login, dashboard, ticket creation, attachments, reports, roles, and demo Wazuh alert processing.</w:t>
      </w:r>
    </w:p>
    <w:p>
      <w:pPr>
        <w:numPr>
          <w:ilvl w:val="0"/>
          <w:numId w:val="13"/>
        </w:numPr>
      </w:pPr>
      <w:r>
        <w:t>The core role and ticket-flow UAT can continue using the bundled Wazuh fixture; a live Wazuh API connection is not required for basic acceptance testing. Connect UAT to Wazuh only for a separately approved integration test, using a dedicated least-privilege read-only API account, an explicit network allowlist, and no Production administrator credentials. Keep the fixture-only configuration until that integration scope is approved.</w:t>
      </w:r>
    </w:p>
    <w:p>
      <w:pPr>
        <w:numPr>
          <w:ilvl w:val="0"/>
          <w:numId w:val="13"/>
        </w:numPr>
      </w:pPr>
      <w:r>
        <w:rPr>
          <w:rFonts w:ascii="Calibri" w:hAnsi="Calibri"/>
          <w:color w:val="000000"/>
          <w:sz w:val="22"/>
        </w:rPr>
        <w:t>Obtain a UAT DNS name, point it to the UAT public IP, install a trusted HTTPS certificate in IIS, change SITE_URL to https://&lt;UAT_HOSTNAME&gt;, and enable Django's HTTPS cookie and redirect settings.</w:t>
      </w:r>
    </w:p>
    <w:p>
      <w:pPr>
        <w:numPr>
          <w:ilvl w:val="0"/>
          <w:numId w:val="13"/>
        </w:numPr>
      </w:pPr>
      <w:r>
        <w:t>The populated manual backup and PostgreSQL 18 pg_dump daily task have been configured and tested. Archives remain outside the project folder, the pgpass file is protected, and the task log is retained. Back up uploaded media and perform a restore test during the later hardening phase.</w:t>
      </w:r>
    </w:p>
    <w:p>
      <w:pPr>
        <w:numPr>
          <w:ilvl w:val="0"/>
          <w:numId w:val="13"/>
        </w:numPr>
      </w:pPr>
      <w:r>
        <w:rPr>
          <w:rFonts w:ascii="Calibri" w:hAnsi="Calibri"/>
          <w:color w:val="000000"/>
          <w:sz w:val="22"/>
        </w:rPr>
        <w:t>Configure a UAT SMTP account and test password resets and ticket notifications without using Production credentials.</w:t>
      </w:r>
    </w:p>
    <w:p>
      <w:pPr>
        <w:numPr>
          <w:ilvl w:val="0"/>
          <w:numId w:val="13"/>
        </w:numPr>
      </w:pPr>
      <w:r>
        <w:rPr>
          <w:rFonts w:ascii="Calibri" w:hAnsi="Calibri"/>
          <w:color w:val="000000"/>
          <w:sz w:val="22"/>
        </w:rPr>
        <w:t>Restrict the DTBS and Windows firewall source ranges to the office/VPN or named testers. Do not leave UAT accessible to the entire internet without HTTPS and an approved access policy.</w:t>
      </w:r>
    </w:p>
    <w:p>
      <w:pPr>
        <w:numPr>
          <w:ilvl w:val="0"/>
          <w:numId w:val="13"/>
        </w:numPr>
      </w:pPr>
      <w:r>
        <w:t>Run a controlled UAT test cycle with representative users, record each finding as a defect, configuration request, or enhancement requirement, and document the approval result. For performance revalidation, have testers run the dashboard, ticket list, ticket detail, edit/save, create-ticket, and return-to-dashboard sequence twice, recording first-pass and second-pass response times. Production must deploy the exact approved commit, not a later untested change.</w:t>
      </w:r>
    </w:p>
    <w:p>
      <w:pPr>
        <w:pStyle w:val="Heading1"/>
        <w:keepNext/>
      </w:pPr>
      <w:r>
        <w:t>Reference links</w:t>
      </w:r>
    </w:p>
    <w:p>
      <w:pPr/>
      <w:r>
        <w:rPr>
          <w:rFonts w:ascii="Calibri" w:hAnsi="Calibri"/>
          <w:color w:val="000000"/>
          <w:sz w:val="22"/>
        </w:rPr>
        <w:t>Microsoft IIS reverse-proxy guide: https://learn.microsoft.com/en-us/iis/extensions/url-rewrite-module/reverse-proxy-with-url-rewrite-v2-and-application-request-routing</w:t>
      </w:r>
    </w:p>
    <w:p>
      <w:pPr/>
      <w:r>
        <w:rPr>
          <w:rFonts w:ascii="Calibri" w:hAnsi="Calibri"/>
          <w:color w:val="000000"/>
          <w:sz w:val="22"/>
        </w:rPr>
        <w:t>Microsoft IIS role installation guide: https://learn.microsoft.com/en-us/windows-server/networking/core-network-guide/cncg/server-certs/install-the-web-server-web1</w:t>
      </w:r>
    </w:p>
    <w:p>
      <w:pPr/>
      <w:r>
        <w:rPr>
          <w:rFonts w:ascii="Calibri" w:hAnsi="Calibri"/>
          <w:color w:val="000000"/>
          <w:sz w:val="22"/>
        </w:rPr>
        <w:t>Repository deployment reference: DEPLOY.md (Linux Docker deployment; not the active Windows UAT runtime).</w:t>
      </w:r>
    </w:p>
    <w:sectPr w:rsidR="00FC693F" w:rsidRPr="0006063C" w:rsidSect="00034616">
      <w:headerReference w:type="default" r:id="rId9"/>
      <w:footerReference w:type="default" r:id="rId10"/>
      <w:footerReference w:type="first" r:id="rId11"/>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B6573"/>
        <w:sz w:val="17"/>
      </w:rPr>
      <w:t xml:space="preserve">Internal UAT reference | </w:t>
    </w:r>
    <w:r>
      <w:rPr>
        <w:rFonts w:ascii="Calibri" w:hAnsi="Calibri"/>
        <w:color w:val="5B6573"/>
        <w:sz w:val="17"/>
      </w:rPr>
      <w:t xml:space="preserve">Page </w:t>
    </w:r>
    <w:r>
      <w:rPr>
        <w:rFonts w:ascii="Calibri" w:hAnsi="Calibri"/>
        <w:color w:val="5B6573"/>
        <w:sz w:val="17"/>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B6573"/>
        <w:sz w:val="17"/>
      </w:rPr>
      <w:t>SOC Ticket - Internal reference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4" w:color="D7DBE2"/>
      </w:pBdr>
    </w:pPr>
    <w:r>
      <w:rPr>
        <w:rFonts w:ascii="Calibri" w:hAnsi="Calibri"/>
        <w:b/>
        <w:color w:val="5B6573"/>
        <w:sz w:val="17"/>
      </w:rPr>
      <w:t>SOC Ticket | UAT VM Setup and Operations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ind w:left="540" w:hanging="271"/>
      </w:pPr>
    </w:lvl>
  </w:abstractNum>
  <w:num w:numId="10">
    <w:abstractNumId w:val="9"/>
  </w:num>
  <w:num w:numId="11">
    <w:abstractNumId w:val="9"/>
  </w:num>
  <w:num w:numId="12">
    <w:abstractNumId w:val="9"/>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basedOn w:val="Normal"/>
    <w:pPr>
      <w:spacing w:after="80" w:line="264" w:lineRule="auto"/>
    </w:pPr>
    <w:rPr>
      <w:color w:val="5B6573"/>
      <w:sz w:val="18"/>
    </w:rPr>
  </w:style>
  <w:style w:type="paragraph" w:customStyle="1" w:styleId="Code">
    <w:name w:val="Code"/>
    <w:basedOn w:val="Normal"/>
    <w:pPr>
      <w:spacing w:before="80" w:after="80" w:line="252" w:lineRule="auto"/>
      <w:ind w:left="259" w:right="173"/>
    </w:pPr>
    <w:rPr>
      <w:rFonts w:ascii="Consolas" w:hAnsi="Consolas"/>
      <w:color w:val="0B254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SOC Ticket UAT VM Setup and Operations Guide</dc:title>
  <dc:subject>Windows Server UAT deployment process, rationale, operations, and next actions</dc:subject>
  <dc:creator>SOC Ticketing Team</dc:creator>
  <cp:keywords/>
  <dc:description>Generated from the confirmed UAT setup conversation; no credentials or IP addresses included.</dc:description>
  <cp:lastModifiedBy/>
  <cp:revision>1</cp:revision>
  <dcterms:created xsi:type="dcterms:W3CDTF">2013-12-23T23:15:00Z</dcterms:created>
  <dcterms:modified xsi:type="dcterms:W3CDTF">2013-12-23T23:15:00Z</dcterms:modified>
  <cp:category/>
</cp:coreProperties>
</file>