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p>
      <w:pPr>
        <w:spacing w:after="80"/>
        <w:jc w:val="right"/>
      </w:pPr>
      <w:r>
        <w:rPr>
          <w:rFonts w:ascii="TH Sarabun New" w:hAnsi="TH Sarabun New" w:cs="TH Sarabun New"/>
          <w:b w:val="0"/>
          <w:color w:val="5B6775"/>
          <w:sz w:val="20"/>
        </w:rPr>
        <w:t>Template {{template_version}} | จัดทำเมื่อ {{generated_at}}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หมายเลข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ชื่อ incident/event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ประเภท: event หรือ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Incident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Critical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Low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ระดับความสำคัญ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วิกฤต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ไม่ร้ายแรง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สถานะปัจจุบัน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ผู้รายงาน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แหล่งข้อมูล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Hash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{{ioc_ip}}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{{action_precautions}}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Isolate เครื่อง – แยกเครื่องที่ได้รับผลกระทบออกจากเครือข่าย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Close Service ที่ไม่จำเป็น – ปิดบริการหรือพอร์ตที่เปิดเผยและมีความเสี่ยง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Block IoC – บล็อกตัวบ่งชี้การโจมตี (IP, Domain, URL, Hash)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Dump memory ของเครื่อง Server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รวบรวม Event Logs เพื่อส่งต่อ ปปกก.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Disable/Reset Account – ปิดการใช้งานหรือรีเซ็ตรหัสผ่านบัญชีที่ได้รับผลกระทบ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เปลี่ยนรหัสผ่าน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Remove Malware – กำจัดมัลแวร์ออกจากระบบ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ลบไฟล์ และ Path ที่ต้องสงสัย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Patch Vulnerability – ติดตั้งแพตช์แก้ไขช่องโหว่ที่เกี่ยวข้อง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Update Software/OS – อัปเดตซอฟต์แวร์หรือระบบปฏิบัติการให้เป็นเวอร์ชันล่าสุด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Harden Configuration – ปรับแต่งการตั้งค่าความปลอดภัยของระบบให้รัดกุมมากขึ้น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ตรวจสอบการทำงานของภัยคุกคามยังทำงานอยู่หรือไม่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ติดตั้ง Sysmon</w:t>
            </w:r>
          </w:p>
          <w:p>
            <w:pPr>
              <w:spacing w:after="4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ติดตั้ง Agent Wazuh</w:t>
            </w:r>
          </w:p>
          <w:p>
            <w:pPr>
              <w:spacing w:before="12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ผลการตรวจสอบ / Investigation Findings: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{{remediation_summary}}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มาตรการควบคุม / Countermeasure: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0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26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28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๐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๑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๒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๓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๔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๕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๖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๗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๘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๙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TH Sarabun New" w:hAnsi="TH Sarabun New" w:cs="TH Sarabun New"/>
      <w:color w:val="4040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