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ผู้บริหาร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Executive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v1.4.0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10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1.1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ผู้บริหาร (Executive)</w:t>
      </w:r>
      <w:r>
        <w:rPr>
          <w:sz w:val="32"/>
          <w:szCs w:val="32"/>
        </w:rPr>
        <w:t xml:space="preserve"> ผู้ต้องการภาพรวมความเสี่ยงและผลการดำเนินงานของศูนย์ปฏิบัติการความปลอดภัย เพื่อประกอบการตัดสินใจ โดยไม่ต้องลงรายละเอียดการปฏิบัติงาน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เคล็ดลับการอ่านตัวเลข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บทบาทผู้บริหารเป็นการดูภาพรวมแบบอ่านอย่างเดียวผ่านแดชบอร์ดสรุป คุณจะเห็นตัวชี้วัดสำคัญ แนวโน้ม และสถานะความเสี่ยง โดยไม่เห็นรายการตั๋วงานรายเคส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ดูแดชบอร์ดสรุปความเสี่ยงและผลการดำเนินงาน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ดูหรือแก้ไขตั๋วงานรายเคส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ติดตามตัวชี้วัด เช่น MTTR และจำนวนเคสค้าง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ดำเนินการใด ๆ ในกระบวนการจัดการเหตุการณ์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p>
      <w:pPr>
        <w:pStyle w:val="Heading1"/>
      </w:pPr>
      <w:r>
        <w:t xml:space="preserve">4. แดชบอร์ดผู้บริหาร (Executive SOC Dashboard)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Executive Dashboard</w:t>
      </w:r>
      <w:r>
        <w:rPr>
          <w:sz w:val="32"/>
          <w:szCs w:val="32"/>
        </w:rPr>
        <w:t xml:space="preserve"> คือหน้าจอหลักและหน้าจอเดียวของคุณ แบ่งเป็นส่วนสรุปความเสี่ยง ตัวชี้วัด และความคืบหน้าการปิดงาน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แดชบอร์ดผู้บริหาร แสดงสถานะความเสี่ยง การ์ดตัวชี้วัด และกราฟแนวโน้ม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แดชบอร์ดผู้บริหาร แสดงสถานะความเสี่ยง การ์ดตัวชี้วัด และกราฟแนวโน้ม</w:t>
      </w:r>
    </w:p>
    <w:p>
      <w:pPr>
        <w:pStyle w:val="Heading1"/>
      </w:pPr>
      <w:r>
        <w:t xml:space="preserve">5. การอ่านตัวชี้วัดสำคัญ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800"/>
        <w:gridCol w:w="5800"/>
      </w:tblGrid>
      <w:tr>
        <w:trPr>
          <w:cantSplit/>
          <w:tblHeader/>
        </w:trPr>
        <w:tc>
          <w:tcPr>
            <w:tcW w:type="dxa" w:w="3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ตัวชี้วัด</w:t>
            </w:r>
          </w:p>
        </w:tc>
        <w:tc>
          <w:tcPr>
            <w:tcW w:type="dxa" w:w="5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สถานะความเสี่ยง</w:t>
            </w:r>
          </w:p>
        </w:tc>
        <w:tc>
          <w:tcPr>
            <w:tcW w:type="dxa" w:w="5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สรุปว่ามี Incident ค้างอยู่หรือไม่ และระดับความเร่งด่วนโดยรวม</w:t>
            </w:r>
          </w:p>
        </w:tc>
      </w:tr>
      <w:tr>
        <w:trPr>
          <w:cantSplit/>
        </w:trPr>
        <w:tc>
          <w:tcPr>
            <w:tcW w:type="dxa" w:w="3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เคสทั้งหมด (High/Critical)</w:t>
            </w:r>
          </w:p>
        </w:tc>
        <w:tc>
          <w:tcPr>
            <w:tcW w:type="dxa" w:w="5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จำนวนเคสระดับสูงและวิกฤตในช่วงเวลาที่กำหนด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มัธยฐานเวลาในการแก้ไข (MTTR)</w:t>
            </w:r>
          </w:p>
        </w:tc>
        <w:tc>
          <w:tcPr>
            <w:tcW w:type="dxa" w:w="5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ระยะเวลาที่ใช้แก้ไขเหตุการณ์โดยทั่วไป (ค่ากลาง) — ยิ่งต่ำยิ่งดี</w:t>
            </w:r>
          </w:p>
        </w:tc>
      </w:tr>
      <w:tr>
        <w:trPr>
          <w:cantSplit/>
        </w:trPr>
        <w:tc>
          <w:tcPr>
            <w:tcW w:type="dxa" w:w="3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ความคืบหน้าการปิดงาน</w:t>
            </w:r>
          </w:p>
        </w:tc>
        <w:tc>
          <w:tcPr>
            <w:tcW w:type="dxa" w:w="5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สัดส่วนเหตุการณ์ที่ปิดแล้วเทียบกับที่ยังดำเนินการ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OLA คือกรอบเวลามาตรฐาน </w:t>
            </w:r>
            <w:r>
              <w:rPr>
                <w:b/>
                <w:bCs/>
                <w:sz w:val="32"/>
                <w:szCs w:val="32"/>
              </w:rPr>
              <w:t xml:space="preserve">ภายในองค์กร</w:t>
            </w:r>
            <w:r>
              <w:rPr>
                <w:sz w:val="32"/>
                <w:szCs w:val="32"/>
              </w:rPr>
              <w:t xml:space="preserve"> (ไม่ใช่ SLA ต่อลูกค้าภายนอก) การเกินกำหนดสะท้อนแรงกดดันด้านเวลา ไม่ใช่การผิดสัญญาเชิงพาณิชย์</w:t>
            </w:r>
          </w:p>
        </w:tc>
      </w:tr>
    </w:tbl>
    <w:p>
      <w:pPr>
        <w:pStyle w:val="Heading1"/>
      </w:pPr>
      <w:r>
        <w:t xml:space="preserve">6. คำถามที่พบบ่อย</w:t>
      </w:r>
    </w:p>
    <w:p>
      <w:pPr>
        <w:pStyle w:val="Heading3"/>
      </w:pPr>
      <w:r>
        <w:t xml:space="preserve">ทำไมฉันไม่เห็นเมนูตั๋วงาน?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บทบาทผู้บริหารออกแบบให้เห็นเฉพาะแดชบอร์ดสรุป เพื่อให้โฟกัสที่ภาพรวม ไม่ใช่รายเคส หากต้องการรายละเอียดเคสใดเป็นการเฉพาะ ให้ประสานกับผู้จัดการ SOC</w:t>
      </w:r>
    </w:p>
    <w:p>
      <w:pPr>
        <w:pStyle w:val="Heading3"/>
      </w:pPr>
      <w:r>
        <w:t xml:space="preserve">ตัวเลขอัปเดตบ่อยแค่ไหน?</w:t>
      </w:r>
    </w:p>
    <w:p>
      <w:pPr>
        <w:spacing w:after="120"/>
      </w:pPr>
      <w:r>
        <w:rPr>
          <w:sz w:val="32"/>
          <w:szCs w:val="32"/>
        </w:rPr>
        <w:t xml:space="preserve">แดชบอร์ดสรุปจากข้อมูลล่าสุดในระบบ ช่วงเวลาที่ใช้คำนวณบางตัวชี้วัด (เช่น MTTR) จะระบุไว้ใต้การ์ดนั้น ๆ</w:t>
      </w:r>
    </w:p>
    <w:p>
      <w:pPr>
        <w:pStyle w:val="Heading1"/>
      </w:pPr>
      <w:r>
        <w:t xml:space="preserve">7.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MTTR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Mean/Median Time To Resolve — เวลาที่ใช้แก้ไขเหตุการณ์โดยทั่วไป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เหตุการณ์ที่เป็นภัยจริงและต้องดำเนินการ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คู่มือผู้บริหาร (Executive)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ผู้บริหาร</dc:title>
  <dc:creator>NT SOC</dc:creator>
  <cp:lastModifiedBy>Un-named</cp:lastModifiedBy>
  <cp:revision>1</cp:revision>
  <dcterms:created xsi:type="dcterms:W3CDTF">2026-09-10T03:41:42.059Z</dcterms:created>
  <dcterms:modified xsi:type="dcterms:W3CDTF">2026-09-10T03:41:42.064Z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