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840" w:line="240" w:lineRule="auto"/>
        <w:rPr>
          <w:rFonts w:ascii="Roboto" w:cs="Roboto" w:eastAsia="Roboto" w:hAnsi="Roboto"/>
          <w:b w:val="1"/>
          <w:bCs w:val="1"/>
          <w:color w:val="333333"/>
          <w:sz w:val="46"/>
          <w:szCs w:val="46"/>
        </w:rPr>
      </w:pPr>
      <w:bookmarkStart w:colFirst="0" w:colLast="0" w:name="_gqii0aixg977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46"/>
          <w:szCs w:val="46"/>
          <w:rtl w:val="0"/>
        </w:rPr>
        <w:t xml:space="preserve">Third-Party Partners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40" w:lineRule="auto"/>
        <w:rPr>
          <w:rFonts w:ascii="Roboto" w:cs="Roboto" w:eastAsia="Roboto" w:hAnsi="Roboto"/>
          <w:color w:val="333333"/>
          <w:sz w:val="23"/>
          <w:szCs w:val="23"/>
        </w:rPr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Datacap-ready alternative payment options from leading Third-Party providers enable solutions like: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QR Code payments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Online Ordering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Turn-key kiosks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Memberships with Recurring Payments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333333"/>
          <w:sz w:val="23"/>
          <w:szCs w:val="23"/>
          <w:rtl w:val="0"/>
        </w:rPr>
        <w:t xml:space="preserve">TextPay Invoicing for Field Services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