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A93D5" w14:textId="77777777" w:rsidR="00347AA5" w:rsidRPr="00347AA5" w:rsidRDefault="00347AA5" w:rsidP="00347AA5">
      <w:pPr>
        <w:rPr>
          <w:b/>
          <w:bCs/>
        </w:rPr>
      </w:pPr>
      <w:r w:rsidRPr="00347AA5">
        <w:rPr>
          <w:b/>
          <w:bCs/>
        </w:rPr>
        <w:t>Что такое доступность (accessibility) в веб-разработке</w:t>
      </w:r>
    </w:p>
    <w:p w14:paraId="5DEE5CF0" w14:textId="77777777" w:rsidR="00347AA5" w:rsidRPr="00347AA5" w:rsidRDefault="00347AA5" w:rsidP="00347AA5">
      <w:r w:rsidRPr="00347AA5">
        <w:rPr>
          <w:b/>
          <w:bCs/>
        </w:rPr>
        <w:t>Что хотят услышать интервьюеры:</w:t>
      </w:r>
      <w:r w:rsidRPr="00347AA5">
        <w:br/>
        <w:t>Интервьюеры ожидают услышать четкое определение </w:t>
      </w:r>
      <w:r w:rsidRPr="00347AA5">
        <w:rPr>
          <w:b/>
          <w:bCs/>
        </w:rPr>
        <w:t>доступности</w:t>
      </w:r>
      <w:r w:rsidRPr="00347AA5">
        <w:t> в веб-разработке, понимание ее важности для пользователей с ограниченными возможностями, знание стандартов и практик, а также примеры реализации доступности в проектах. Кандидат должен продемонстрировать осведомленность о лучших практиках и потенциальных проблемах, связанных с доступностью.</w:t>
      </w:r>
    </w:p>
    <w:p w14:paraId="1C705A83" w14:textId="77777777" w:rsidR="00347AA5" w:rsidRPr="00347AA5" w:rsidRDefault="00347AA5" w:rsidP="00347AA5">
      <w:r w:rsidRPr="00347AA5">
        <w:rPr>
          <w:b/>
          <w:bCs/>
        </w:rPr>
        <w:t>Определение:</w:t>
      </w:r>
      <w:r w:rsidRPr="00347AA5">
        <w:br/>
      </w:r>
      <w:r w:rsidRPr="00347AA5">
        <w:rPr>
          <w:b/>
          <w:bCs/>
        </w:rPr>
        <w:t>Доступность (accessibility)</w:t>
      </w:r>
      <w:r w:rsidRPr="00347AA5">
        <w:t> в веб-разработке — это практика создания веб-сайтов и приложений, которые могут быть использованы всеми пользователями, включая людей с ограниченными возможностями. Это включает в себя адаптацию контента и интерфейса для пользователей с нарушениями зрения, слуха, моторики и когнитивными ограничениями.</w:t>
      </w:r>
    </w:p>
    <w:p w14:paraId="1D4D245D" w14:textId="77777777" w:rsidR="00347AA5" w:rsidRPr="00347AA5" w:rsidRDefault="00347AA5" w:rsidP="00347AA5">
      <w:r w:rsidRPr="00347AA5">
        <w:rPr>
          <w:b/>
          <w:bCs/>
        </w:rPr>
        <w:t>Ключевые аспекты доступности:</w:t>
      </w:r>
    </w:p>
    <w:p w14:paraId="3378D648" w14:textId="77777777" w:rsidR="00347AA5" w:rsidRPr="00347AA5" w:rsidRDefault="00347AA5" w:rsidP="00347AA5">
      <w:pPr>
        <w:numPr>
          <w:ilvl w:val="0"/>
          <w:numId w:val="6"/>
        </w:numPr>
      </w:pPr>
      <w:r w:rsidRPr="00347AA5">
        <w:rPr>
          <w:b/>
          <w:bCs/>
        </w:rPr>
        <w:t>Стандарты:</w:t>
      </w:r>
      <w:r w:rsidRPr="00347AA5">
        <w:t> Использование стандартов, таких как WCAG (Web Content Accessibility Guidelines), которые описывают, как сделать контент доступным для людей с ограниченными возможностями.</w:t>
      </w:r>
    </w:p>
    <w:p w14:paraId="3DC16179" w14:textId="77777777" w:rsidR="00347AA5" w:rsidRPr="00347AA5" w:rsidRDefault="00347AA5" w:rsidP="00347AA5">
      <w:pPr>
        <w:numPr>
          <w:ilvl w:val="0"/>
          <w:numId w:val="6"/>
        </w:numPr>
      </w:pPr>
      <w:r w:rsidRPr="00347AA5">
        <w:rPr>
          <w:b/>
          <w:bCs/>
        </w:rPr>
        <w:t>Адаптивный дизайн:</w:t>
      </w:r>
      <w:r w:rsidRPr="00347AA5">
        <w:t> Проектирование интерфейсов, которые могут быть использованы с различными вспомогательными технологиями, такими как экранные читалки и специальные устройства ввода.</w:t>
      </w:r>
    </w:p>
    <w:p w14:paraId="3EC52637" w14:textId="77777777" w:rsidR="00347AA5" w:rsidRPr="00347AA5" w:rsidRDefault="00347AA5" w:rsidP="00347AA5">
      <w:pPr>
        <w:numPr>
          <w:ilvl w:val="0"/>
          <w:numId w:val="6"/>
        </w:numPr>
      </w:pPr>
      <w:r w:rsidRPr="00347AA5">
        <w:rPr>
          <w:b/>
          <w:bCs/>
        </w:rPr>
        <w:t>Контрастность и шрифты:</w:t>
      </w:r>
      <w:r w:rsidRPr="00347AA5">
        <w:t> Выбор цветов и шрифтов, которые легки для восприятия. Например, использование достаточного контраста между текстом и фоном.</w:t>
      </w:r>
    </w:p>
    <w:p w14:paraId="2C57DBDB" w14:textId="77777777" w:rsidR="00347AA5" w:rsidRPr="00347AA5" w:rsidRDefault="00347AA5" w:rsidP="00347AA5">
      <w:pPr>
        <w:numPr>
          <w:ilvl w:val="0"/>
          <w:numId w:val="6"/>
        </w:numPr>
      </w:pPr>
      <w:r w:rsidRPr="00347AA5">
        <w:rPr>
          <w:b/>
          <w:bCs/>
        </w:rPr>
        <w:t>Навигация и структура:</w:t>
      </w:r>
      <w:r w:rsidRPr="00347AA5">
        <w:t> Структурирование контента таким образом, чтобы он был логичным и понятным, например, с помощью семантической разметки HTML.</w:t>
      </w:r>
    </w:p>
    <w:p w14:paraId="419A2C29" w14:textId="77777777" w:rsidR="00347AA5" w:rsidRPr="00347AA5" w:rsidRDefault="00347AA5" w:rsidP="00347AA5">
      <w:r w:rsidRPr="00347AA5">
        <w:rPr>
          <w:b/>
          <w:bCs/>
        </w:rPr>
        <w:t>Примеры реализации:</w:t>
      </w:r>
    </w:p>
    <w:p w14:paraId="529D054C" w14:textId="77777777" w:rsidR="00347AA5" w:rsidRPr="00347AA5" w:rsidRDefault="00347AA5" w:rsidP="00347AA5">
      <w:pPr>
        <w:numPr>
          <w:ilvl w:val="0"/>
          <w:numId w:val="7"/>
        </w:numPr>
      </w:pPr>
      <w:r w:rsidRPr="00347AA5">
        <w:t>Использование атрибутов alt для изображений, чтобы обеспечить текстовое описание для пользователей экранных читалок.</w:t>
      </w:r>
    </w:p>
    <w:p w14:paraId="6CE11DBB" w14:textId="77777777" w:rsidR="00347AA5" w:rsidRPr="00347AA5" w:rsidRDefault="00347AA5" w:rsidP="00347AA5">
      <w:pPr>
        <w:numPr>
          <w:ilvl w:val="0"/>
          <w:numId w:val="7"/>
        </w:numPr>
      </w:pPr>
      <w:r w:rsidRPr="00347AA5">
        <w:t>Обеспечение доступности форм с правильными метками и подсказками.</w:t>
      </w:r>
    </w:p>
    <w:p w14:paraId="133E8912" w14:textId="77777777" w:rsidR="00347AA5" w:rsidRPr="00347AA5" w:rsidRDefault="00347AA5" w:rsidP="00347AA5">
      <w:pPr>
        <w:numPr>
          <w:ilvl w:val="0"/>
          <w:numId w:val="7"/>
        </w:numPr>
      </w:pPr>
      <w:r w:rsidRPr="00347AA5">
        <w:t>Проверка доступности с помощью инструментов, таких как Axe или WAVE.</w:t>
      </w:r>
    </w:p>
    <w:p w14:paraId="611D2E03" w14:textId="77777777" w:rsidR="00347AA5" w:rsidRPr="00347AA5" w:rsidRDefault="00347AA5" w:rsidP="00347AA5">
      <w:r w:rsidRPr="00347AA5">
        <w:rPr>
          <w:b/>
          <w:bCs/>
        </w:rPr>
        <w:t>Заключение:</w:t>
      </w:r>
      <w:r w:rsidRPr="00347AA5">
        <w:br/>
        <w:t>Создание доступных веб-приложений не только улучшает пользовательский опыт для всех, но и позволяет соблюдать юридические требования и этические нормы.</w:t>
      </w:r>
    </w:p>
    <w:p w14:paraId="1B6AB6CB" w14:textId="77777777" w:rsidR="00DF5302" w:rsidRPr="00347AA5" w:rsidRDefault="00DF5302" w:rsidP="00347AA5"/>
    <w:sectPr w:rsidR="00DF5302" w:rsidRPr="00347AA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BF49AF"/>
    <w:multiLevelType w:val="multilevel"/>
    <w:tmpl w:val="1A14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F37EC"/>
    <w:multiLevelType w:val="multilevel"/>
    <w:tmpl w:val="18A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6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5"/>
  </w:num>
  <w:num w:numId="6" w16cid:durableId="1589732459">
    <w:abstractNumId w:val="3"/>
  </w:num>
  <w:num w:numId="7" w16cid:durableId="3828558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47AA5"/>
    <w:rsid w:val="00352238"/>
    <w:rsid w:val="00412B8E"/>
    <w:rsid w:val="00460947"/>
    <w:rsid w:val="004C0BB5"/>
    <w:rsid w:val="004C433B"/>
    <w:rsid w:val="005156FE"/>
    <w:rsid w:val="005241FA"/>
    <w:rsid w:val="00593129"/>
    <w:rsid w:val="00640DBF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2025-12-07T08:21:00Z</dcterms:modified>
</cp:coreProperties>
</file>