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F" w:rsidRPr="00893BE0" w:rsidRDefault="00695ABF" w:rsidP="00695ABF">
      <w:pPr>
        <w:pStyle w:val="a7"/>
        <w:rPr>
          <w:rFonts w:ascii="GHEA Grapalat" w:eastAsia="GHEA Grapalat" w:hAnsi="GHEA Grapalat"/>
          <w:lang w:val="hy-AM"/>
        </w:rPr>
      </w:pPr>
    </w:p>
    <w:p w:rsidR="002F740E" w:rsidRPr="00F10246" w:rsidRDefault="002F740E" w:rsidP="002F740E">
      <w:pPr>
        <w:pStyle w:val="a7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020354">
        <w:rPr>
          <w:rFonts w:ascii="GHEA Grapalat" w:hAnsi="GHEA Grapalat" w:cs="Sylfaen"/>
          <w:b/>
          <w:i/>
          <w:sz w:val="18"/>
          <w:szCs w:val="18"/>
          <w:lang w:val="hy-AM"/>
        </w:rPr>
        <w:t>2</w:t>
      </w:r>
      <w:r w:rsidR="00020354" w:rsidRPr="00F10246">
        <w:rPr>
          <w:rFonts w:ascii="GHEA Grapalat" w:hAnsi="GHEA Grapalat" w:cs="Sylfaen"/>
          <w:b/>
          <w:i/>
          <w:sz w:val="18"/>
          <w:szCs w:val="18"/>
          <w:lang w:val="hy-AM"/>
        </w:rPr>
        <w:t>1</w:t>
      </w:r>
    </w:p>
    <w:p w:rsidR="002F740E" w:rsidRDefault="002F740E" w:rsidP="002F740E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1A7EFB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2F740E" w:rsidRDefault="002F740E" w:rsidP="002F740E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1A7EFB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F10246" w:rsidRDefault="00F10246" w:rsidP="00F10246">
      <w:pPr>
        <w:tabs>
          <w:tab w:val="left" w:pos="4528"/>
        </w:tabs>
        <w:spacing w:after="0" w:line="240" w:lineRule="auto"/>
        <w:ind w:right="49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 թ.   հուլիսի 7-ի  N Կ98-Ա  հրամանով</w:t>
      </w: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ՉԱՓԱԳԻՏԱԿԱՆ ԿԱՆՈՆՆԵՐԻ ԵՎ ՆՈՐՄԵՐԻ ՎԵՐԱՀՍԿՈՂՈՒԹՅԱՆ 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>ՎԱՐՉՈՒԹՅԱՆ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ԳԼԽԱՎՈՐ</w:t>
      </w:r>
      <w:r w:rsidR="00695ABF"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Մ</w:t>
      </w:r>
      <w:r w:rsidR="00D2328D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Շուկայի վերահսկողության տեսչական մարմնի (այսուհետ՝ Տեսչական մարմին) չափագիտական կանոնների և նորմերի վերահսկողության 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ծածկագիրը՝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69-27.3-Մ2-</w:t>
            </w:r>
            <w:r w:rsidR="0043075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5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E85DF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 պաշտոնի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 անվանումները</w:t>
            </w:r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412B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մյուս </w:t>
            </w:r>
            <w:r w:rsidR="00087008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>ք. Երևան, Արաբկիր վարչական շրջան, Կոմիտասի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020354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2.Պաշտոնի բնութագիրը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2.1. Աշխատանքի բնույթը, իրավունքները, պարտականությունները</w:t>
            </w:r>
          </w:p>
          <w:p w:rsidR="00087008" w:rsidRPr="004D56D1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«Հայաստանի Հանրապետությունում ստուգումների կազմակերպման և անցկացման մասին» ՀՀ օրենքով սահմանված կարգով, ստուգումների իրականացման ուղեցույցին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վկայագրված մեթոդիկաների առկայության և չափումների միասնականության ապահովման բնագավառում տեխնիկական կանոնակարգերի պահանջների պահպանման նկատմամբ պետական չափագիտական</w:t>
            </w:r>
            <w:r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շուկայահանված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մանրածախ առուվաճառքի տարածքներում թանկարժեք մետաղներից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lastRenderedPageBreak/>
              <w:t>պատրաստված իրերի հարգի և հարգադրոշմի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իրականացում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E7E75" w:rsidRPr="005E7E75" w:rsidRDefault="00087008" w:rsidP="00C66E4A">
            <w:pPr>
              <w:pStyle w:val="a3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</w:t>
            </w:r>
            <w:r w:rsidR="00C66E4A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արչության առջև դրված գործառույթներից և խնդիրներից բխող իրավական ակտերի նախագծերի, առաջարկությունների, եզրակացությունների, այլ փաստաթղթերի նախապատրաստում, ինպես նաև դրանց վերաբերյալ մեթոդական պարզաբանումների և ուղեցույցների մշակում</w:t>
            </w:r>
            <w:r w:rsidR="005E7E75" w:rsidRPr="005E7E75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.</w:t>
            </w:r>
          </w:p>
          <w:p w:rsidR="006414C6" w:rsidRPr="006F6F5B" w:rsidRDefault="00695ABF" w:rsidP="00AA0558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րավունքները՝</w:t>
            </w:r>
          </w:p>
          <w:p w:rsidR="004A62F0" w:rsidRPr="004A62F0" w:rsidRDefault="00087008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առջև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4A62F0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5E7E75" w:rsidRPr="005E7E75" w:rsidRDefault="004A62F0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տնտեսվարող սուբյեկտներից պահանջել ներկայացնել ստուգման ընթացքում անհրաժեշտ փաստաթղթերը</w:t>
            </w:r>
            <w:r w:rsidR="005E7E75" w:rsidRPr="005E7E75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5E7E75" w:rsidRDefault="00087008" w:rsidP="005E7E75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20" w:right="11" w:hanging="18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D13FF3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="00087008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ճարտարագիտության 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E85DF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C412B9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 առողջապահության 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D13FF3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</w:p>
          <w:p w:rsidR="00123310" w:rsidRPr="009051B0" w:rsidRDefault="00123310" w:rsidP="00C412B9">
            <w:pPr>
              <w:pStyle w:val="a3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 կառավարում</w:t>
            </w:r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 նախապատրաստում</w:t>
            </w:r>
          </w:p>
          <w:p w:rsidR="006414C6" w:rsidRPr="009051B0" w:rsidRDefault="006414C6" w:rsidP="005E7E75">
            <w:pPr>
              <w:pStyle w:val="a3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>4. Կազմակերպական շրջանակը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4.1. Աշխատանքի կազմակերպման և ղեկավարման պատասխանատվությունը</w:t>
            </w:r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Պատասխանատու է կառուցվածքային ստորաբաժանման աշխատանքների բնույթով պայմանավորված մասնագիտական գործունեության անմիջական արդյունքի համար։ </w:t>
            </w:r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4.2. Որոշումներ կայացնելու լիազորությունները</w:t>
            </w:r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 է որոշումներ աշխատանքների իրականացման բնույթով պայմանավորված մասնագիտական եզրակացությունների տրամադրման շրջանակներում:</w:t>
            </w:r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Գործունեության ազդեցությունը </w:t>
            </w:r>
          </w:p>
          <w:p w:rsidR="005E7E75" w:rsidRDefault="00186D8B" w:rsidP="00186D8B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 տվյալ մարմնի նպատակների և խնդիրների իրականացման համար մասնագիտական գործունեության գերատեսչական ազդեցություն։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4.4. Շփումները և ներկայացուցչությունը</w:t>
            </w:r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 իրավասությունների շրջանակներում շփվում և որպես ներկայացուցիչ հանդես է գալիս տվյալ մարմնի ներսում այլ կառուցվածքային ստորաբաժանումների, այլ մարմինների ներկայացուցիչների հետ, հանդես է գալիս պետական մարմինների և միջազգային կազմակերպությունների ներկայացուցիչների մասնակցությամբ ձևավորված աշխատանքային խմբերում: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4.5. Խնդիրների բարդությունը և դրանց լուծումը</w:t>
            </w:r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 լիազորությունների շրջանակներում բացահայտում է մասնագիտական խնդիրներ և այդ խնդիրներին տալիս է մասնագիտական լուծումներ և մասնակցում է կառուցվածքային ստորաբաժանման առջև դրված խնդիրների լուծմանը: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a5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1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4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0"/>
  </w:num>
  <w:num w:numId="5">
    <w:abstractNumId w:val="14"/>
  </w:num>
  <w:num w:numId="6">
    <w:abstractNumId w:val="0"/>
  </w:num>
  <w:num w:numId="7">
    <w:abstractNumId w:val="3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20354"/>
    <w:rsid w:val="00033BDD"/>
    <w:rsid w:val="00057E36"/>
    <w:rsid w:val="00080CCC"/>
    <w:rsid w:val="00087008"/>
    <w:rsid w:val="000D2F1B"/>
    <w:rsid w:val="00123310"/>
    <w:rsid w:val="00186D8B"/>
    <w:rsid w:val="001A7EFB"/>
    <w:rsid w:val="001F14A7"/>
    <w:rsid w:val="002005D2"/>
    <w:rsid w:val="002077B5"/>
    <w:rsid w:val="00245759"/>
    <w:rsid w:val="002700F5"/>
    <w:rsid w:val="002C1F26"/>
    <w:rsid w:val="002F740E"/>
    <w:rsid w:val="00305581"/>
    <w:rsid w:val="00430752"/>
    <w:rsid w:val="00493BA2"/>
    <w:rsid w:val="004A62F0"/>
    <w:rsid w:val="004C7ECD"/>
    <w:rsid w:val="005E7E75"/>
    <w:rsid w:val="006414C6"/>
    <w:rsid w:val="006453AE"/>
    <w:rsid w:val="00695ABF"/>
    <w:rsid w:val="006F6F5B"/>
    <w:rsid w:val="00743744"/>
    <w:rsid w:val="00795380"/>
    <w:rsid w:val="0085485E"/>
    <w:rsid w:val="00866DE2"/>
    <w:rsid w:val="008F67A8"/>
    <w:rsid w:val="009051B0"/>
    <w:rsid w:val="00946EFF"/>
    <w:rsid w:val="00A27C40"/>
    <w:rsid w:val="00A955E0"/>
    <w:rsid w:val="00B51AEB"/>
    <w:rsid w:val="00B71B01"/>
    <w:rsid w:val="00BB0ADB"/>
    <w:rsid w:val="00BC70F5"/>
    <w:rsid w:val="00C412B9"/>
    <w:rsid w:val="00C66E4A"/>
    <w:rsid w:val="00C830E8"/>
    <w:rsid w:val="00CA01DE"/>
    <w:rsid w:val="00CF1585"/>
    <w:rsid w:val="00D13FF3"/>
    <w:rsid w:val="00D2328D"/>
    <w:rsid w:val="00D77A0D"/>
    <w:rsid w:val="00DA4203"/>
    <w:rsid w:val="00DA5D7A"/>
    <w:rsid w:val="00DA7903"/>
    <w:rsid w:val="00DF51D5"/>
    <w:rsid w:val="00E85DFB"/>
    <w:rsid w:val="00F1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Windows User</cp:lastModifiedBy>
  <cp:revision>70</cp:revision>
  <dcterms:created xsi:type="dcterms:W3CDTF">2019-04-15T07:53:00Z</dcterms:created>
  <dcterms:modified xsi:type="dcterms:W3CDTF">2020-07-09T06:13:00Z</dcterms:modified>
</cp:coreProperties>
</file>