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p>
    <w:p>
      <w:pPr>
        <w:pStyle w:val="3"/>
        <w:spacing w:before="0" w:after="0"/>
        <w:ind w:firstLine="562"/>
        <w:outlineLvl w:val="9"/>
        <w:rPr>
          <w:rFonts w:asciiTheme="minorEastAsia" w:hAnsiTheme="minorEastAsia" w:eastAsiaTheme="minorEastAsia" w:cstheme="minorEastAsia"/>
          <w:b w:val="0"/>
          <w:bCs w:val="0"/>
          <w:sz w:val="44"/>
        </w:rPr>
      </w:pPr>
    </w:p>
    <w:p>
      <w:pPr>
        <w:pStyle w:val="3"/>
        <w:spacing w:before="0" w:after="0"/>
        <w:ind w:firstLine="562"/>
        <w:outlineLvl w:val="9"/>
        <w:rPr>
          <w:rFonts w:asciiTheme="minorEastAsia" w:hAnsiTheme="minorEastAsia" w:eastAsiaTheme="minorEastAsia" w:cstheme="minorEastAsia"/>
          <w:b w:val="0"/>
          <w:bCs w:val="0"/>
          <w:sz w:val="44"/>
        </w:rPr>
      </w:pPr>
      <w:bookmarkStart w:id="0" w:name="_Toc57"/>
      <w:bookmarkStart w:id="1" w:name="_Toc31203"/>
      <w:bookmarkStart w:id="2" w:name="_Toc7124"/>
      <w:bookmarkStart w:id="3" w:name="_Toc618"/>
      <w:r>
        <w:drawing>
          <wp:inline distT="0" distB="0" distL="114300" distR="114300">
            <wp:extent cx="4081780" cy="94615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4081780" cy="946150"/>
                    </a:xfrm>
                    <a:prstGeom prst="rect">
                      <a:avLst/>
                    </a:prstGeom>
                    <a:noFill/>
                    <a:ln>
                      <a:noFill/>
                    </a:ln>
                  </pic:spPr>
                </pic:pic>
              </a:graphicData>
            </a:graphic>
          </wp:inline>
        </w:drawing>
      </w:r>
      <w:bookmarkEnd w:id="0"/>
      <w:bookmarkEnd w:id="1"/>
      <w:bookmarkEnd w:id="2"/>
      <w:bookmarkEnd w:id="3"/>
    </w:p>
    <w:p>
      <w:pPr>
        <w:pStyle w:val="3"/>
        <w:spacing w:before="0" w:after="0"/>
        <w:ind w:firstLine="562"/>
        <w:outlineLvl w:val="9"/>
        <w:rPr>
          <w:rFonts w:asciiTheme="minorEastAsia" w:hAnsiTheme="minorEastAsia" w:eastAsiaTheme="minorEastAsia" w:cstheme="minorEastAsia"/>
          <w:b w:val="0"/>
          <w:bCs w:val="0"/>
          <w:sz w:val="44"/>
        </w:rPr>
      </w:pPr>
    </w:p>
    <w:p>
      <w:pPr>
        <w:pStyle w:val="3"/>
        <w:spacing w:before="0" w:after="0"/>
        <w:ind w:firstLine="562"/>
        <w:outlineLvl w:val="9"/>
        <w:rPr>
          <w:rFonts w:asciiTheme="minorEastAsia" w:hAnsiTheme="minorEastAsia" w:eastAsiaTheme="minorEastAsia" w:cstheme="minorEastAsia"/>
          <w:b w:val="0"/>
          <w:bCs w:val="0"/>
          <w:sz w:val="52"/>
          <w:szCs w:val="52"/>
        </w:rPr>
      </w:pPr>
    </w:p>
    <w:p>
      <w:pPr>
        <w:ind w:firstLine="1044"/>
        <w:jc w:val="center"/>
        <w:rPr>
          <w:rFonts w:ascii="黑体" w:hAnsi="宋体" w:eastAsia="黑体" w:cs="黑体"/>
          <w:color w:val="000000"/>
          <w:kern w:val="0"/>
          <w:sz w:val="31"/>
          <w:szCs w:val="31"/>
          <w:lang w:bidi="ar"/>
        </w:rPr>
      </w:pPr>
      <w:bookmarkStart w:id="4" w:name="_Toc23289"/>
      <w:bookmarkStart w:id="5" w:name="_Toc16491"/>
      <w:bookmarkStart w:id="6" w:name="_Toc9906"/>
      <w:bookmarkStart w:id="7" w:name="_Toc2130"/>
      <w:bookmarkStart w:id="8" w:name="_Toc26942"/>
      <w:bookmarkStart w:id="9" w:name="_Toc24281"/>
      <w:bookmarkStart w:id="10" w:name="_Toc22031"/>
      <w:bookmarkStart w:id="11" w:name="_Toc21792"/>
      <w:bookmarkStart w:id="12" w:name="_Toc16565"/>
      <w:bookmarkStart w:id="13" w:name="_Toc1991"/>
      <w:bookmarkStart w:id="14" w:name="_Toc17098"/>
      <w:bookmarkStart w:id="15" w:name="_Toc4357"/>
      <w:r>
        <w:rPr>
          <w:rFonts w:hint="eastAsia" w:ascii="宋体" w:hAnsi="宋体" w:cs="宋体"/>
          <w:b/>
          <w:bCs/>
          <w:sz w:val="52"/>
          <w:szCs w:val="48"/>
          <w:lang w:val="en-US" w:eastAsia="zh-CN"/>
        </w:rPr>
        <w:t>重庆人文科技</w:t>
      </w:r>
      <w:r>
        <w:rPr>
          <w:rFonts w:hint="eastAsia" w:ascii="宋体" w:hAnsi="宋体" w:cs="宋体"/>
          <w:b/>
          <w:bCs/>
          <w:sz w:val="52"/>
          <w:szCs w:val="48"/>
        </w:rPr>
        <w:t>学院</w:t>
      </w:r>
      <w:bookmarkEnd w:id="4"/>
      <w:bookmarkEnd w:id="5"/>
      <w:bookmarkEnd w:id="6"/>
      <w:bookmarkEnd w:id="7"/>
      <w:bookmarkEnd w:id="8"/>
      <w:bookmarkEnd w:id="9"/>
      <w:bookmarkEnd w:id="10"/>
      <w:bookmarkEnd w:id="11"/>
      <w:bookmarkEnd w:id="12"/>
      <w:bookmarkEnd w:id="13"/>
      <w:bookmarkEnd w:id="14"/>
      <w:bookmarkEnd w:id="15"/>
    </w:p>
    <w:p>
      <w:pPr>
        <w:widowControl/>
        <w:ind w:firstLine="620"/>
        <w:jc w:val="center"/>
        <w:rPr>
          <w:rFonts w:hint="default" w:ascii="黑体" w:hAnsi="宋体" w:eastAsia="黑体" w:cs="黑体"/>
          <w:color w:val="000000"/>
          <w:kern w:val="0"/>
          <w:sz w:val="31"/>
          <w:szCs w:val="31"/>
          <w:lang w:val="en-US" w:eastAsia="zh-CN" w:bidi="ar"/>
        </w:rPr>
      </w:pPr>
      <w:r>
        <w:rPr>
          <w:rFonts w:hint="eastAsia" w:ascii="宋体" w:hAnsi="宋体" w:eastAsia="黑体" w:cs="宋体"/>
          <w:color w:val="FF0000"/>
          <w:sz w:val="44"/>
          <w:szCs w:val="40"/>
          <w:lang w:val="en-US" w:eastAsia="zh-CN"/>
        </w:rPr>
        <w:t>幼儿园环境创设虚拟仿真实验</w:t>
      </w:r>
    </w:p>
    <w:p>
      <w:pPr>
        <w:widowControl/>
        <w:ind w:firstLine="2880" w:firstLineChars="900"/>
        <w:rPr>
          <w:rFonts w:ascii="宋体" w:hAnsi="宋体" w:cs="宋体"/>
          <w:color w:val="000000"/>
          <w:kern w:val="0"/>
          <w:sz w:val="32"/>
          <w:szCs w:val="32"/>
          <w:lang w:bidi="ar"/>
        </w:rPr>
      </w:pPr>
    </w:p>
    <w:p>
      <w:pPr>
        <w:widowControl/>
        <w:ind w:firstLine="2880" w:firstLineChars="900"/>
        <w:rPr>
          <w:rFonts w:ascii="宋体" w:hAnsi="宋体" w:cs="宋体"/>
          <w:color w:val="000000"/>
          <w:kern w:val="0"/>
          <w:sz w:val="32"/>
          <w:szCs w:val="32"/>
          <w:lang w:bidi="ar"/>
        </w:rPr>
      </w:pPr>
    </w:p>
    <w:p>
      <w:pPr>
        <w:widowControl/>
        <w:ind w:firstLine="2880" w:firstLineChars="900"/>
        <w:rPr>
          <w:rFonts w:ascii="宋体" w:hAnsi="宋体" w:cs="宋体"/>
          <w:color w:val="000000"/>
          <w:kern w:val="0"/>
          <w:sz w:val="32"/>
          <w:szCs w:val="32"/>
          <w:lang w:bidi="ar"/>
        </w:rPr>
      </w:pPr>
    </w:p>
    <w:p>
      <w:pPr>
        <w:widowControl/>
        <w:ind w:firstLine="2880" w:firstLineChars="900"/>
        <w:rPr>
          <w:rFonts w:ascii="宋体" w:hAnsi="宋体" w:cs="宋体"/>
          <w:color w:val="000000"/>
          <w:kern w:val="0"/>
          <w:sz w:val="32"/>
          <w:szCs w:val="32"/>
          <w:lang w:bidi="ar"/>
        </w:rPr>
      </w:pPr>
    </w:p>
    <w:p>
      <w:pPr>
        <w:widowControl/>
        <w:ind w:firstLine="2880" w:firstLineChars="900"/>
        <w:rPr>
          <w:rFonts w:ascii="宋体" w:hAnsi="宋体" w:cs="宋体"/>
          <w:color w:val="000000"/>
          <w:kern w:val="0"/>
          <w:sz w:val="32"/>
          <w:szCs w:val="32"/>
          <w:lang w:bidi="ar"/>
        </w:rPr>
      </w:pPr>
      <w:r>
        <w:rPr>
          <w:rFonts w:hint="eastAsia" w:ascii="宋体" w:hAnsi="宋体" w:cs="宋体"/>
          <w:color w:val="000000"/>
          <w:kern w:val="0"/>
          <w:sz w:val="32"/>
          <w:szCs w:val="32"/>
          <w:lang w:bidi="ar"/>
        </w:rPr>
        <w:t>课程负责人：</w:t>
      </w:r>
      <w:r>
        <w:rPr>
          <w:rFonts w:hint="eastAsia" w:ascii="宋体" w:hAnsi="宋体" w:cs="宋体"/>
          <w:color w:val="000000"/>
          <w:kern w:val="0"/>
          <w:sz w:val="32"/>
          <w:szCs w:val="32"/>
          <w:lang w:val="en-US" w:eastAsia="zh-CN" w:bidi="ar"/>
        </w:rPr>
        <w:t>陈优</w:t>
      </w:r>
      <w:r>
        <w:rPr>
          <w:rFonts w:hint="eastAsia" w:ascii="宋体" w:hAnsi="宋体" w:cs="宋体"/>
          <w:color w:val="000000"/>
          <w:kern w:val="0"/>
          <w:sz w:val="32"/>
          <w:szCs w:val="32"/>
          <w:lang w:bidi="ar"/>
        </w:rPr>
        <w:t xml:space="preserve"> </w:t>
      </w:r>
    </w:p>
    <w:p>
      <w:pPr>
        <w:widowControl/>
        <w:ind w:firstLine="640"/>
        <w:jc w:val="center"/>
        <w:rPr>
          <w:rFonts w:hint="default" w:ascii="宋体" w:hAnsi="宋体" w:eastAsia="宋体" w:cs="宋体"/>
          <w:color w:val="000000"/>
          <w:kern w:val="0"/>
          <w:sz w:val="32"/>
          <w:szCs w:val="32"/>
          <w:lang w:val="en-US" w:eastAsia="zh-CN" w:bidi="ar"/>
        </w:rPr>
      </w:pPr>
      <w:r>
        <w:rPr>
          <w:rFonts w:hint="eastAsia" w:ascii="宋体" w:hAnsi="宋体" w:cs="宋体"/>
          <w:color w:val="000000"/>
          <w:kern w:val="0"/>
          <w:sz w:val="32"/>
          <w:szCs w:val="32"/>
          <w:lang w:bidi="ar"/>
        </w:rPr>
        <w:t xml:space="preserve">联系电话: </w:t>
      </w:r>
      <w:r>
        <w:rPr>
          <w:rFonts w:hint="eastAsia" w:ascii="宋体" w:hAnsi="宋体" w:cs="宋体"/>
          <w:color w:val="000000"/>
          <w:kern w:val="0"/>
          <w:sz w:val="32"/>
          <w:szCs w:val="32"/>
          <w:lang w:val="en-US" w:eastAsia="zh-CN" w:bidi="ar"/>
        </w:rPr>
        <w:t>15723403789</w:t>
      </w:r>
    </w:p>
    <w:p>
      <w:pPr>
        <w:widowControl/>
        <w:ind w:firstLine="3200" w:firstLineChars="1000"/>
        <w:rPr>
          <w:color w:val="000000" w:themeColor="text1"/>
          <w14:textFill>
            <w14:solidFill>
              <w14:schemeClr w14:val="tx1"/>
            </w14:solidFill>
          </w14:textFill>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r>
        <w:rPr>
          <w:rFonts w:hint="eastAsia" w:ascii="宋体" w:hAnsi="宋体" w:cs="宋体"/>
          <w:color w:val="000000" w:themeColor="text1"/>
          <w:kern w:val="0"/>
          <w:sz w:val="32"/>
          <w:szCs w:val="32"/>
          <w:lang w:bidi="ar"/>
          <w14:textFill>
            <w14:solidFill>
              <w14:schemeClr w14:val="tx1"/>
            </w14:solidFill>
          </w14:textFill>
        </w:rPr>
        <w:t>二零二二年</w:t>
      </w:r>
      <w:r>
        <w:rPr>
          <w:rFonts w:hint="eastAsia" w:ascii="宋体" w:hAnsi="宋体" w:cs="宋体"/>
          <w:color w:val="000000" w:themeColor="text1"/>
          <w:kern w:val="0"/>
          <w:sz w:val="32"/>
          <w:szCs w:val="32"/>
          <w:lang w:val="en-US" w:eastAsia="zh-CN" w:bidi="ar"/>
          <w14:textFill>
            <w14:solidFill>
              <w14:schemeClr w14:val="tx1"/>
            </w14:solidFill>
          </w14:textFill>
        </w:rPr>
        <w:t>六</w:t>
      </w:r>
      <w:r>
        <w:rPr>
          <w:rFonts w:hint="eastAsia" w:ascii="宋体" w:hAnsi="宋体" w:cs="宋体"/>
          <w:color w:val="000000" w:themeColor="text1"/>
          <w:kern w:val="0"/>
          <w:sz w:val="32"/>
          <w:szCs w:val="32"/>
          <w:lang w:bidi="ar"/>
          <w14:textFill>
            <w14:solidFill>
              <w14:schemeClr w14:val="tx1"/>
            </w14:solidFill>
          </w14:textFill>
        </w:rPr>
        <w:t xml:space="preserve">月                                                                                                                                                                                                                                       </w:t>
      </w:r>
    </w:p>
    <w:p>
      <w:pPr>
        <w:spacing w:line="240" w:lineRule="auto"/>
        <w:ind w:firstLine="0" w:firstLineChars="0"/>
        <w:jc w:val="center"/>
        <w:rPr>
          <w:rFonts w:ascii="宋体" w:hAnsi="宋体" w:cs="宋体"/>
          <w:sz w:val="28"/>
          <w:szCs w:val="28"/>
        </w:rPr>
      </w:pPr>
    </w:p>
    <w:p>
      <w:pPr>
        <w:pStyle w:val="10"/>
        <w:ind w:firstLine="0" w:firstLineChars="0"/>
        <w:rPr>
          <w:rFonts w:asciiTheme="minorEastAsia" w:hAnsiTheme="minorEastAsia" w:eastAsiaTheme="minorEastAsia" w:cstheme="minorEastAsia"/>
          <w:sz w:val="24"/>
          <w:szCs w:val="24"/>
        </w:rPr>
      </w:pPr>
    </w:p>
    <w:sdt>
      <w:sdtPr>
        <w:rPr>
          <w:rFonts w:ascii="宋体" w:hAnsi="宋体" w:eastAsia="宋体" w:cs="Times New Roman"/>
          <w:kern w:val="2"/>
          <w:sz w:val="21"/>
          <w:szCs w:val="22"/>
          <w:lang w:val="en-US" w:eastAsia="zh-CN" w:bidi="ar-SA"/>
        </w:rPr>
        <w:id w:val="147451914"/>
        <w15:color w:val="DBDBDB"/>
        <w:docPartObj>
          <w:docPartGallery w:val="Table of Contents"/>
          <w:docPartUnique/>
        </w:docPartObj>
      </w:sdtPr>
      <w:sdtEndPr>
        <w:rPr>
          <w:rFonts w:hint="eastAsia" w:asciiTheme="minorEastAsia" w:hAnsiTheme="minorEastAsia" w:eastAsiaTheme="minorEastAsia" w:cstheme="minorEastAsia"/>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40"/>
              <w:szCs w:val="36"/>
            </w:rPr>
          </w:pPr>
          <w:r>
            <w:rPr>
              <w:rFonts w:ascii="宋体" w:hAnsi="宋体" w:eastAsia="宋体"/>
              <w:sz w:val="32"/>
              <w:szCs w:val="36"/>
            </w:rPr>
            <w:t>目录</w:t>
          </w:r>
        </w:p>
        <w:p>
          <w:pPr>
            <w:pStyle w:val="2"/>
            <w:tabs>
              <w:tab w:val="right" w:leader="dot" w:pos="8306"/>
            </w:tabs>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_Toc4316 </w:instrText>
          </w:r>
          <w:r>
            <w:rPr>
              <w:rFonts w:hint="eastAsia" w:asciiTheme="minorEastAsia" w:hAnsiTheme="minorEastAsia" w:eastAsiaTheme="minorEastAsia" w:cstheme="minorEastAsia"/>
              <w:szCs w:val="24"/>
            </w:rPr>
            <w:fldChar w:fldCharType="separate"/>
          </w:r>
          <w:r>
            <w:rPr>
              <w:rFonts w:hint="eastAsia"/>
            </w:rPr>
            <w:t>一、 虚拟仿真建设背景</w:t>
          </w:r>
          <w:r>
            <w:tab/>
          </w:r>
          <w:r>
            <w:fldChar w:fldCharType="begin"/>
          </w:r>
          <w:r>
            <w:instrText xml:space="preserve"> PAGEREF _Toc4316 \h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_Toc28696 </w:instrText>
          </w:r>
          <w:r>
            <w:rPr>
              <w:rFonts w:hint="eastAsia" w:asciiTheme="minorEastAsia" w:hAnsiTheme="minorEastAsia" w:eastAsiaTheme="minorEastAsia" w:cstheme="minorEastAsia"/>
              <w:szCs w:val="24"/>
            </w:rPr>
            <w:fldChar w:fldCharType="separate"/>
          </w:r>
          <w:r>
            <w:rPr>
              <w:rFonts w:hint="default"/>
            </w:rPr>
            <w:t xml:space="preserve">1. </w:t>
          </w:r>
          <w:r>
            <w:rPr>
              <w:rFonts w:hint="eastAsia"/>
            </w:rPr>
            <w:t>政策文件</w:t>
          </w:r>
          <w:r>
            <w:tab/>
          </w:r>
          <w:r>
            <w:fldChar w:fldCharType="begin"/>
          </w:r>
          <w:r>
            <w:instrText xml:space="preserve"> PAGEREF _Toc28696 \h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_Toc32476 </w:instrText>
          </w:r>
          <w:r>
            <w:rPr>
              <w:rFonts w:hint="eastAsia" w:asciiTheme="minorEastAsia" w:hAnsiTheme="minorEastAsia" w:eastAsiaTheme="minorEastAsia" w:cstheme="minorEastAsia"/>
              <w:szCs w:val="24"/>
            </w:rPr>
            <w:fldChar w:fldCharType="separate"/>
          </w:r>
          <w:r>
            <w:rPr>
              <w:rFonts w:hint="default"/>
            </w:rPr>
            <w:t xml:space="preserve">2. </w:t>
          </w:r>
          <w:r>
            <w:rPr>
              <w:rFonts w:hint="eastAsia"/>
            </w:rPr>
            <w:t>技术发展</w:t>
          </w:r>
          <w:r>
            <w:tab/>
          </w:r>
          <w:r>
            <w:fldChar w:fldCharType="begin"/>
          </w:r>
          <w:r>
            <w:instrText xml:space="preserve"> PAGEREF _Toc32476 \h </w:instrText>
          </w:r>
          <w:r>
            <w:fldChar w:fldCharType="separate"/>
          </w:r>
          <w:r>
            <w:t>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_Toc22235 </w:instrText>
          </w:r>
          <w:r>
            <w:rPr>
              <w:rFonts w:hint="eastAsia" w:asciiTheme="minorEastAsia" w:hAnsiTheme="minorEastAsia" w:eastAsiaTheme="minorEastAsia" w:cstheme="minorEastAsia"/>
              <w:szCs w:val="24"/>
            </w:rPr>
            <w:fldChar w:fldCharType="separate"/>
          </w:r>
          <w:r>
            <w:rPr>
              <w:rFonts w:hint="default"/>
            </w:rPr>
            <w:t xml:space="preserve">3. </w:t>
          </w:r>
          <w:r>
            <w:rPr>
              <w:rFonts w:hint="eastAsia"/>
            </w:rPr>
            <w:t>学科建设</w:t>
          </w:r>
          <w:r>
            <w:tab/>
          </w:r>
          <w:r>
            <w:fldChar w:fldCharType="begin"/>
          </w:r>
          <w:r>
            <w:instrText xml:space="preserve"> PAGEREF _Toc22235 \h </w:instrText>
          </w:r>
          <w:r>
            <w:fldChar w:fldCharType="separate"/>
          </w:r>
          <w:r>
            <w:t>2</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_Toc25834 </w:instrText>
          </w:r>
          <w:r>
            <w:rPr>
              <w:rFonts w:hint="eastAsia" w:asciiTheme="minorEastAsia" w:hAnsiTheme="minorEastAsia" w:eastAsiaTheme="minorEastAsia" w:cstheme="minorEastAsia"/>
              <w:szCs w:val="24"/>
            </w:rPr>
            <w:fldChar w:fldCharType="separate"/>
          </w:r>
          <w:r>
            <w:rPr>
              <w:rFonts w:hint="eastAsia"/>
            </w:rPr>
            <w:t>二、 学校环境与建设现状</w:t>
          </w:r>
          <w:r>
            <w:tab/>
          </w:r>
          <w:r>
            <w:fldChar w:fldCharType="begin"/>
          </w:r>
          <w:r>
            <w:instrText xml:space="preserve"> PAGEREF _Toc25834 \h </w:instrText>
          </w:r>
          <w:r>
            <w:fldChar w:fldCharType="separate"/>
          </w:r>
          <w:r>
            <w:t>3</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_Toc20425 </w:instrText>
          </w:r>
          <w:r>
            <w:rPr>
              <w:rFonts w:hint="eastAsia" w:asciiTheme="minorEastAsia" w:hAnsiTheme="minorEastAsia" w:eastAsiaTheme="minorEastAsia" w:cstheme="minorEastAsia"/>
              <w:szCs w:val="24"/>
            </w:rPr>
            <w:fldChar w:fldCharType="separate"/>
          </w:r>
          <w:r>
            <w:t xml:space="preserve">1. </w:t>
          </w:r>
          <w:r>
            <w:rPr>
              <w:rFonts w:hint="eastAsia"/>
            </w:rPr>
            <w:t>学校环境</w:t>
          </w:r>
          <w:r>
            <w:tab/>
          </w:r>
          <w:r>
            <w:fldChar w:fldCharType="begin"/>
          </w:r>
          <w:r>
            <w:instrText xml:space="preserve"> PAGEREF _Toc20425 \h </w:instrText>
          </w:r>
          <w:r>
            <w:fldChar w:fldCharType="separate"/>
          </w:r>
          <w:r>
            <w:t>3</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_Toc2679 </w:instrText>
          </w:r>
          <w:r>
            <w:rPr>
              <w:rFonts w:hint="eastAsia" w:asciiTheme="minorEastAsia" w:hAnsiTheme="minorEastAsia" w:eastAsiaTheme="minorEastAsia" w:cstheme="minorEastAsia"/>
              <w:szCs w:val="24"/>
            </w:rPr>
            <w:fldChar w:fldCharType="separate"/>
          </w:r>
          <w:r>
            <w:t xml:space="preserve">2. </w:t>
          </w:r>
          <w:r>
            <w:rPr>
              <w:rFonts w:hint="eastAsia"/>
            </w:rPr>
            <w:t>课程建设现状</w:t>
          </w:r>
          <w:r>
            <w:tab/>
          </w:r>
          <w:r>
            <w:fldChar w:fldCharType="begin"/>
          </w:r>
          <w:r>
            <w:instrText xml:space="preserve"> PAGEREF _Toc2679 \h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7"/>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_Toc31033 </w:instrText>
          </w:r>
          <w:r>
            <w:rPr>
              <w:rFonts w:hint="eastAsia" w:asciiTheme="minorEastAsia" w:hAnsiTheme="minorEastAsia" w:eastAsiaTheme="minorEastAsia" w:cstheme="minorEastAsia"/>
              <w:szCs w:val="24"/>
            </w:rPr>
            <w:fldChar w:fldCharType="separate"/>
          </w:r>
          <w:r>
            <w:rPr>
              <w:rFonts w:hint="eastAsia"/>
            </w:rPr>
            <w:t>（1）实践教学的保障不足</w:t>
          </w:r>
          <w:r>
            <w:tab/>
          </w:r>
          <w:r>
            <w:fldChar w:fldCharType="begin"/>
          </w:r>
          <w:r>
            <w:instrText xml:space="preserve"> PAGEREF _Toc31033 \h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7"/>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_Toc24193 </w:instrText>
          </w:r>
          <w:r>
            <w:rPr>
              <w:rFonts w:hint="eastAsia" w:asciiTheme="minorEastAsia" w:hAnsiTheme="minorEastAsia" w:eastAsiaTheme="minorEastAsia" w:cstheme="minorEastAsia"/>
              <w:szCs w:val="24"/>
            </w:rPr>
            <w:fldChar w:fldCharType="separate"/>
          </w:r>
          <w:r>
            <w:rPr>
              <w:rFonts w:hint="eastAsia"/>
            </w:rPr>
            <w:t>（2）实践教学体系不完善</w:t>
          </w:r>
          <w:r>
            <w:tab/>
          </w:r>
          <w:r>
            <w:fldChar w:fldCharType="begin"/>
          </w:r>
          <w:r>
            <w:instrText xml:space="preserve"> PAGEREF _Toc24193 \h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7"/>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_Toc12330 </w:instrText>
          </w:r>
          <w:r>
            <w:rPr>
              <w:rFonts w:hint="eastAsia" w:asciiTheme="minorEastAsia" w:hAnsiTheme="minorEastAsia" w:eastAsiaTheme="minorEastAsia" w:cstheme="minorEastAsia"/>
              <w:szCs w:val="24"/>
            </w:rPr>
            <w:fldChar w:fldCharType="separate"/>
          </w:r>
          <w:r>
            <w:rPr>
              <w:rFonts w:hint="eastAsia"/>
            </w:rPr>
            <w:t>（3）实践教学组织实施不规范</w:t>
          </w:r>
          <w:r>
            <w:tab/>
          </w:r>
          <w:r>
            <w:fldChar w:fldCharType="begin"/>
          </w:r>
          <w:r>
            <w:instrText xml:space="preserve"> PAGEREF _Toc12330 \h </w:instrText>
          </w:r>
          <w:r>
            <w:fldChar w:fldCharType="separate"/>
          </w:r>
          <w:r>
            <w:t>4</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_Toc13341 </w:instrText>
          </w:r>
          <w:r>
            <w:rPr>
              <w:rFonts w:hint="eastAsia" w:asciiTheme="minorEastAsia" w:hAnsiTheme="minorEastAsia" w:eastAsiaTheme="minorEastAsia" w:cstheme="minorEastAsia"/>
              <w:szCs w:val="24"/>
            </w:rPr>
            <w:fldChar w:fldCharType="separate"/>
          </w:r>
          <w:r>
            <w:rPr>
              <w:rFonts w:hint="eastAsia"/>
            </w:rPr>
            <w:t>三、 建设的必要性</w:t>
          </w:r>
          <w:r>
            <w:tab/>
          </w:r>
          <w:r>
            <w:fldChar w:fldCharType="begin"/>
          </w:r>
          <w:r>
            <w:instrText xml:space="preserve"> PAGEREF _Toc13341 \h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_Toc1323 </w:instrText>
          </w:r>
          <w:r>
            <w:rPr>
              <w:rFonts w:hint="eastAsia" w:asciiTheme="minorEastAsia" w:hAnsiTheme="minorEastAsia" w:eastAsiaTheme="minorEastAsia" w:cstheme="minorEastAsia"/>
              <w:szCs w:val="24"/>
            </w:rPr>
            <w:fldChar w:fldCharType="separate"/>
          </w:r>
          <w:r>
            <w:rPr>
              <w:rFonts w:hint="default"/>
              <w:szCs w:val="28"/>
            </w:rPr>
            <w:t xml:space="preserve">1. </w:t>
          </w:r>
          <w:r>
            <w:t>教学角度</w:t>
          </w:r>
          <w:r>
            <w:tab/>
          </w:r>
          <w:r>
            <w:fldChar w:fldCharType="begin"/>
          </w:r>
          <w:r>
            <w:instrText xml:space="preserve"> PAGEREF _Toc1323 \h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_Toc25665 </w:instrText>
          </w:r>
          <w:r>
            <w:rPr>
              <w:rFonts w:hint="eastAsia" w:asciiTheme="minorEastAsia" w:hAnsiTheme="minorEastAsia" w:eastAsiaTheme="minorEastAsia" w:cstheme="minorEastAsia"/>
              <w:szCs w:val="24"/>
            </w:rPr>
            <w:fldChar w:fldCharType="separate"/>
          </w:r>
          <w:r>
            <w:rPr>
              <w:rFonts w:hint="default" w:cs="Times New Roman"/>
              <w:szCs w:val="28"/>
            </w:rPr>
            <w:t xml:space="preserve">2. </w:t>
          </w:r>
          <w:r>
            <w:t>实训角度</w:t>
          </w:r>
          <w:r>
            <w:tab/>
          </w:r>
          <w:r>
            <w:fldChar w:fldCharType="begin"/>
          </w:r>
          <w:r>
            <w:instrText xml:space="preserve"> PAGEREF _Toc25665 \h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_Toc21870 </w:instrText>
          </w:r>
          <w:r>
            <w:rPr>
              <w:rFonts w:hint="eastAsia" w:asciiTheme="minorEastAsia" w:hAnsiTheme="minorEastAsia" w:eastAsiaTheme="minorEastAsia" w:cstheme="minorEastAsia"/>
              <w:szCs w:val="24"/>
            </w:rPr>
            <w:fldChar w:fldCharType="separate"/>
          </w:r>
          <w:r>
            <w:rPr>
              <w:rFonts w:hint="eastAsia"/>
              <w:lang w:val="en-US" w:eastAsia="zh-CN"/>
            </w:rPr>
            <w:t>3.社会角度</w:t>
          </w:r>
          <w:r>
            <w:tab/>
          </w:r>
          <w:r>
            <w:fldChar w:fldCharType="begin"/>
          </w:r>
          <w:r>
            <w:instrText xml:space="preserve"> PAGEREF _Toc21870 \h </w:instrText>
          </w:r>
          <w:r>
            <w:fldChar w:fldCharType="separate"/>
          </w:r>
          <w:r>
            <w:t>5</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_Toc1796 </w:instrText>
          </w:r>
          <w:r>
            <w:rPr>
              <w:rFonts w:hint="eastAsia" w:asciiTheme="minorEastAsia" w:hAnsiTheme="minorEastAsia" w:eastAsiaTheme="minorEastAsia" w:cstheme="minorEastAsia"/>
              <w:szCs w:val="24"/>
            </w:rPr>
            <w:fldChar w:fldCharType="separate"/>
          </w:r>
          <w:r>
            <w:rPr>
              <w:rFonts w:hint="eastAsia"/>
            </w:rPr>
            <w:t>四、 市场整体情况</w:t>
          </w:r>
          <w:r>
            <w:tab/>
          </w:r>
          <w:r>
            <w:fldChar w:fldCharType="begin"/>
          </w:r>
          <w:r>
            <w:instrText xml:space="preserve"> PAGEREF _Toc1796 \h </w:instrText>
          </w:r>
          <w:r>
            <w:fldChar w:fldCharType="separate"/>
          </w:r>
          <w:r>
            <w:t>7</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_Toc4512 </w:instrText>
          </w:r>
          <w:r>
            <w:rPr>
              <w:rFonts w:hint="eastAsia" w:asciiTheme="minorEastAsia" w:hAnsiTheme="minorEastAsia" w:eastAsiaTheme="minorEastAsia" w:cstheme="minorEastAsia"/>
              <w:szCs w:val="24"/>
            </w:rPr>
            <w:fldChar w:fldCharType="separate"/>
          </w:r>
          <w:r>
            <w:rPr>
              <w:rFonts w:hint="eastAsia"/>
            </w:rPr>
            <w:t>五、 建设内容</w:t>
          </w:r>
          <w:r>
            <w:tab/>
          </w:r>
          <w:r>
            <w:fldChar w:fldCharType="begin"/>
          </w:r>
          <w:r>
            <w:instrText xml:space="preserve"> PAGEREF _Toc4512 \h </w:instrText>
          </w:r>
          <w:r>
            <w:fldChar w:fldCharType="separate"/>
          </w:r>
          <w:r>
            <w:t>8</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_Toc18342 </w:instrText>
          </w:r>
          <w:r>
            <w:rPr>
              <w:rFonts w:hint="eastAsia" w:asciiTheme="minorEastAsia" w:hAnsiTheme="minorEastAsia" w:eastAsiaTheme="minorEastAsia" w:cstheme="minorEastAsia"/>
              <w:szCs w:val="24"/>
            </w:rPr>
            <w:fldChar w:fldCharType="separate"/>
          </w:r>
          <w:r>
            <w:rPr>
              <w:rFonts w:hint="eastAsia"/>
              <w:lang w:val="en-US" w:eastAsia="zh-CN"/>
            </w:rPr>
            <w:t>六、 实验方案</w:t>
          </w:r>
          <w:r>
            <w:tab/>
          </w:r>
          <w:r>
            <w:fldChar w:fldCharType="begin"/>
          </w:r>
          <w:r>
            <w:instrText xml:space="preserve"> PAGEREF _Toc18342 \h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_Toc18481 </w:instrText>
          </w:r>
          <w:r>
            <w:rPr>
              <w:rFonts w:hint="eastAsia" w:asciiTheme="minorEastAsia" w:hAnsiTheme="minorEastAsia" w:eastAsiaTheme="minorEastAsia" w:cstheme="minorEastAsia"/>
              <w:szCs w:val="24"/>
            </w:rPr>
            <w:fldChar w:fldCharType="separate"/>
          </w:r>
          <w:r>
            <w:rPr>
              <w:rFonts w:hint="default"/>
              <w:lang w:val="en-US" w:eastAsia="zh-CN"/>
            </w:rPr>
            <w:t xml:space="preserve">1. </w:t>
          </w:r>
          <w:r>
            <w:rPr>
              <w:rFonts w:hint="eastAsia"/>
              <w:lang w:val="en-US" w:eastAsia="zh-CN"/>
            </w:rPr>
            <w:t>实验原理</w:t>
          </w:r>
          <w:r>
            <w:tab/>
          </w:r>
          <w:r>
            <w:fldChar w:fldCharType="begin"/>
          </w:r>
          <w:r>
            <w:instrText xml:space="preserve"> PAGEREF _Toc18481 \h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_Toc12839 </w:instrText>
          </w:r>
          <w:r>
            <w:rPr>
              <w:rFonts w:hint="eastAsia" w:asciiTheme="minorEastAsia" w:hAnsiTheme="minorEastAsia" w:eastAsiaTheme="minorEastAsia" w:cstheme="minorEastAsia"/>
              <w:szCs w:val="24"/>
            </w:rPr>
            <w:fldChar w:fldCharType="separate"/>
          </w:r>
          <w:r>
            <w:rPr>
              <w:rFonts w:hint="default"/>
              <w:lang w:val="en-US" w:eastAsia="zh-CN"/>
            </w:rPr>
            <w:t xml:space="preserve">2. </w:t>
          </w:r>
          <w:r>
            <w:rPr>
              <w:rFonts w:hint="eastAsia"/>
              <w:lang w:val="en-US" w:eastAsia="zh-CN"/>
            </w:rPr>
            <w:t>实验原理</w:t>
          </w:r>
          <w:r>
            <w:tab/>
          </w:r>
          <w:r>
            <w:fldChar w:fldCharType="begin"/>
          </w:r>
          <w:r>
            <w:instrText xml:space="preserve"> PAGEREF _Toc12839 \h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7"/>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_Toc30517 </w:instrText>
          </w:r>
          <w:r>
            <w:rPr>
              <w:rFonts w:hint="eastAsia" w:asciiTheme="minorEastAsia" w:hAnsiTheme="minorEastAsia" w:eastAsiaTheme="minorEastAsia" w:cstheme="minorEastAsia"/>
              <w:szCs w:val="24"/>
            </w:rPr>
            <w:fldChar w:fldCharType="separate"/>
          </w:r>
          <w:r>
            <w:rPr>
              <w:rFonts w:hint="default"/>
              <w:lang w:val="en-US" w:eastAsia="zh-CN"/>
            </w:rPr>
            <w:t xml:space="preserve">2.1 </w:t>
          </w:r>
          <w:r>
            <w:rPr>
              <w:rFonts w:hint="eastAsia"/>
              <w:lang w:val="en-US" w:eastAsia="zh-CN"/>
            </w:rPr>
            <w:t>幼儿园区角概述</w:t>
          </w:r>
          <w:r>
            <w:tab/>
          </w:r>
          <w:r>
            <w:fldChar w:fldCharType="begin"/>
          </w:r>
          <w:r>
            <w:instrText xml:space="preserve"> PAGEREF _Toc30517 \h </w:instrText>
          </w:r>
          <w:r>
            <w:fldChar w:fldCharType="separate"/>
          </w:r>
          <w:r>
            <w:t>9</w:t>
          </w:r>
          <w:r>
            <w:fldChar w:fldCharType="end"/>
          </w:r>
          <w:r>
            <w:rPr>
              <w:rFonts w:hint="eastAsia" w:asciiTheme="minorEastAsia" w:hAnsiTheme="minorEastAsia" w:eastAsiaTheme="minorEastAsia" w:cstheme="minorEastAsia"/>
              <w:szCs w:val="24"/>
            </w:rPr>
            <w:fldChar w:fldCharType="end"/>
          </w:r>
        </w:p>
        <w:p>
          <w:pPr>
            <w:pStyle w:val="7"/>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_Toc3629 </w:instrText>
          </w:r>
          <w:r>
            <w:rPr>
              <w:rFonts w:hint="eastAsia" w:asciiTheme="minorEastAsia" w:hAnsiTheme="minorEastAsia" w:eastAsiaTheme="minorEastAsia" w:cstheme="minorEastAsia"/>
              <w:szCs w:val="24"/>
            </w:rPr>
            <w:fldChar w:fldCharType="separate"/>
          </w:r>
          <w:r>
            <w:rPr>
              <w:rFonts w:hint="default"/>
              <w:lang w:val="en-US" w:eastAsia="zh-CN"/>
            </w:rPr>
            <w:t xml:space="preserve">2.2 </w:t>
          </w:r>
          <w:r>
            <w:rPr>
              <w:rFonts w:hint="eastAsia"/>
              <w:lang w:val="en-US" w:eastAsia="zh-CN"/>
            </w:rPr>
            <w:t>幼儿园区角的空间设计</w:t>
          </w:r>
          <w:r>
            <w:tab/>
          </w:r>
          <w:r>
            <w:fldChar w:fldCharType="begin"/>
          </w:r>
          <w:r>
            <w:instrText xml:space="preserve"> PAGEREF _Toc3629 \h </w:instrText>
          </w:r>
          <w:r>
            <w:fldChar w:fldCharType="separate"/>
          </w:r>
          <w:r>
            <w:t>10</w:t>
          </w:r>
          <w:r>
            <w:fldChar w:fldCharType="end"/>
          </w:r>
          <w:r>
            <w:rPr>
              <w:rFonts w:hint="eastAsia" w:asciiTheme="minorEastAsia" w:hAnsiTheme="minorEastAsia" w:eastAsiaTheme="minorEastAsia" w:cstheme="minorEastAsia"/>
              <w:szCs w:val="24"/>
            </w:rPr>
            <w:fldChar w:fldCharType="end"/>
          </w:r>
        </w:p>
        <w:p>
          <w:pPr>
            <w:pStyle w:val="7"/>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_Toc2571 </w:instrText>
          </w:r>
          <w:r>
            <w:rPr>
              <w:rFonts w:hint="eastAsia" w:asciiTheme="minorEastAsia" w:hAnsiTheme="minorEastAsia" w:eastAsiaTheme="minorEastAsia" w:cstheme="minorEastAsia"/>
              <w:szCs w:val="24"/>
            </w:rPr>
            <w:fldChar w:fldCharType="separate"/>
          </w:r>
          <w:r>
            <w:rPr>
              <w:rFonts w:hint="default"/>
              <w:lang w:val="en-US" w:eastAsia="zh-CN"/>
            </w:rPr>
            <w:t xml:space="preserve">2.3 </w:t>
          </w:r>
          <w:r>
            <w:rPr>
              <w:rFonts w:hint="eastAsia"/>
              <w:lang w:val="en-US" w:eastAsia="zh-CN"/>
            </w:rPr>
            <w:t>幼儿园区角的设计与指导</w:t>
          </w:r>
          <w:r>
            <w:tab/>
          </w:r>
          <w:r>
            <w:fldChar w:fldCharType="begin"/>
          </w:r>
          <w:r>
            <w:instrText xml:space="preserve"> PAGEREF _Toc2571 \h </w:instrText>
          </w:r>
          <w:r>
            <w:fldChar w:fldCharType="separate"/>
          </w:r>
          <w:r>
            <w:t>11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_Toc14990 </w:instrText>
          </w:r>
          <w:r>
            <w:rPr>
              <w:rFonts w:hint="eastAsia" w:asciiTheme="minorEastAsia" w:hAnsiTheme="minorEastAsia" w:eastAsiaTheme="minorEastAsia" w:cstheme="minorEastAsia"/>
              <w:szCs w:val="24"/>
            </w:rPr>
            <w:fldChar w:fldCharType="separate"/>
          </w:r>
          <w:r>
            <w:rPr>
              <w:rFonts w:hint="default"/>
              <w:lang w:val="en-US" w:eastAsia="zh-CN"/>
            </w:rPr>
            <w:t xml:space="preserve">3. </w:t>
          </w:r>
          <w:r>
            <w:rPr>
              <w:rFonts w:hint="eastAsia"/>
              <w:lang w:val="en-US" w:eastAsia="zh-CN"/>
            </w:rPr>
            <w:t>操作步骤</w:t>
          </w:r>
          <w:r>
            <w:tab/>
          </w:r>
          <w:r>
            <w:fldChar w:fldCharType="begin"/>
          </w:r>
          <w:r>
            <w:instrText xml:space="preserve"> PAGEREF _Toc14990 \h </w:instrText>
          </w:r>
          <w:r>
            <w:fldChar w:fldCharType="separate"/>
          </w:r>
          <w:r>
            <w:t>12</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_Toc18787 </w:instrText>
          </w:r>
          <w:r>
            <w:rPr>
              <w:rFonts w:hint="eastAsia" w:asciiTheme="minorEastAsia" w:hAnsiTheme="minorEastAsia" w:eastAsiaTheme="minorEastAsia" w:cstheme="minorEastAsia"/>
              <w:szCs w:val="24"/>
            </w:rPr>
            <w:fldChar w:fldCharType="separate"/>
          </w:r>
          <w:r>
            <w:rPr>
              <w:rFonts w:hint="eastAsia"/>
              <w:lang w:val="en-US" w:eastAsia="zh-CN"/>
            </w:rPr>
            <w:t>七、模型统计</w:t>
          </w:r>
          <w:r>
            <w:tab/>
          </w:r>
          <w:r>
            <w:fldChar w:fldCharType="begin"/>
          </w:r>
          <w:r>
            <w:instrText xml:space="preserve"> PAGEREF _Toc18787 \h </w:instrText>
          </w:r>
          <w:r>
            <w:fldChar w:fldCharType="separate"/>
          </w:r>
          <w:r>
            <w:t>13</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_Toc21945 </w:instrText>
          </w:r>
          <w:r>
            <w:rPr>
              <w:rFonts w:hint="eastAsia" w:asciiTheme="minorEastAsia" w:hAnsiTheme="minorEastAsia" w:eastAsiaTheme="minorEastAsia" w:cstheme="minorEastAsia"/>
              <w:szCs w:val="24"/>
            </w:rPr>
            <w:fldChar w:fldCharType="separate"/>
          </w:r>
          <w:r>
            <w:rPr>
              <w:rFonts w:hint="eastAsia"/>
            </w:rPr>
            <w:t>八、场景模型明细</w:t>
          </w:r>
          <w:r>
            <w:tab/>
          </w:r>
          <w:r>
            <w:fldChar w:fldCharType="begin"/>
          </w:r>
          <w:r>
            <w:instrText xml:space="preserve"> PAGEREF _Toc21945 \h </w:instrText>
          </w:r>
          <w:r>
            <w:fldChar w:fldCharType="separate"/>
          </w:r>
          <w:r>
            <w:t>14</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_Toc30820 </w:instrText>
          </w:r>
          <w:r>
            <w:rPr>
              <w:rFonts w:hint="eastAsia" w:asciiTheme="minorEastAsia" w:hAnsiTheme="minorEastAsia" w:eastAsiaTheme="minorEastAsia" w:cstheme="minorEastAsia"/>
              <w:szCs w:val="24"/>
            </w:rPr>
            <w:fldChar w:fldCharType="separate"/>
          </w:r>
          <w:r>
            <w:rPr>
              <w:rFonts w:hint="eastAsia"/>
            </w:rPr>
            <w:t>九、实验脚</w:t>
          </w:r>
          <w:r>
            <w:rPr>
              <w:rFonts w:hint="eastAsia"/>
              <w:lang w:val="en-US" w:eastAsia="zh-CN"/>
            </w:rPr>
            <w:t>本</w:t>
          </w:r>
          <w:r>
            <w:tab/>
          </w:r>
          <w:r>
            <w:fldChar w:fldCharType="begin"/>
          </w:r>
          <w:r>
            <w:instrText xml:space="preserve"> PAGEREF _Toc30820 \h </w:instrText>
          </w:r>
          <w:r>
            <w:fldChar w:fldCharType="separate"/>
          </w:r>
          <w:r>
            <w:t>15</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_Toc8911 </w:instrText>
          </w:r>
          <w:r>
            <w:rPr>
              <w:rFonts w:hint="eastAsia" w:asciiTheme="minorEastAsia" w:hAnsiTheme="minorEastAsia" w:eastAsiaTheme="minorEastAsia" w:cstheme="minorEastAsia"/>
              <w:szCs w:val="24"/>
            </w:rPr>
            <w:fldChar w:fldCharType="separate"/>
          </w:r>
          <w:r>
            <w:rPr>
              <w:rFonts w:hint="eastAsia"/>
            </w:rPr>
            <w:t>十、报价明细表</w:t>
          </w:r>
          <w:r>
            <w:tab/>
          </w:r>
          <w:r>
            <w:fldChar w:fldCharType="begin"/>
          </w:r>
          <w:r>
            <w:instrText xml:space="preserve"> PAGEREF _Toc8911 \h </w:instrText>
          </w:r>
          <w:r>
            <w:fldChar w:fldCharType="separate"/>
          </w:r>
          <w:r>
            <w:t>16</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_Toc22580 </w:instrText>
          </w:r>
          <w:r>
            <w:rPr>
              <w:rFonts w:hint="eastAsia" w:asciiTheme="minorEastAsia" w:hAnsiTheme="minorEastAsia" w:eastAsiaTheme="minorEastAsia" w:cstheme="minorEastAsia"/>
              <w:szCs w:val="24"/>
            </w:rPr>
            <w:fldChar w:fldCharType="separate"/>
          </w:r>
          <w:r>
            <w:rPr>
              <w:rFonts w:hint="eastAsia"/>
            </w:rPr>
            <w:t>十一、建设成果</w:t>
          </w:r>
          <w:r>
            <w:tab/>
          </w:r>
          <w:r>
            <w:fldChar w:fldCharType="begin"/>
          </w:r>
          <w:r>
            <w:instrText xml:space="preserve"> PAGEREF _Toc22580 \h </w:instrText>
          </w:r>
          <w:r>
            <w:fldChar w:fldCharType="separate"/>
          </w:r>
          <w:r>
            <w:t>19</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_Toc20874 </w:instrText>
          </w:r>
          <w:r>
            <w:rPr>
              <w:rFonts w:hint="eastAsia" w:asciiTheme="minorEastAsia" w:hAnsiTheme="minorEastAsia" w:eastAsiaTheme="minorEastAsia" w:cstheme="minorEastAsia"/>
              <w:szCs w:val="24"/>
            </w:rPr>
            <w:fldChar w:fldCharType="separate"/>
          </w:r>
          <w:r>
            <w:rPr>
              <w:rFonts w:hint="default"/>
            </w:rPr>
            <w:t xml:space="preserve">1. </w:t>
          </w:r>
          <w:r>
            <w:rPr>
              <w:rFonts w:hint="eastAsia"/>
            </w:rPr>
            <w:t>教学应用方面</w:t>
          </w:r>
          <w:r>
            <w:tab/>
          </w:r>
          <w:r>
            <w:fldChar w:fldCharType="begin"/>
          </w:r>
          <w:r>
            <w:instrText xml:space="preserve"> PAGEREF _Toc20874 \h </w:instrText>
          </w:r>
          <w:r>
            <w:fldChar w:fldCharType="separate"/>
          </w:r>
          <w:r>
            <w:t>19</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_Toc11221 </w:instrText>
          </w:r>
          <w:r>
            <w:rPr>
              <w:rFonts w:hint="eastAsia" w:asciiTheme="minorEastAsia" w:hAnsiTheme="minorEastAsia" w:eastAsiaTheme="minorEastAsia" w:cstheme="minorEastAsia"/>
              <w:szCs w:val="24"/>
            </w:rPr>
            <w:fldChar w:fldCharType="separate"/>
          </w:r>
          <w:r>
            <w:rPr>
              <w:rFonts w:hint="default"/>
              <w:lang w:val="en-US" w:eastAsia="zh-CN"/>
            </w:rPr>
            <w:t xml:space="preserve">2. </w:t>
          </w:r>
          <w:r>
            <w:rPr>
              <w:rFonts w:hint="eastAsia"/>
              <w:lang w:val="en-US" w:eastAsia="zh-CN"/>
            </w:rPr>
            <w:t>师资建设方面</w:t>
          </w:r>
          <w:r>
            <w:tab/>
          </w:r>
          <w:r>
            <w:fldChar w:fldCharType="begin"/>
          </w:r>
          <w:r>
            <w:instrText xml:space="preserve"> PAGEREF _Toc11221 \h </w:instrText>
          </w:r>
          <w:r>
            <w:fldChar w:fldCharType="separate"/>
          </w:r>
          <w:r>
            <w:t>19</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_Toc29891 </w:instrText>
          </w:r>
          <w:r>
            <w:rPr>
              <w:rFonts w:hint="eastAsia" w:asciiTheme="minorEastAsia" w:hAnsiTheme="minorEastAsia" w:eastAsiaTheme="minorEastAsia" w:cstheme="minorEastAsia"/>
              <w:szCs w:val="24"/>
            </w:rPr>
            <w:fldChar w:fldCharType="separate"/>
          </w:r>
          <w:r>
            <w:rPr>
              <w:rFonts w:hint="default"/>
            </w:rPr>
            <w:t xml:space="preserve">3. </w:t>
          </w:r>
          <w:r>
            <w:rPr>
              <w:rFonts w:hint="eastAsia"/>
            </w:rPr>
            <w:t>教学成果方面</w:t>
          </w:r>
          <w:r>
            <w:tab/>
          </w:r>
          <w:r>
            <w:fldChar w:fldCharType="begin"/>
          </w:r>
          <w:r>
            <w:instrText xml:space="preserve"> PAGEREF _Toc29891 \h </w:instrText>
          </w:r>
          <w:r>
            <w:fldChar w:fldCharType="separate"/>
          </w:r>
          <w:r>
            <w:t>19</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_Toc21113 </w:instrText>
          </w:r>
          <w:r>
            <w:rPr>
              <w:rFonts w:hint="eastAsia" w:asciiTheme="minorEastAsia" w:hAnsiTheme="minorEastAsia" w:eastAsiaTheme="minorEastAsia" w:cstheme="minorEastAsia"/>
              <w:szCs w:val="24"/>
            </w:rPr>
            <w:fldChar w:fldCharType="separate"/>
          </w:r>
          <w:r>
            <w:rPr>
              <w:rFonts w:hint="eastAsia"/>
            </w:rPr>
            <w:t>十二、售后服务</w:t>
          </w:r>
          <w:r>
            <w:tab/>
          </w:r>
          <w:r>
            <w:fldChar w:fldCharType="begin"/>
          </w:r>
          <w:r>
            <w:instrText xml:space="preserve"> PAGEREF _Toc21113 \h </w:instrText>
          </w:r>
          <w:r>
            <w:fldChar w:fldCharType="separate"/>
          </w:r>
          <w:r>
            <w:t>20</w:t>
          </w:r>
          <w:r>
            <w:fldChar w:fldCharType="end"/>
          </w:r>
          <w:r>
            <w:rPr>
              <w:rFonts w:hint="eastAsia" w:asciiTheme="minorEastAsia" w:hAnsiTheme="minorEastAsia" w:eastAsiaTheme="minorEastAsia" w:cstheme="minorEastAsia"/>
              <w:szCs w:val="24"/>
            </w:rPr>
            <w:fldChar w:fldCharType="end"/>
          </w:r>
        </w:p>
        <w:p>
          <w:pPr>
            <w:pStyle w:val="2"/>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_Toc4096 </w:instrText>
          </w:r>
          <w:r>
            <w:rPr>
              <w:rFonts w:hint="eastAsia" w:asciiTheme="minorEastAsia" w:hAnsiTheme="minorEastAsia" w:eastAsiaTheme="minorEastAsia" w:cstheme="minorEastAsia"/>
              <w:szCs w:val="24"/>
            </w:rPr>
            <w:fldChar w:fldCharType="separate"/>
          </w:r>
          <w:r>
            <w:rPr>
              <w:rFonts w:hint="eastAsia"/>
            </w:rPr>
            <w:t>十三、公司介绍</w:t>
          </w:r>
          <w:r>
            <w:tab/>
          </w:r>
          <w:r>
            <w:fldChar w:fldCharType="begin"/>
          </w:r>
          <w:r>
            <w:instrText xml:space="preserve"> PAGEREF _Toc4096 \h </w:instrText>
          </w:r>
          <w:r>
            <w:fldChar w:fldCharType="separate"/>
          </w:r>
          <w:r>
            <w:t>21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_Toc4832 </w:instrText>
          </w:r>
          <w:r>
            <w:rPr>
              <w:rFonts w:hint="eastAsia" w:asciiTheme="minorEastAsia" w:hAnsiTheme="minorEastAsia" w:eastAsiaTheme="minorEastAsia" w:cstheme="minorEastAsia"/>
              <w:szCs w:val="24"/>
            </w:rPr>
            <w:fldChar w:fldCharType="separate"/>
          </w:r>
          <w:r>
            <w:rPr>
              <w:rFonts w:hint="eastAsia"/>
            </w:rPr>
            <w:t>1. 发展历程</w:t>
          </w:r>
          <w:r>
            <w:tab/>
          </w:r>
          <w:r>
            <w:fldChar w:fldCharType="begin"/>
          </w:r>
          <w:r>
            <w:instrText xml:space="preserve"> PAGEREF _Toc4832 \h </w:instrText>
          </w:r>
          <w:r>
            <w:fldChar w:fldCharType="separate"/>
          </w:r>
          <w:r>
            <w:t>21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_Toc22932 </w:instrText>
          </w:r>
          <w:r>
            <w:rPr>
              <w:rFonts w:hint="eastAsia" w:asciiTheme="minorEastAsia" w:hAnsiTheme="minorEastAsia" w:eastAsiaTheme="minorEastAsia" w:cstheme="minorEastAsia"/>
              <w:szCs w:val="24"/>
            </w:rPr>
            <w:fldChar w:fldCharType="separate"/>
          </w:r>
          <w:r>
            <w:t>2. 创新能力（科研投入、主要科技成果及获得专利等情况）</w:t>
          </w:r>
          <w:r>
            <w:tab/>
          </w:r>
          <w:r>
            <w:fldChar w:fldCharType="begin"/>
          </w:r>
          <w:r>
            <w:instrText xml:space="preserve"> PAGEREF _Toc22932 \h </w:instrText>
          </w:r>
          <w:r>
            <w:fldChar w:fldCharType="separate"/>
          </w:r>
          <w:r>
            <w:t>21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_Toc21106 </w:instrText>
          </w:r>
          <w:r>
            <w:rPr>
              <w:rFonts w:hint="eastAsia" w:asciiTheme="minorEastAsia" w:hAnsiTheme="minorEastAsia" w:eastAsiaTheme="minorEastAsia" w:cstheme="minorEastAsia"/>
              <w:szCs w:val="24"/>
            </w:rPr>
            <w:fldChar w:fldCharType="separate"/>
          </w:r>
          <w:r>
            <w:rPr>
              <w:rFonts w:hint="default"/>
            </w:rPr>
            <w:t xml:space="preserve">3. </w:t>
          </w:r>
          <w:r>
            <w:rPr>
              <w:rFonts w:hint="eastAsia"/>
            </w:rPr>
            <w:t>行业地位影响力</w:t>
          </w:r>
          <w:r>
            <w:tab/>
          </w:r>
          <w:r>
            <w:fldChar w:fldCharType="begin"/>
          </w:r>
          <w:r>
            <w:instrText xml:space="preserve"> PAGEREF _Toc21106 \h </w:instrText>
          </w:r>
          <w:r>
            <w:fldChar w:fldCharType="separate"/>
          </w:r>
          <w:r>
            <w:t>21</w:t>
          </w:r>
          <w:r>
            <w:fldChar w:fldCharType="end"/>
          </w:r>
          <w:r>
            <w:rPr>
              <w:rFonts w:hint="eastAsia" w:asciiTheme="minorEastAsia" w:hAnsiTheme="minorEastAsia" w:eastAsiaTheme="minorEastAsia" w:cstheme="minorEastAsia"/>
              <w:szCs w:val="24"/>
            </w:rPr>
            <w:fldChar w:fldCharType="end"/>
          </w:r>
        </w:p>
        <w:p>
          <w:pPr>
            <w:pStyle w:val="11"/>
            <w:tabs>
              <w:tab w:val="right" w:leader="dot" w:pos="8306"/>
            </w:tabs>
          </w:pPr>
          <w:r>
            <w:rPr>
              <w:rFonts w:hint="eastAsia" w:asciiTheme="minorEastAsia" w:hAnsiTheme="minorEastAsia" w:eastAsiaTheme="minorEastAsia" w:cstheme="minorEastAsia"/>
              <w:szCs w:val="24"/>
            </w:rPr>
            <w:fldChar w:fldCharType="begin"/>
          </w:r>
          <w:r>
            <w:rPr>
              <w:rFonts w:hint="eastAsia" w:asciiTheme="minorEastAsia" w:hAnsiTheme="minorEastAsia" w:eastAsiaTheme="minorEastAsia" w:cstheme="minorEastAsia"/>
              <w:szCs w:val="24"/>
            </w:rPr>
            <w:instrText xml:space="preserve"> HYPERLINK \l _Toc4122 </w:instrText>
          </w:r>
          <w:r>
            <w:rPr>
              <w:rFonts w:hint="eastAsia" w:asciiTheme="minorEastAsia" w:hAnsiTheme="minorEastAsia" w:eastAsiaTheme="minorEastAsia" w:cstheme="minorEastAsia"/>
              <w:szCs w:val="24"/>
            </w:rPr>
            <w:fldChar w:fldCharType="separate"/>
          </w:r>
          <w:r>
            <w:rPr>
              <w:rFonts w:hint="eastAsia"/>
            </w:rPr>
            <w:t>4. 学术影响力</w:t>
          </w:r>
          <w:r>
            <w:tab/>
          </w:r>
          <w:r>
            <w:fldChar w:fldCharType="begin"/>
          </w:r>
          <w:r>
            <w:instrText xml:space="preserve"> PAGEREF _Toc4122 \h </w:instrText>
          </w:r>
          <w:r>
            <w:fldChar w:fldCharType="separate"/>
          </w:r>
          <w:r>
            <w:t>22</w:t>
          </w:r>
          <w:r>
            <w:fldChar w:fldCharType="end"/>
          </w:r>
          <w:r>
            <w:rPr>
              <w:rFonts w:hint="eastAsia" w:asciiTheme="minorEastAsia" w:hAnsiTheme="minorEastAsia" w:eastAsiaTheme="minorEastAsia" w:cstheme="minorEastAsia"/>
              <w:szCs w:val="24"/>
            </w:rPr>
            <w:fldChar w:fldCharType="end"/>
          </w:r>
        </w:p>
        <w:p>
          <w:pPr>
            <w:spacing w:before="0" w:beforeLines="0" w:after="0" w:afterLines="0" w:line="240" w:lineRule="auto"/>
            <w:ind w:left="0" w:leftChars="0" w:right="0" w:rightChars="0" w:firstLine="0" w:firstLineChars="0"/>
            <w:jc w:val="both"/>
            <w:rPr>
              <w:rFonts w:hint="eastAsia" w:asciiTheme="minorEastAsia" w:hAnsiTheme="minorEastAsia" w:eastAsiaTheme="minorEastAsia" w:cstheme="minorEastAsia"/>
              <w:sz w:val="24"/>
              <w:szCs w:val="24"/>
            </w:rPr>
            <w:sectPr>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Theme="minorEastAsia" w:hAnsiTheme="minorEastAsia" w:eastAsiaTheme="minorEastAsia" w:cstheme="minorEastAsia"/>
              <w:szCs w:val="24"/>
            </w:rPr>
            <w:fldChar w:fldCharType="end"/>
          </w:r>
        </w:p>
      </w:sdtContent>
    </w:sdt>
    <w:p>
      <w:pPr>
        <w:pStyle w:val="3"/>
        <w:numPr>
          <w:ilvl w:val="0"/>
          <w:numId w:val="1"/>
        </w:numPr>
      </w:pPr>
      <w:bookmarkStart w:id="16" w:name="_Toc95297420"/>
      <w:bookmarkStart w:id="17" w:name="_Toc28390"/>
      <w:bookmarkStart w:id="18" w:name="_Toc32281"/>
      <w:bookmarkStart w:id="19" w:name="_Toc32123"/>
      <w:bookmarkStart w:id="20" w:name="_Toc27492"/>
      <w:bookmarkStart w:id="21" w:name="_Toc12957"/>
      <w:bookmarkStart w:id="22" w:name="_Toc20568"/>
      <w:bookmarkStart w:id="23" w:name="_Toc13779"/>
      <w:bookmarkStart w:id="24" w:name="_Toc1839"/>
      <w:bookmarkStart w:id="25" w:name="_Toc11645"/>
      <w:bookmarkStart w:id="26" w:name="_Toc20995"/>
      <w:bookmarkStart w:id="27" w:name="_Toc23379"/>
      <w:bookmarkStart w:id="28" w:name="_Toc4316"/>
      <w:r>
        <w:rPr>
          <w:rFonts w:hint="eastAsia"/>
        </w:rPr>
        <w:t>虚拟仿真建设</w:t>
      </w:r>
      <w:bookmarkEnd w:id="16"/>
      <w:r>
        <w:rPr>
          <w:rFonts w:hint="eastAsia"/>
        </w:rPr>
        <w:t>背景</w:t>
      </w:r>
      <w:bookmarkEnd w:id="17"/>
      <w:bookmarkEnd w:id="18"/>
      <w:bookmarkEnd w:id="19"/>
      <w:bookmarkEnd w:id="20"/>
      <w:bookmarkEnd w:id="21"/>
      <w:bookmarkEnd w:id="22"/>
      <w:bookmarkEnd w:id="23"/>
      <w:bookmarkEnd w:id="24"/>
      <w:bookmarkEnd w:id="25"/>
      <w:bookmarkEnd w:id="26"/>
      <w:bookmarkEnd w:id="27"/>
      <w:bookmarkEnd w:id="28"/>
    </w:p>
    <w:p>
      <w:pPr>
        <w:pStyle w:val="4"/>
        <w:numPr>
          <w:ilvl w:val="0"/>
          <w:numId w:val="2"/>
        </w:numPr>
        <w:spacing w:before="156" w:after="156"/>
      </w:pPr>
      <w:bookmarkStart w:id="29" w:name="_Toc11230"/>
      <w:bookmarkStart w:id="30" w:name="_Toc12593"/>
      <w:bookmarkStart w:id="31" w:name="_Toc1635"/>
      <w:bookmarkStart w:id="32" w:name="_Toc31877"/>
      <w:bookmarkStart w:id="33" w:name="_Toc10852"/>
      <w:bookmarkStart w:id="34" w:name="_Toc22204"/>
      <w:bookmarkStart w:id="35" w:name="_Toc14289"/>
      <w:bookmarkStart w:id="36" w:name="_Toc28696"/>
      <w:bookmarkStart w:id="37" w:name="_Toc30169"/>
      <w:bookmarkStart w:id="38" w:name="_Toc4363"/>
      <w:bookmarkStart w:id="39" w:name="_Toc26925"/>
      <w:bookmarkStart w:id="40" w:name="_Toc30413"/>
      <w:r>
        <w:rPr>
          <w:rFonts w:hint="eastAsia"/>
        </w:rPr>
        <w:t>政策</w:t>
      </w:r>
      <w:bookmarkEnd w:id="29"/>
      <w:bookmarkEnd w:id="30"/>
      <w:bookmarkEnd w:id="31"/>
      <w:bookmarkEnd w:id="32"/>
      <w:bookmarkEnd w:id="33"/>
      <w:bookmarkEnd w:id="34"/>
      <w:bookmarkEnd w:id="35"/>
      <w:r>
        <w:rPr>
          <w:rFonts w:hint="eastAsia"/>
        </w:rPr>
        <w:t>文件</w:t>
      </w:r>
      <w:bookmarkEnd w:id="36"/>
      <w:bookmarkEnd w:id="37"/>
      <w:bookmarkEnd w:id="38"/>
      <w:bookmarkEnd w:id="39"/>
      <w:bookmarkEnd w:id="40"/>
    </w:p>
    <w:p>
      <w:pPr>
        <w:ind w:firstLine="480"/>
        <w:rPr>
          <w:sz w:val="28"/>
          <w:szCs w:val="24"/>
        </w:rPr>
      </w:pPr>
      <w:r>
        <w:rPr>
          <w:rFonts w:hint="eastAsia"/>
        </w:rPr>
        <w:t>虚拟仿真课程建设，符合国家相关政策。教育部教高厅〔2017〕4 号文件 教育部办公厅关于 2017-2020 年开展示范性虚拟仿真实验教学项目建设的通知：以现代化信息技术为依托，以相关专业类急需的实验教学信息化内容为指向，以完整的实验教学项目为基础，建设示范性虚拟仿真实验教学项目，推动高校积极探索线上线下教学相结合的个性化、 智能化、泛在化实验教学新模式。2019年，教育部发布《关于一流本科课程建设的实施意见》（教高〔2019〕8号），将国家虚拟仿真课程建设纳入一流本科课程建设，计划到2021年建设1500门左右国家虚拟仿真实验教学一流课程。</w:t>
      </w:r>
      <w:r>
        <w:t>2020</w:t>
      </w:r>
      <w:r>
        <w:rPr>
          <w:rFonts w:hint="eastAsia"/>
        </w:rPr>
        <w:t>年因疫情原因教育部没有进行认定，故2</w:t>
      </w:r>
      <w:r>
        <w:t>022</w:t>
      </w:r>
      <w:r>
        <w:rPr>
          <w:rFonts w:hint="eastAsia"/>
        </w:rPr>
        <w:t>年仍有剩余名额。</w:t>
      </w:r>
    </w:p>
    <w:p>
      <w:pPr>
        <w:pStyle w:val="4"/>
        <w:numPr>
          <w:ilvl w:val="0"/>
          <w:numId w:val="2"/>
        </w:numPr>
        <w:spacing w:before="156" w:after="156"/>
      </w:pPr>
      <w:bookmarkStart w:id="41" w:name="_Toc18267"/>
      <w:bookmarkStart w:id="42" w:name="_Toc30452"/>
      <w:bookmarkStart w:id="43" w:name="_Toc23801"/>
      <w:bookmarkStart w:id="44" w:name="_Toc13091"/>
      <w:bookmarkStart w:id="45" w:name="_Toc23117"/>
      <w:bookmarkStart w:id="46" w:name="_Toc2847"/>
      <w:bookmarkStart w:id="47" w:name="_Toc27871"/>
      <w:bookmarkStart w:id="48" w:name="_Toc16522"/>
      <w:bookmarkStart w:id="49" w:name="_Toc21765"/>
      <w:bookmarkStart w:id="50" w:name="_Toc6650"/>
      <w:bookmarkStart w:id="51" w:name="_Toc32476"/>
      <w:bookmarkStart w:id="52" w:name="_Toc5730"/>
      <w:r>
        <w:rPr>
          <w:rFonts w:hint="eastAsia"/>
        </w:rPr>
        <w:t>技术</w:t>
      </w:r>
      <w:bookmarkEnd w:id="41"/>
      <w:bookmarkEnd w:id="42"/>
      <w:bookmarkEnd w:id="43"/>
      <w:bookmarkEnd w:id="44"/>
      <w:bookmarkEnd w:id="45"/>
      <w:bookmarkEnd w:id="46"/>
      <w:bookmarkEnd w:id="47"/>
      <w:r>
        <w:rPr>
          <w:rFonts w:hint="eastAsia"/>
        </w:rPr>
        <w:t>发展</w:t>
      </w:r>
      <w:bookmarkEnd w:id="48"/>
      <w:bookmarkEnd w:id="49"/>
      <w:bookmarkEnd w:id="50"/>
      <w:bookmarkEnd w:id="51"/>
      <w:bookmarkEnd w:id="52"/>
    </w:p>
    <w:p>
      <w:pPr>
        <w:ind w:firstLine="480"/>
      </w:pPr>
      <w:r>
        <w:rPr>
          <w:rFonts w:hint="eastAsia"/>
        </w:rPr>
        <w:t>科技发展带动着教育方式的更新。传统课堂教学方式已经远远不能满足现代教学发展的需求。虚拟仿真技术逐渐应用到现代课堂教学中。它利用计算机模拟真实的实验环境，通过信息网络操作实验设备，为实验教学提供了一种全新的教学模式。虚拟实验利用计算机技术来实现各种虚拟实验环境，实验者以交互的方式进行实验操作， 可以像在真实的环境中一样完成各种预定的实验项目，最大限度地模拟真实实验的场景，并提供与实际实验操作方法类似的实践体验。</w:t>
      </w:r>
      <w:r>
        <w:t>为认真</w:t>
      </w:r>
      <w:r>
        <w:rPr>
          <w:rFonts w:hint="eastAsia"/>
        </w:rPr>
        <w:t>贯彻各项国家政策，目前，全国各地均在积极推行虚拟仿真课程建设，其他相关院校也有相对成熟的虚拟仿真课程建设经验，建立示范性虚拟仿真教学项目的客观条件已经成熟，所以我院积极响应国家及时代要求，完善虚拟仿真课程建设，有利于提升人才培养能力和水平。课程内容与教育教学方式方法改革创新，并具有一定的示范辐射作用。</w:t>
      </w:r>
    </w:p>
    <w:p>
      <w:pPr>
        <w:ind w:firstLine="480"/>
      </w:pPr>
      <w:r>
        <w:rPr>
          <w:rFonts w:hint="eastAsia"/>
        </w:rPr>
        <w:t>交互性，让操作者能够真正进入一个由计算机生成的交互式三维虚拟现实环境中，与之产生互动，进行交流。</w:t>
      </w:r>
    </w:p>
    <w:p>
      <w:pPr>
        <w:ind w:firstLine="480"/>
      </w:pPr>
      <w:r>
        <w:rPr>
          <w:rFonts w:hint="eastAsia"/>
        </w:rPr>
        <w:t>沉浸性，虚拟仿真技术特有的沉浸感和实时性，通过对时间和空间环境的超越，从而打破时间和空间的局限，实现虚拟教育与现实教育的结合。</w:t>
      </w:r>
    </w:p>
    <w:p>
      <w:pPr>
        <w:ind w:firstLine="480"/>
      </w:pPr>
      <w:r>
        <w:rPr>
          <w:rFonts w:hint="eastAsia"/>
        </w:rPr>
        <w:t>时代性，创造一个数字化的人参与教育教学的过程。数字人可以突破时间和空间的限制，参与教育教学过程，更好地利用教育资源实现教育目标。</w:t>
      </w:r>
    </w:p>
    <w:p>
      <w:pPr>
        <w:ind w:firstLine="480"/>
      </w:pPr>
      <w:r>
        <w:rPr>
          <w:rFonts w:hint="eastAsia"/>
        </w:rPr>
        <w:t>娱乐性，通过有趣的互动体验，学生可以充分参与教育教学，同时节约兴趣，有效地传递知识，使学生更好地理解和接受知识。</w:t>
      </w:r>
    </w:p>
    <w:p>
      <w:pPr>
        <w:pStyle w:val="4"/>
        <w:numPr>
          <w:ilvl w:val="0"/>
          <w:numId w:val="2"/>
        </w:numPr>
        <w:spacing w:before="156" w:after="156"/>
      </w:pPr>
      <w:bookmarkStart w:id="53" w:name="_Toc24056"/>
      <w:bookmarkStart w:id="54" w:name="_Toc19266"/>
      <w:bookmarkStart w:id="55" w:name="_Toc29081"/>
      <w:bookmarkStart w:id="56" w:name="_Toc17449"/>
      <w:bookmarkStart w:id="57" w:name="_Toc14731"/>
      <w:bookmarkStart w:id="58" w:name="_Toc6994"/>
      <w:bookmarkStart w:id="59" w:name="_Toc4554"/>
      <w:bookmarkStart w:id="60" w:name="_Toc17714"/>
      <w:bookmarkStart w:id="61" w:name="_Toc11499"/>
      <w:bookmarkStart w:id="62" w:name="_Toc26538"/>
      <w:bookmarkStart w:id="63" w:name="_Toc3788"/>
      <w:bookmarkStart w:id="64" w:name="_Toc22235"/>
      <w:r>
        <w:rPr>
          <w:rFonts w:hint="eastAsia"/>
        </w:rPr>
        <w:t>学科</w:t>
      </w:r>
      <w:bookmarkEnd w:id="53"/>
      <w:bookmarkEnd w:id="54"/>
      <w:bookmarkEnd w:id="55"/>
      <w:bookmarkEnd w:id="56"/>
      <w:bookmarkEnd w:id="57"/>
      <w:bookmarkEnd w:id="58"/>
      <w:bookmarkEnd w:id="59"/>
      <w:r>
        <w:rPr>
          <w:rFonts w:hint="eastAsia"/>
        </w:rPr>
        <w:t>建设</w:t>
      </w:r>
      <w:bookmarkEnd w:id="60"/>
      <w:bookmarkEnd w:id="61"/>
      <w:bookmarkEnd w:id="62"/>
      <w:bookmarkEnd w:id="63"/>
      <w:bookmarkEnd w:id="64"/>
    </w:p>
    <w:p>
      <w:pPr>
        <w:ind w:firstLine="480"/>
        <w:rPr>
          <w:rFonts w:hint="default" w:eastAsia="宋体"/>
          <w:lang w:val="en-US" w:eastAsia="zh-CN"/>
        </w:rPr>
      </w:pPr>
      <w:r>
        <w:rPr>
          <w:rFonts w:hint="eastAsia"/>
          <w:lang w:val="en-US" w:eastAsia="zh-CN"/>
        </w:rPr>
        <w:t>随着教育改革的深入，幼儿园管理逐渐走向专业化的发展道路，在幼儿园管理中，提高教师的专业素质，加快专业化发展进程是提高幼儿园管理水平的重要途径。</w:t>
      </w:r>
    </w:p>
    <w:p>
      <w:pPr>
        <w:ind w:firstLine="480"/>
        <w:rPr>
          <w:rFonts w:hint="eastAsia"/>
        </w:rPr>
      </w:pPr>
      <w:r>
        <w:rPr>
          <w:rFonts w:hint="eastAsia"/>
        </w:rPr>
        <w:t>《幼儿园</w:t>
      </w:r>
      <w:r>
        <w:rPr>
          <w:rFonts w:hint="eastAsia"/>
          <w:lang w:val="en-US" w:eastAsia="zh-CN"/>
        </w:rPr>
        <w:t>管理</w:t>
      </w:r>
      <w:r>
        <w:rPr>
          <w:rFonts w:hint="eastAsia"/>
        </w:rPr>
        <w:t>》是高等院校学前教育专业的必修课程，也是学前教育专业的主干课程。</w:t>
      </w:r>
      <w:r>
        <w:rPr>
          <w:rFonts w:hint="eastAsia"/>
          <w:lang w:val="en-US" w:eastAsia="zh-CN"/>
        </w:rPr>
        <w:t>随着技术的发展，学科发展方向为</w:t>
      </w:r>
      <w:r>
        <w:rPr>
          <w:rFonts w:hint="eastAsia"/>
        </w:rPr>
        <w:t>增加学生的实践操作环节，采用线上线下，同时融入虚拟仿真技术，将思政教育与专业课程有机结合，构建“全员全方位全过程”的育人模式;凸显课程的“两性一度”，即课程的高阶性、创新性和挑战性。实现融合价值塑造、知识传授和能力培养于一体的课程目标。</w:t>
      </w:r>
    </w:p>
    <w:p>
      <w:pPr>
        <w:ind w:firstLine="480"/>
        <w:rPr>
          <w:rFonts w:hint="eastAsia"/>
        </w:rPr>
      </w:pPr>
      <w:r>
        <w:rPr>
          <w:rFonts w:hint="eastAsia"/>
        </w:rPr>
        <w:t>按照重庆人文科技学院一流课程建设总要求，通过构建课程虚拟教学实训系统、以三维仿真、虚拟交互为实现方式，系统融合了微课、图文视频、三维动画、虚拟仿真交互等多种技术手段，具有寓教于乐、直观逼真、互动性强的特点。改变了传统的教学方式，进一步丰富课程的教学资源，且教学的形式更加的数字化，让学生拥有更好地体验感。通过建设，把本门课程建成校级精品资源共享课，并努力争取通过重庆市一流课程的认证。</w:t>
      </w:r>
    </w:p>
    <w:p>
      <w:pPr>
        <w:ind w:firstLine="480"/>
      </w:pPr>
      <w:r>
        <w:rPr>
          <w:rFonts w:hint="eastAsia"/>
        </w:rPr>
        <w:br w:type="page"/>
      </w:r>
    </w:p>
    <w:p>
      <w:pPr>
        <w:pStyle w:val="3"/>
        <w:numPr>
          <w:ilvl w:val="0"/>
          <w:numId w:val="3"/>
        </w:numPr>
        <w:bidi w:val="0"/>
      </w:pPr>
      <w:bookmarkStart w:id="65" w:name="_Toc31616"/>
      <w:bookmarkStart w:id="66" w:name="_Toc29780"/>
      <w:bookmarkStart w:id="67" w:name="_Toc406"/>
      <w:bookmarkStart w:id="68" w:name="_Toc17014"/>
      <w:bookmarkStart w:id="69" w:name="_Toc16255"/>
      <w:bookmarkStart w:id="70" w:name="_Toc25727"/>
      <w:bookmarkStart w:id="71" w:name="_Toc28111"/>
      <w:bookmarkStart w:id="72" w:name="_Toc11055"/>
      <w:bookmarkStart w:id="73" w:name="_Toc9930"/>
      <w:bookmarkStart w:id="74" w:name="_Toc30892"/>
      <w:bookmarkStart w:id="75" w:name="_Toc25834"/>
      <w:bookmarkStart w:id="76" w:name="_Toc26687"/>
      <w:r>
        <w:rPr>
          <w:rFonts w:hint="eastAsia"/>
        </w:rPr>
        <w:t>学校环境</w:t>
      </w:r>
      <w:bookmarkEnd w:id="65"/>
      <w:bookmarkEnd w:id="66"/>
      <w:bookmarkEnd w:id="67"/>
      <w:bookmarkEnd w:id="68"/>
      <w:bookmarkEnd w:id="69"/>
      <w:bookmarkEnd w:id="70"/>
      <w:bookmarkEnd w:id="71"/>
      <w:r>
        <w:rPr>
          <w:rFonts w:hint="eastAsia"/>
        </w:rPr>
        <w:t>与建设现状</w:t>
      </w:r>
      <w:bookmarkEnd w:id="72"/>
      <w:bookmarkEnd w:id="73"/>
      <w:bookmarkEnd w:id="74"/>
      <w:bookmarkEnd w:id="75"/>
      <w:bookmarkEnd w:id="76"/>
    </w:p>
    <w:p>
      <w:pPr>
        <w:pStyle w:val="4"/>
        <w:numPr>
          <w:ilvl w:val="0"/>
          <w:numId w:val="4"/>
        </w:numPr>
        <w:spacing w:before="156" w:after="156"/>
      </w:pPr>
      <w:bookmarkStart w:id="77" w:name="_Toc31014"/>
      <w:bookmarkStart w:id="78" w:name="_Toc20229"/>
      <w:bookmarkStart w:id="79" w:name="_Toc20425"/>
      <w:bookmarkStart w:id="80" w:name="_Toc10914"/>
      <w:bookmarkStart w:id="81" w:name="_Toc29247"/>
      <w:bookmarkStart w:id="82" w:name="_Toc9685"/>
      <w:bookmarkStart w:id="83" w:name="_Toc29470"/>
      <w:bookmarkStart w:id="84" w:name="_Toc4517"/>
      <w:bookmarkStart w:id="85" w:name="_Toc9249"/>
      <w:bookmarkStart w:id="86" w:name="_Toc14411"/>
      <w:bookmarkStart w:id="87" w:name="_Toc15457"/>
      <w:bookmarkStart w:id="88" w:name="_Toc3352"/>
      <w:r>
        <w:rPr>
          <w:rFonts w:hint="eastAsia"/>
        </w:rPr>
        <w:t>学校环境</w:t>
      </w:r>
      <w:bookmarkEnd w:id="77"/>
      <w:bookmarkEnd w:id="78"/>
      <w:bookmarkEnd w:id="79"/>
      <w:bookmarkEnd w:id="80"/>
      <w:bookmarkEnd w:id="81"/>
      <w:bookmarkEnd w:id="82"/>
      <w:bookmarkEnd w:id="83"/>
      <w:bookmarkEnd w:id="84"/>
      <w:bookmarkEnd w:id="85"/>
      <w:bookmarkEnd w:id="86"/>
      <w:bookmarkEnd w:id="87"/>
      <w:bookmarkEnd w:id="88"/>
    </w:p>
    <w:p>
      <w:pPr>
        <w:ind w:firstLine="480"/>
      </w:pPr>
      <w:r>
        <w:rPr>
          <w:rFonts w:hint="eastAsia"/>
        </w:rPr>
        <w:t>重庆人文科技学院源于2000年创办的西南师范大学行知育才学院，几经更名，2013年经教育部批准转设为由重庆市教委主管的普通本科高校。学校是全国应用技术型大学战略试点研究高校，重庆市硕士专业学位研究生教育培育试点单位。</w:t>
      </w:r>
    </w:p>
    <w:p>
      <w:pPr>
        <w:ind w:firstLine="480"/>
        <w:rPr>
          <w:rFonts w:hint="eastAsia"/>
        </w:rPr>
      </w:pPr>
      <w:r>
        <w:rPr>
          <w:rFonts w:hint="eastAsia"/>
        </w:rPr>
        <w:t>学校位于伟大的人民教育家陶行知先生抗战时期重庆办学之地——重庆市合川区草街街道，占地面积105万平方米，总建筑面积50余万平方米，面向全国22个省（市、自治区）招生，现有全日制在校生近23000人。</w:t>
      </w:r>
    </w:p>
    <w:p>
      <w:pPr>
        <w:ind w:firstLine="480"/>
        <w:rPr>
          <w:rFonts w:hint="eastAsia"/>
        </w:rPr>
      </w:pPr>
      <w:r>
        <w:rPr>
          <w:rFonts w:hint="eastAsia"/>
        </w:rPr>
        <w:t>学校现有14个二级学院，46个本科专业和1个专科专业，涵盖文学、法学、管理学、经济学、艺术学、教育学、理学、工学和农学等9大学科门类。自2018年起，开展硕士学位授予单位立项建设，重点建设法律、电子信息、艺术、教育硕士等专业学位点。学校教学资源丰富，现有建制实验（训）室22个，其中实验教学示范中心3个，各类实验（实训）分室147个，与中兴通讯共建的“教育部—ICT产教融合基地”，校外实践教学基地300余个，合川区技术创新中心5个、人文社科研究基地3个；先后承担国家艺术基金项目2项，省部级科研、教育教学改革研究、质量工程项目150余项。出版著作教材102部；近3年，在各种学术刊物上共发表论文563篇，其中核心期刊217篇。</w:t>
      </w:r>
    </w:p>
    <w:p>
      <w:pPr>
        <w:ind w:firstLine="480"/>
        <w:rPr>
          <w:rFonts w:hint="eastAsia" w:eastAsia="宋体"/>
          <w:lang w:eastAsia="zh-CN"/>
        </w:rPr>
      </w:pPr>
      <w:r>
        <w:rPr>
          <w:rFonts w:hint="eastAsia" w:eastAsia="宋体"/>
          <w:lang w:eastAsia="zh-CN"/>
        </w:rPr>
        <w:t>学前教育专业开办于2012年，在专业建设中以高起点、高标准办学，本专业的“实践性办学理念”以及实践应用型人才培养模式在业界受到了高度评价与认同。2017年起，已连续三年在艾瑞深中国校友会中国民办大学各本科专业排名位列学前教育专业全国第二、重庆第一！</w:t>
      </w:r>
    </w:p>
    <w:p>
      <w:pPr>
        <w:ind w:firstLine="480"/>
        <w:rPr>
          <w:rFonts w:hint="eastAsia" w:eastAsia="宋体"/>
          <w:lang w:eastAsia="zh-CN"/>
        </w:rPr>
      </w:pPr>
      <w:r>
        <w:rPr>
          <w:rFonts w:hint="eastAsia" w:eastAsia="宋体"/>
          <w:lang w:eastAsia="zh-CN"/>
        </w:rPr>
        <w:t xml:space="preserve">    学院拥有一支结构合理、奋发有为的优秀师资队伍。自有专任教师中教授、副教授7人，博士、硕士25人，双师双能型教师10人。此外，学院还聘请了幼儿园、早期教育机构等多个领域的幼教专家为“双师型导师”。学院建有幼儿舞蹈形体实训室、数码钢琴实训室、感觉统合实训室等10个实训室，与西南医院幼儿园、合川新华幼儿园、北碚缙云幼儿园、重庆熠象樂读早教中心等十余家幼儿园、早教机构建立了稳定的合作关系。学院通过驻园研习、“3C 联盟”等多种方式培养人才，使学生的综合素质和职业能力得到全方位培养。历年来，学生就业率均在 95%以上，受到了高校同行、社会、用人单位的广泛认可。</w:t>
      </w:r>
    </w:p>
    <w:p>
      <w:pPr>
        <w:pStyle w:val="4"/>
        <w:numPr>
          <w:ilvl w:val="0"/>
          <w:numId w:val="4"/>
        </w:numPr>
        <w:spacing w:before="156" w:after="156"/>
      </w:pPr>
      <w:bookmarkStart w:id="89" w:name="_Toc11989"/>
      <w:bookmarkStart w:id="90" w:name="_Toc21699"/>
      <w:bookmarkStart w:id="91" w:name="_Toc15672"/>
      <w:bookmarkStart w:id="92" w:name="_Toc19198"/>
      <w:bookmarkStart w:id="93" w:name="_Toc31660"/>
      <w:bookmarkStart w:id="94" w:name="_Toc8382"/>
      <w:bookmarkStart w:id="95" w:name="_Toc32543"/>
      <w:bookmarkStart w:id="96" w:name="_Toc24943"/>
      <w:bookmarkStart w:id="97" w:name="_Toc23074"/>
      <w:bookmarkStart w:id="98" w:name="_Toc2679"/>
      <w:bookmarkStart w:id="99" w:name="_Toc25663"/>
      <w:bookmarkStart w:id="100" w:name="_Toc9585"/>
      <w:r>
        <w:rPr>
          <w:rFonts w:hint="eastAsia"/>
        </w:rPr>
        <w:t>课程建设现状</w:t>
      </w:r>
      <w:bookmarkEnd w:id="89"/>
      <w:bookmarkEnd w:id="90"/>
      <w:bookmarkEnd w:id="91"/>
      <w:bookmarkEnd w:id="92"/>
      <w:bookmarkEnd w:id="93"/>
      <w:bookmarkEnd w:id="94"/>
      <w:bookmarkEnd w:id="95"/>
      <w:bookmarkEnd w:id="96"/>
      <w:bookmarkEnd w:id="97"/>
      <w:bookmarkEnd w:id="98"/>
      <w:bookmarkEnd w:id="99"/>
      <w:bookmarkEnd w:id="100"/>
    </w:p>
    <w:p>
      <w:pPr>
        <w:ind w:firstLine="480"/>
        <w:rPr>
          <w:rFonts w:hint="eastAsia"/>
        </w:rPr>
      </w:pPr>
      <w:r>
        <w:rPr>
          <w:rFonts w:hint="eastAsia"/>
        </w:rPr>
        <w:t>学校现有首批国家级一流本科课程1门、重庆市高等学校市级重点学科1个、重点培育学科1个、重庆市一流专业2个、重庆市特色专业4个、重庆市高校课程思政示范建设课程4门、重庆市精品在线开放课程、一流课程24门。</w:t>
      </w:r>
    </w:p>
    <w:p>
      <w:pPr>
        <w:ind w:firstLine="480"/>
      </w:pPr>
      <w:r>
        <w:rPr>
          <w:rFonts w:hint="eastAsia"/>
        </w:rPr>
        <w:t>虽然我们获得了丰硕的成果但在教学中也存在一些难题和不足之处。</w:t>
      </w:r>
      <w:bookmarkStart w:id="101" w:name="_Toc95297422"/>
      <w:r>
        <w:rPr>
          <w:rFonts w:hint="eastAsia"/>
        </w:rPr>
        <w:t>实践能力培养是</w:t>
      </w:r>
      <w:r>
        <w:rPr>
          <w:rFonts w:hint="eastAsia"/>
          <w:lang w:val="en-US" w:eastAsia="zh-CN"/>
        </w:rPr>
        <w:t>学前教育的</w:t>
      </w:r>
      <w:r>
        <w:rPr>
          <w:rFonts w:hint="eastAsia"/>
        </w:rPr>
        <w:t>重要任务之一，然而在实际教学中有时候不能达到教学要求</w:t>
      </w:r>
      <w:bookmarkEnd w:id="101"/>
      <w:r>
        <w:rPr>
          <w:rFonts w:hint="eastAsia"/>
        </w:rPr>
        <w:t>，原因不外乎以下几点：</w:t>
      </w:r>
    </w:p>
    <w:p>
      <w:pPr>
        <w:numPr>
          <w:ilvl w:val="255"/>
          <w:numId w:val="0"/>
        </w:numPr>
        <w:outlineLvl w:val="2"/>
      </w:pPr>
      <w:bookmarkStart w:id="102" w:name="_Toc5769"/>
      <w:bookmarkStart w:id="103" w:name="_Toc4370"/>
      <w:bookmarkStart w:id="104" w:name="_Toc696"/>
      <w:bookmarkStart w:id="105" w:name="_Toc9984"/>
      <w:bookmarkStart w:id="106" w:name="_Toc3225"/>
      <w:bookmarkStart w:id="107" w:name="_Toc31033"/>
      <w:r>
        <w:rPr>
          <w:rFonts w:hint="eastAsia"/>
        </w:rPr>
        <w:t>（1）实践教学的保障不足</w:t>
      </w:r>
      <w:bookmarkEnd w:id="102"/>
      <w:bookmarkEnd w:id="103"/>
      <w:bookmarkEnd w:id="104"/>
      <w:bookmarkEnd w:id="105"/>
      <w:bookmarkEnd w:id="106"/>
      <w:bookmarkEnd w:id="107"/>
    </w:p>
    <w:p>
      <w:pPr>
        <w:bidi w:val="0"/>
        <w:rPr>
          <w:rFonts w:hint="eastAsia"/>
        </w:rPr>
      </w:pPr>
      <w:bookmarkStart w:id="108" w:name="_Toc26814"/>
      <w:bookmarkStart w:id="109" w:name="_Toc29745"/>
      <w:bookmarkStart w:id="110" w:name="_Toc11203"/>
      <w:bookmarkStart w:id="111" w:name="_Toc26617"/>
      <w:r>
        <w:rPr>
          <w:rFonts w:hint="eastAsia"/>
        </w:rPr>
        <w:t>随着教育相关职业发展的需要，对于学生的综合能力及素养的要求发生改变，越来越注重应用型人才的培养；因此需要转变传统的课程功能，使学生在获得幼儿园管理的相关知识过程中，灵活运用不同方法建构科学管理体系的相关规律，沉浸式体验学习过程，将知识学习与能力培养并重；需深化课程内容，优化教学方式；整合虚拟仿真技术并应用到学前教育专业的具体课程学习中，逐步提供体验式教学，操作式教学，建立课堂教学、鼓励学生自己实践的教学框架体系。</w:t>
      </w:r>
    </w:p>
    <w:p>
      <w:pPr>
        <w:numPr>
          <w:ilvl w:val="255"/>
          <w:numId w:val="0"/>
        </w:numPr>
        <w:outlineLvl w:val="2"/>
      </w:pPr>
      <w:bookmarkStart w:id="112" w:name="_Toc23862"/>
      <w:bookmarkStart w:id="113" w:name="_Toc24193"/>
      <w:r>
        <w:rPr>
          <w:rFonts w:hint="eastAsia"/>
        </w:rPr>
        <w:t>（2）实践教学体系不完善</w:t>
      </w:r>
      <w:bookmarkEnd w:id="108"/>
      <w:bookmarkEnd w:id="109"/>
      <w:bookmarkEnd w:id="110"/>
      <w:bookmarkEnd w:id="111"/>
      <w:bookmarkEnd w:id="112"/>
      <w:bookmarkEnd w:id="113"/>
      <w:r>
        <w:rPr>
          <w:rFonts w:hint="eastAsia"/>
        </w:rPr>
        <w:t xml:space="preserve"> </w:t>
      </w:r>
    </w:p>
    <w:p>
      <w:pPr>
        <w:ind w:firstLine="480"/>
        <w:rPr>
          <w:rFonts w:hint="eastAsia" w:eastAsia="宋体"/>
          <w:lang w:eastAsia="zh-CN"/>
        </w:rPr>
      </w:pPr>
      <w:r>
        <w:rPr>
          <w:rFonts w:hint="eastAsia"/>
        </w:rPr>
        <w:t>一些院校尚未形成相对成熟的实践教学体系与完整的实践教学大纲和计划，同时缺少</w:t>
      </w:r>
      <w:r>
        <w:rPr>
          <w:rFonts w:hint="eastAsia"/>
          <w:lang w:val="en-US" w:eastAsia="zh-CN"/>
        </w:rPr>
        <w:t>医学界</w:t>
      </w:r>
      <w:r>
        <w:rPr>
          <w:rFonts w:hint="eastAsia"/>
        </w:rPr>
        <w:t>的深度参与，没有适应</w:t>
      </w:r>
      <w:r>
        <w:rPr>
          <w:rFonts w:hint="eastAsia"/>
          <w:lang w:val="en-US" w:eastAsia="zh-CN"/>
        </w:rPr>
        <w:t>教育学</w:t>
      </w:r>
      <w:r>
        <w:rPr>
          <w:rFonts w:hint="eastAsia"/>
        </w:rPr>
        <w:t>界对人才培养的需求，导致专业发展与社会需要相脱节。传统实践环节设置主要以理论课程为依托，实践内容比较分散，时间安排比较零散，没有很好地体现实践环节连续性</w:t>
      </w:r>
      <w:r>
        <w:rPr>
          <w:rFonts w:hint="eastAsia"/>
          <w:lang w:eastAsia="zh-CN"/>
        </w:rPr>
        <w:t>。</w:t>
      </w:r>
    </w:p>
    <w:p>
      <w:pPr>
        <w:numPr>
          <w:ilvl w:val="255"/>
          <w:numId w:val="0"/>
        </w:numPr>
        <w:outlineLvl w:val="2"/>
      </w:pPr>
      <w:bookmarkStart w:id="114" w:name="_Toc27615"/>
      <w:bookmarkStart w:id="115" w:name="_Toc16051"/>
      <w:bookmarkStart w:id="116" w:name="_Toc112"/>
      <w:bookmarkStart w:id="117" w:name="_Toc12330"/>
      <w:bookmarkStart w:id="118" w:name="_Toc14005"/>
      <w:bookmarkStart w:id="119" w:name="_Toc5685"/>
      <w:bookmarkStart w:id="120" w:name="_Toc31200"/>
      <w:bookmarkStart w:id="121" w:name="_Toc20779"/>
      <w:r>
        <w:rPr>
          <w:rFonts w:hint="eastAsia"/>
        </w:rPr>
        <w:t>（3）实践教学组织实施不规范</w:t>
      </w:r>
      <w:bookmarkEnd w:id="114"/>
      <w:bookmarkEnd w:id="115"/>
      <w:bookmarkEnd w:id="116"/>
      <w:bookmarkEnd w:id="117"/>
      <w:bookmarkEnd w:id="118"/>
      <w:bookmarkEnd w:id="119"/>
      <w:bookmarkEnd w:id="120"/>
      <w:bookmarkEnd w:id="121"/>
      <w:r>
        <w:rPr>
          <w:rFonts w:hint="eastAsia"/>
        </w:rPr>
        <w:t xml:space="preserve"> </w:t>
      </w:r>
    </w:p>
    <w:p>
      <w:pPr>
        <w:ind w:firstLine="480"/>
      </w:pPr>
      <w:r>
        <w:rPr>
          <w:rFonts w:hint="eastAsia"/>
        </w:rPr>
        <w:t>在高校办学实践中，实践教学仍然以单一化灌输性教学为主，开设实验多以单一基础性、验证性实验为主，而综合性、集成性实验开展得较少，且自主创新 性实验难以有效落实。不能有效地评价教师教学水平与学生实践创新能力。</w:t>
      </w:r>
    </w:p>
    <w:p>
      <w:pPr>
        <w:ind w:firstLine="480"/>
      </w:pPr>
      <w:r>
        <w:rPr>
          <w:rFonts w:hint="eastAsia"/>
        </w:rPr>
        <w:t>所以我院积极响应国家及时代要求，完善虚拟仿真课程建设，高度还原真实实训场景，提高学生的实操能力。使教学更具有开放性、共享性，跟紧发展趋势。有利于降低教学成本、解决实际教学困难，提升人才培养能力和水平。同时也可可服务于企业对员工的培训。</w:t>
      </w:r>
      <w:r>
        <w:rPr>
          <w:rFonts w:hint="eastAsia"/>
        </w:rPr>
        <w:br w:type="page"/>
      </w:r>
    </w:p>
    <w:p>
      <w:pPr>
        <w:pStyle w:val="3"/>
        <w:numPr>
          <w:ilvl w:val="0"/>
          <w:numId w:val="5"/>
        </w:numPr>
      </w:pPr>
      <w:bookmarkStart w:id="122" w:name="_Toc4617"/>
      <w:bookmarkStart w:id="123" w:name="_Toc8463"/>
      <w:bookmarkStart w:id="124" w:name="_Toc32335"/>
      <w:bookmarkStart w:id="125" w:name="_Toc5082"/>
      <w:bookmarkStart w:id="126" w:name="_Toc2854"/>
      <w:bookmarkStart w:id="127" w:name="_Toc22720"/>
      <w:bookmarkStart w:id="128" w:name="_Toc13341"/>
      <w:bookmarkStart w:id="129" w:name="_Toc27730"/>
      <w:bookmarkStart w:id="130" w:name="_Toc6408"/>
      <w:bookmarkStart w:id="131" w:name="_Toc26962"/>
      <w:bookmarkStart w:id="132" w:name="_Toc17348"/>
      <w:bookmarkStart w:id="133" w:name="_Toc15212"/>
      <w:r>
        <w:rPr>
          <w:rFonts w:hint="eastAsia"/>
        </w:rPr>
        <w:t>建设的必要性</w:t>
      </w:r>
      <w:bookmarkEnd w:id="122"/>
      <w:bookmarkEnd w:id="123"/>
      <w:bookmarkEnd w:id="124"/>
      <w:bookmarkEnd w:id="125"/>
      <w:bookmarkEnd w:id="126"/>
      <w:bookmarkEnd w:id="127"/>
      <w:bookmarkEnd w:id="128"/>
      <w:bookmarkEnd w:id="129"/>
      <w:bookmarkEnd w:id="130"/>
      <w:bookmarkEnd w:id="131"/>
      <w:bookmarkEnd w:id="132"/>
      <w:bookmarkEnd w:id="133"/>
    </w:p>
    <w:p>
      <w:pPr>
        <w:pStyle w:val="4"/>
        <w:numPr>
          <w:ilvl w:val="0"/>
          <w:numId w:val="6"/>
        </w:numPr>
        <w:spacing w:before="156" w:after="156"/>
      </w:pPr>
      <w:bookmarkStart w:id="134" w:name="_Toc9762"/>
      <w:bookmarkStart w:id="135" w:name="_Toc29219"/>
      <w:bookmarkStart w:id="136" w:name="_Toc21899"/>
      <w:bookmarkStart w:id="137" w:name="_Toc1323"/>
      <w:bookmarkStart w:id="138" w:name="_Toc11188"/>
      <w:bookmarkStart w:id="139" w:name="_Toc14163"/>
      <w:bookmarkStart w:id="140" w:name="_Toc79"/>
      <w:bookmarkStart w:id="141" w:name="_Toc4035"/>
      <w:bookmarkStart w:id="142" w:name="_Toc17950"/>
      <w:bookmarkStart w:id="143" w:name="_Toc12511"/>
      <w:bookmarkStart w:id="144" w:name="_Toc13706"/>
      <w:bookmarkStart w:id="145" w:name="_Toc6342"/>
      <w:r>
        <w:t>教学角度</w:t>
      </w:r>
      <w:bookmarkEnd w:id="134"/>
      <w:bookmarkEnd w:id="135"/>
      <w:bookmarkEnd w:id="136"/>
      <w:bookmarkEnd w:id="137"/>
      <w:bookmarkEnd w:id="138"/>
      <w:bookmarkEnd w:id="139"/>
      <w:bookmarkEnd w:id="140"/>
      <w:bookmarkEnd w:id="141"/>
      <w:bookmarkEnd w:id="142"/>
      <w:bookmarkEnd w:id="143"/>
      <w:bookmarkEnd w:id="144"/>
      <w:bookmarkEnd w:id="145"/>
      <w:r>
        <w:t xml:space="preserve"> </w:t>
      </w:r>
    </w:p>
    <w:p>
      <w:pPr>
        <w:ind w:firstLine="480"/>
        <w:rPr>
          <w:rFonts w:hint="eastAsia"/>
        </w:rPr>
      </w:pPr>
      <w:r>
        <w:t>现代信息技术特别是虚拟仿真教学的发展，改变了传统教学只能依靠图纸研习、参观学习、老教师讲授经验的实践人才培养模式，尤其是</w:t>
      </w:r>
      <w:r>
        <w:rPr>
          <w:rFonts w:hint="eastAsia"/>
          <w:lang w:val="en-US" w:eastAsia="zh-CN"/>
        </w:rPr>
        <w:t>学前教育</w:t>
      </w:r>
      <w:r>
        <w:t xml:space="preserve">相关专业的课程教学，单一的理论不足以支撑人才的培养需求，需要有具备时效性的实训内容和课堂让学生参与进去，动起手来，并能够协同合作，解决问题。 </w:t>
      </w:r>
      <w:r>
        <w:rPr>
          <w:rFonts w:hint="eastAsia"/>
        </w:rPr>
        <w:t>整个教学中，做到真正以学生为主体，集中与分散，本地与远程、课内与课外多种形式相结合，虚拟现实幼儿园室内、户外等多场景、多流程、多技术融合的多元化虚拟仿真实验教学模式，实现虚实互补，相互促进，把学生能力和素质培养渗透到虚拟仿真实验教学的各种形式、各种技术和各个教学环节之中。</w:t>
      </w:r>
    </w:p>
    <w:p>
      <w:pPr>
        <w:ind w:firstLine="480"/>
      </w:pPr>
    </w:p>
    <w:p>
      <w:pPr>
        <w:pStyle w:val="10"/>
        <w:ind w:firstLine="360"/>
      </w:pPr>
    </w:p>
    <w:p>
      <w:pPr>
        <w:pStyle w:val="4"/>
        <w:numPr>
          <w:ilvl w:val="0"/>
          <w:numId w:val="6"/>
        </w:numPr>
        <w:spacing w:before="156" w:after="156"/>
        <w:rPr>
          <w:rFonts w:cs="Times New Roman"/>
          <w:sz w:val="24"/>
        </w:rPr>
      </w:pPr>
      <w:bookmarkStart w:id="146" w:name="_Toc32497"/>
      <w:bookmarkStart w:id="147" w:name="_Toc24969"/>
      <w:bookmarkStart w:id="148" w:name="_Toc17386"/>
      <w:bookmarkStart w:id="149" w:name="_Toc31744"/>
      <w:bookmarkStart w:id="150" w:name="_Toc7002"/>
      <w:bookmarkStart w:id="151" w:name="_Toc28535"/>
      <w:bookmarkStart w:id="152" w:name="_Toc25665"/>
      <w:bookmarkStart w:id="153" w:name="_Toc2525"/>
      <w:bookmarkStart w:id="154" w:name="_Toc29160"/>
      <w:bookmarkStart w:id="155" w:name="_Toc24008"/>
      <w:bookmarkStart w:id="156" w:name="_Toc14265"/>
      <w:bookmarkStart w:id="157" w:name="_Toc16670"/>
      <w:r>
        <w:rPr>
          <w:rStyle w:val="16"/>
        </w:rPr>
        <w:t>实训角度</w:t>
      </w:r>
      <w:bookmarkEnd w:id="146"/>
      <w:bookmarkEnd w:id="147"/>
      <w:bookmarkEnd w:id="148"/>
      <w:bookmarkEnd w:id="149"/>
      <w:bookmarkEnd w:id="150"/>
      <w:bookmarkEnd w:id="151"/>
      <w:bookmarkEnd w:id="152"/>
      <w:bookmarkEnd w:id="153"/>
      <w:bookmarkEnd w:id="154"/>
      <w:bookmarkEnd w:id="155"/>
      <w:bookmarkEnd w:id="156"/>
      <w:bookmarkEnd w:id="157"/>
      <w:r>
        <w:rPr>
          <w:rFonts w:cs="Times New Roman"/>
          <w:sz w:val="24"/>
        </w:rPr>
        <w:t xml:space="preserve"> </w:t>
      </w:r>
    </w:p>
    <w:p>
      <w:pPr>
        <w:ind w:firstLine="480"/>
        <w:rPr>
          <w:rFonts w:hint="eastAsia"/>
        </w:rPr>
      </w:pPr>
      <w:bookmarkStart w:id="158" w:name="_Toc18813"/>
      <w:r>
        <w:rPr>
          <w:rFonts w:hint="eastAsia"/>
          <w:lang w:val="en-US" w:eastAsia="zh-CN"/>
        </w:rPr>
        <w:t>受实践场域和观察对象特性的限制，学习者无法随时随地进入到幼儿园现场，对幼儿的问题行为进行观察指导。在实际教学中存在幼儿问题随机性强、不易采样的现象，导致教育教学与幼教行业需求不一致，教学目标无法实现。通过虚拟仿真技术提供了真实的幼儿园环境，</w:t>
      </w:r>
      <w:r>
        <w:rPr>
          <w:rFonts w:hint="eastAsia"/>
        </w:rPr>
        <w:t>也提升了反思和解决实际问题的能力，并树立科学的幼儿教育环境观，具备幼儿为本的理念，懂得环境育人的价值。</w:t>
      </w:r>
    </w:p>
    <w:p>
      <w:pPr>
        <w:pStyle w:val="4"/>
        <w:bidi w:val="0"/>
        <w:rPr>
          <w:rFonts w:hint="default"/>
          <w:lang w:val="en-US" w:eastAsia="zh-CN"/>
        </w:rPr>
      </w:pPr>
      <w:bookmarkStart w:id="159" w:name="_Toc21870"/>
      <w:r>
        <w:rPr>
          <w:rFonts w:hint="eastAsia"/>
          <w:lang w:val="en-US" w:eastAsia="zh-CN"/>
        </w:rPr>
        <w:t>3.社会角度</w:t>
      </w:r>
      <w:bookmarkEnd w:id="158"/>
      <w:bookmarkEnd w:id="159"/>
    </w:p>
    <w:p>
      <w:pPr>
        <w:pStyle w:val="10"/>
        <w:ind w:left="0" w:leftChars="0" w:firstLine="0" w:firstLineChars="0"/>
        <w:rPr>
          <w:rFonts w:hint="default" w:eastAsia="宋体"/>
          <w:lang w:val="en-US" w:eastAsia="zh-CN"/>
        </w:rPr>
      </w:pPr>
    </w:p>
    <w:p>
      <w:pPr>
        <w:numPr>
          <w:ilvl w:val="0"/>
          <w:numId w:val="7"/>
        </w:numPr>
        <w:spacing w:line="360" w:lineRule="auto"/>
        <w:ind w:left="5" w:leftChars="0" w:firstLine="475" w:firstLineChars="0"/>
        <w:rPr>
          <w:rFonts w:hint="eastAsia" w:ascii="宋体" w:hAnsi="宋体" w:eastAsia="宋体" w:cs="宋体"/>
        </w:rPr>
      </w:pPr>
      <w:r>
        <w:rPr>
          <w:rFonts w:hint="eastAsia" w:ascii="宋体" w:hAnsi="宋体" w:eastAsia="宋体" w:cs="宋体"/>
        </w:rPr>
        <w:t>得益于虚拟仿真的全线上部署，能够有效的实现不受时间、空间、地域性的限制。</w:t>
      </w:r>
      <w:r>
        <w:rPr>
          <w:rFonts w:hint="eastAsia" w:ascii="宋体" w:hAnsi="宋体" w:cs="宋体"/>
          <w:lang w:val="en-US" w:eastAsia="zh-CN"/>
        </w:rPr>
        <w:t>使学生</w:t>
      </w:r>
      <w:r>
        <w:rPr>
          <w:rFonts w:hint="eastAsia" w:ascii="宋体" w:hAnsi="宋体" w:eastAsia="宋体" w:cs="宋体"/>
        </w:rPr>
        <w:t>方便的进行知识和技能的回顾、训练、纠错、补充。进而能够进一步的服务于广大群众。</w:t>
      </w:r>
    </w:p>
    <w:p>
      <w:pPr>
        <w:spacing w:line="360" w:lineRule="auto"/>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）授课过程中收集、记录学生优秀作品，跟幼教装备和建筑设计公司紧密联系，输送学生在平台中设计的优秀作品，促成教学、教研和创作完美的结合。</w:t>
      </w:r>
    </w:p>
    <w:p>
      <w:pPr>
        <w:spacing w:line="360" w:lineRule="auto"/>
        <w:rPr>
          <w:rFonts w:hint="eastAsia" w:ascii="宋体" w:hAnsi="宋体" w:eastAsia="宋体" w:cs="宋体"/>
        </w:rPr>
      </w:pPr>
      <w:r>
        <w:rPr>
          <w:rFonts w:hint="eastAsia" w:ascii="宋体" w:hAnsi="宋体" w:cs="宋体"/>
          <w:lang w:val="en-US" w:eastAsia="zh-CN"/>
        </w:rPr>
        <w:t>3</w:t>
      </w:r>
      <w:r>
        <w:rPr>
          <w:rFonts w:hint="eastAsia" w:ascii="宋体" w:hAnsi="宋体" w:eastAsia="宋体" w:cs="宋体"/>
        </w:rPr>
        <w:t>）实现“五结合”</w:t>
      </w:r>
    </w:p>
    <w:p>
      <w:pPr>
        <w:spacing w:line="360" w:lineRule="auto"/>
        <w:rPr>
          <w:rFonts w:hint="eastAsia" w:ascii="宋体" w:hAnsi="宋体" w:eastAsia="宋体" w:cs="宋体"/>
        </w:rPr>
      </w:pPr>
      <w:r>
        <w:rPr>
          <w:rFonts w:hint="eastAsia" w:ascii="宋体" w:hAnsi="宋体" w:eastAsia="宋体" w:cs="宋体"/>
        </w:rPr>
        <w:t>通过一流课程的建立，最终实现“校内-校外”结合、“理论-实践”结合、“教学-科研”结合、“仿真-实操”结合、“传授-训练”结合。</w:t>
      </w:r>
    </w:p>
    <w:p>
      <w:pPr>
        <w:spacing w:line="360" w:lineRule="auto"/>
        <w:rPr>
          <w:rFonts w:hint="eastAsia" w:ascii="宋体" w:hAnsi="宋体" w:eastAsia="宋体" w:cs="宋体"/>
        </w:rPr>
      </w:pPr>
      <w:r>
        <w:rPr>
          <w:rFonts w:hint="eastAsia" w:ascii="宋体" w:hAnsi="宋体" w:cs="宋体"/>
          <w:lang w:val="en-US" w:eastAsia="zh-CN"/>
        </w:rPr>
        <w:t>4</w:t>
      </w:r>
      <w:r>
        <w:rPr>
          <w:rFonts w:hint="eastAsia" w:ascii="宋体" w:hAnsi="宋体" w:eastAsia="宋体" w:cs="宋体"/>
        </w:rPr>
        <w:t>）通过课程的不断补充和建设，最终完成虚拟仿真实训基地的建设。</w:t>
      </w:r>
    </w:p>
    <w:p>
      <w:pPr>
        <w:ind w:firstLine="480"/>
        <w:rPr>
          <w:rFonts w:hint="eastAsia" w:ascii="宋体" w:hAnsi="宋体" w:eastAsia="宋体" w:cs="宋体"/>
        </w:rPr>
      </w:pPr>
      <w:r>
        <w:rPr>
          <w:rFonts w:hint="eastAsia" w:ascii="宋体" w:hAnsi="宋体" w:eastAsia="宋体" w:cs="宋体"/>
        </w:rPr>
        <w:br w:type="page"/>
      </w:r>
    </w:p>
    <w:p>
      <w:pPr>
        <w:pStyle w:val="3"/>
        <w:numPr>
          <w:ilvl w:val="0"/>
          <w:numId w:val="8"/>
        </w:numPr>
        <w:ind w:left="0"/>
      </w:pPr>
      <w:bookmarkStart w:id="160" w:name="_Toc6038"/>
      <w:bookmarkStart w:id="161" w:name="_Toc9696"/>
      <w:bookmarkStart w:id="162" w:name="_Toc23913"/>
      <w:bookmarkStart w:id="163" w:name="_Toc1796"/>
      <w:bookmarkStart w:id="164" w:name="_Toc22475"/>
      <w:r>
        <w:rPr>
          <w:rFonts w:hint="eastAsia"/>
        </w:rPr>
        <w:t>市场整体情况</w:t>
      </w:r>
      <w:bookmarkEnd w:id="160"/>
      <w:bookmarkEnd w:id="161"/>
      <w:bookmarkEnd w:id="162"/>
      <w:bookmarkEnd w:id="163"/>
      <w:bookmarkEnd w:id="164"/>
    </w:p>
    <w:p>
      <w:pPr>
        <w:rPr>
          <w:rFonts w:hint="default"/>
          <w:lang w:val="en-US"/>
        </w:rPr>
      </w:pPr>
      <w:r>
        <w:rPr>
          <w:rFonts w:hint="eastAsia"/>
          <w:lang w:val="en-US" w:eastAsia="zh-CN"/>
        </w:rPr>
        <w:t>教育学类虚拟仿真课程目前数量并不多，在国家实验空间中共上线了34个课程，其中9门为学前教育相关。</w:t>
      </w:r>
      <w:bookmarkStart w:id="165" w:name="_Toc5000"/>
      <w:bookmarkStart w:id="166" w:name="_Toc26735"/>
      <w:bookmarkStart w:id="167" w:name="_Toc5732"/>
      <w:bookmarkStart w:id="168" w:name="_Toc15359"/>
      <w:r>
        <w:rPr>
          <w:rFonts w:hint="eastAsia"/>
          <w:lang w:val="en-US" w:eastAsia="zh-CN"/>
        </w:rPr>
        <w:t>其中5门为国家级虚拟仿真课程。与班级环境创设相关的课程只有1门，但是风格偏向动画，仿真程度不高，学生的沉浸式体验度不够。因此针对幼儿园环境创设高消耗、高投入的难点，我们应该开发更加适合的虚拟仿真课程。</w:t>
      </w:r>
    </w:p>
    <w:p>
      <w:r>
        <w:rPr>
          <w:rFonts w:hint="eastAsia"/>
        </w:rPr>
        <w:br w:type="page"/>
      </w:r>
    </w:p>
    <w:p>
      <w:pPr>
        <w:pStyle w:val="3"/>
        <w:numPr>
          <w:ilvl w:val="0"/>
          <w:numId w:val="8"/>
        </w:numPr>
        <w:ind w:left="0"/>
      </w:pPr>
      <w:bookmarkStart w:id="169" w:name="_Toc4512"/>
      <w:r>
        <w:rPr>
          <w:rFonts w:hint="eastAsia"/>
        </w:rPr>
        <w:t>建设内容</w:t>
      </w:r>
      <w:bookmarkEnd w:id="165"/>
      <w:bookmarkEnd w:id="166"/>
      <w:bookmarkEnd w:id="167"/>
      <w:bookmarkEnd w:id="168"/>
      <w:bookmarkEnd w:id="169"/>
    </w:p>
    <w:p>
      <w:pPr>
        <w:ind w:firstLine="480"/>
        <w:jc w:val="left"/>
        <w:rPr>
          <w:rFonts w:hint="eastAsia"/>
          <w:lang w:eastAsia="zh-CN"/>
        </w:rPr>
      </w:pPr>
      <w:r>
        <w:rPr>
          <w:rFonts w:hint="eastAsia"/>
          <w:lang w:val="en-US" w:eastAsia="zh-CN"/>
        </w:rPr>
        <w:t>学院目前具备的基础包括</w:t>
      </w:r>
      <w:r>
        <w:rPr>
          <w:rFonts w:hint="eastAsia"/>
        </w:rPr>
        <w:t>重庆人文科技学院学前教育学院有一个校内实训基地，该实训基地总面积763平方米，下设4个功能馆和一个户外游戏区，包括儿童艺术创意馆、儿童绘本馆、幼儿舞蹈训练室、感统训练室。蒙学园的房屋建筑、空间布置、设备材料按照《幼儿园建设标准》来设计，是一个真实的幼儿园。另外还有在建的幼儿情境实训室，完全还原了幼儿园班级环境的真实样貌。实训基地和实训室为《幼儿园环境创设》的建设提供真实的场景支持。学院已建有智慧教室一间，可同时容纳50人左右，为引进3D仿真设计平台提供现实条件。在现有教学资源基础上通过构建逼真的三维仿真的幼儿园环境，让学生在开放、自主、交互的虚拟环境中开展高效、经济的操作，构建高真实感的虚拟环境，更好调动学生参与实验教学的积极性和主动性，激发学生的学习兴趣和潜能，增强学生的实践能力和创新能力。学校购置了未来学堂线上资源库，里面有大量不同幼儿园环境创设的图片和视频资源，包括幼儿园室内外环境、幼儿园班级环境、幼儿园区角环境、幼儿园主题墙等多种素材，学生可以了解不同幼儿园环境创设的风格，积累相关素材，再依托虚拟仿真平台进行自由创作和设计</w:t>
      </w:r>
      <w:r>
        <w:rPr>
          <w:rFonts w:hint="eastAsia"/>
          <w:lang w:eastAsia="zh-CN"/>
        </w:rPr>
        <w:t>。</w:t>
      </w:r>
    </w:p>
    <w:p>
      <w:pPr>
        <w:ind w:firstLine="480"/>
        <w:jc w:val="left"/>
        <w:rPr>
          <w:rFonts w:hint="eastAsia" w:eastAsia="宋体"/>
          <w:lang w:eastAsia="zh-CN"/>
        </w:rPr>
      </w:pPr>
      <w:r>
        <w:rPr>
          <w:rFonts w:hint="eastAsia"/>
        </w:rPr>
        <w:t>结合学科教学需要，立足</w:t>
      </w:r>
      <w:r>
        <w:rPr>
          <w:rFonts w:hint="eastAsia"/>
          <w:lang w:val="en-US" w:eastAsia="zh-CN"/>
        </w:rPr>
        <w:t>学前教育</w:t>
      </w:r>
      <w:r>
        <w:rPr>
          <w:rFonts w:hint="eastAsia"/>
        </w:rPr>
        <w:t>学院的教学特色，遵循“虚实结合，以虚补实”的原则，以提高学习者实践能力与创新精神为核心，将虚拟仿真技术应用于幼儿园区域环境创设与观察指导的教学过程中，对幼儿园区域环境创设与观察指导进行了整体虚拟重建。在传统的教学中从区域环境创设到活动观察指导都采用理论+实景教学的模式，受时空制约，成本高、耗时长，使学习者的自主性及创造性受限，很难达到预期的教学目标和学习效果。本实验在环境创设观察指导的款学过程中创新性的应用线上虚拟仿真技术，通过可视化和优化人机交互的方式，解决了以往幼儿园区域环境创设教学中遇到的实践成本高、时间长，以及幼儿园区域活动观察指导中幼儿问题行为随机性强、不易采样等瓶颈。通过设置准确适宜、形象、直观的教学内容，有效促进了学习者的理论知识与实践能力的有机结合，激发了学习者学习的自主性和创造性。为学习者搭建了高效、典型的虚拟实验操作和沉浸式学习平台，有效实现了学习者知行合一的教育目标。</w:t>
      </w:r>
      <w:r>
        <w:rPr>
          <w:rFonts w:hint="eastAsia"/>
        </w:rPr>
        <w:br w:type="page"/>
      </w:r>
    </w:p>
    <w:p>
      <w:pPr>
        <w:pStyle w:val="3"/>
        <w:numPr>
          <w:ilvl w:val="0"/>
          <w:numId w:val="9"/>
        </w:numPr>
        <w:bidi w:val="0"/>
        <w:rPr>
          <w:rFonts w:hint="default"/>
          <w:lang w:val="en-US" w:eastAsia="zh-CN"/>
        </w:rPr>
      </w:pPr>
      <w:bookmarkStart w:id="170" w:name="_Toc18342"/>
      <w:r>
        <w:rPr>
          <w:rFonts w:hint="eastAsia"/>
          <w:lang w:val="en-US" w:eastAsia="zh-CN"/>
        </w:rPr>
        <w:t>实验方案</w:t>
      </w:r>
      <w:bookmarkEnd w:id="170"/>
      <w:bookmarkStart w:id="171" w:name="_Toc7767"/>
      <w:bookmarkStart w:id="172" w:name="_Toc5943"/>
      <w:bookmarkStart w:id="173" w:name="_Toc27966"/>
      <w:bookmarkStart w:id="174" w:name="_Toc18362"/>
      <w:bookmarkStart w:id="175" w:name="_Toc2068"/>
      <w:bookmarkStart w:id="176" w:name="_Toc22623"/>
      <w:bookmarkStart w:id="177" w:name="_Toc19470"/>
      <w:bookmarkStart w:id="178" w:name="_Toc6241"/>
      <w:bookmarkStart w:id="179" w:name="_Toc300"/>
      <w:bookmarkStart w:id="180" w:name="_Toc23306"/>
      <w:bookmarkStart w:id="181" w:name="_Toc3858"/>
    </w:p>
    <w:p>
      <w:pPr>
        <w:pStyle w:val="4"/>
        <w:numPr>
          <w:ilvl w:val="0"/>
          <w:numId w:val="10"/>
        </w:numPr>
        <w:bidi w:val="0"/>
        <w:rPr>
          <w:rFonts w:hint="default"/>
          <w:lang w:val="en-US" w:eastAsia="zh-CN"/>
        </w:rPr>
      </w:pPr>
      <w:bookmarkStart w:id="182" w:name="_Toc18481"/>
      <w:r>
        <w:rPr>
          <w:rFonts w:hint="eastAsia"/>
          <w:lang w:val="en-US" w:eastAsia="zh-CN"/>
        </w:rPr>
        <w:t>实验原理</w:t>
      </w:r>
      <w:bookmarkEnd w:id="182"/>
    </w:p>
    <w:p>
      <w:pPr>
        <w:bidi w:val="0"/>
        <w:rPr>
          <w:rFonts w:hint="eastAsia"/>
        </w:rPr>
      </w:pPr>
      <w:r>
        <w:rPr>
          <w:rFonts w:hint="eastAsia"/>
        </w:rPr>
        <w:t>通过虚拟仿真实验，可以全面了解幼儿园区域环境创设中如何进行区域空间布局，区域环境划分及材料投放。可通过玩具柜、书架等材料的拖放进行区域的划分，并在“区域标识”栏里选择相应的标识进行区域的命名。使学习者掌握幼儿园活动室中常见区域类型及创设原则。并根摇各年龄段幼儿特点及不同区域要求进行材料投放，使学习者理解材料投放的具体要求。通过虚拟仿真实验，模拟演示幼儿的区域活动过程，使学习者能够直观形象地了解教师在幼儿区域活动中的指导要点，并选择合适的观察内容及记录方法，对幼儿的行为进行观察记录。本实验利用虚拟仿真技术模拟幼儿区域活动时的片段，通过人机交互使学习者明确教师在幼儿区域活动中的职责任务。通过互动操作，掌握幼儿区域活动的指导工作，判断教师在幼儿区域活动中的不当行为，并选择合适的时机介入指导等。实验模拟教师的角色对幼儿区域活动进行操作，通过对每一环节的操作，掌握教师对幼儿区域活动的指导要求和幼儿的活动规范。</w:t>
      </w:r>
    </w:p>
    <w:p>
      <w:pPr>
        <w:pStyle w:val="4"/>
        <w:numPr>
          <w:ilvl w:val="0"/>
          <w:numId w:val="10"/>
        </w:numPr>
        <w:bidi w:val="0"/>
        <w:rPr>
          <w:rFonts w:hint="default"/>
          <w:lang w:val="en-US" w:eastAsia="zh-CN"/>
        </w:rPr>
      </w:pPr>
      <w:bookmarkStart w:id="183" w:name="_Toc12839"/>
      <w:r>
        <w:rPr>
          <w:rFonts w:hint="eastAsia"/>
          <w:lang w:val="en-US" w:eastAsia="zh-CN"/>
        </w:rPr>
        <w:t>实验原理</w:t>
      </w:r>
      <w:bookmarkEnd w:id="183"/>
    </w:p>
    <w:p>
      <w:pPr>
        <w:pStyle w:val="5"/>
        <w:numPr>
          <w:ilvl w:val="1"/>
          <w:numId w:val="10"/>
        </w:numPr>
        <w:bidi w:val="0"/>
        <w:rPr>
          <w:rFonts w:hint="eastAsia"/>
          <w:lang w:val="en-US" w:eastAsia="zh-CN"/>
        </w:rPr>
      </w:pPr>
      <w:bookmarkStart w:id="184" w:name="_Toc30517"/>
      <w:r>
        <w:rPr>
          <w:rFonts w:hint="eastAsia"/>
          <w:lang w:val="en-US" w:eastAsia="zh-CN"/>
        </w:rPr>
        <w:t>幼儿园区角概述</w:t>
      </w:r>
      <w:bookmarkEnd w:id="184"/>
    </w:p>
    <w:p>
      <w:pPr>
        <w:bidi w:val="0"/>
        <w:rPr>
          <w:rFonts w:hint="eastAsia"/>
          <w:lang w:val="en-US" w:eastAsia="zh-CN"/>
        </w:rPr>
      </w:pPr>
      <w:r>
        <w:rPr>
          <w:rFonts w:hint="eastAsia"/>
          <w:lang w:val="en-US" w:eastAsia="zh-CN"/>
        </w:rPr>
        <w:t>区角是幼儿游戏和学习的主要区域，各种有特色的区角能够让幼儿在区角中自由学习，自由发挥。区角活动是通过教师精心创设环境，幼儿自主探索的个别化教育形式。</w:t>
      </w:r>
    </w:p>
    <w:p>
      <w:pPr>
        <w:bidi w:val="0"/>
        <w:rPr>
          <w:rFonts w:hint="eastAsia"/>
          <w:b/>
          <w:bCs/>
          <w:lang w:val="en-US" w:eastAsia="zh-CN"/>
        </w:rPr>
      </w:pPr>
      <w:r>
        <w:rPr>
          <w:rFonts w:hint="eastAsia"/>
          <w:b/>
          <w:bCs/>
          <w:lang w:val="en-US" w:eastAsia="zh-CN"/>
        </w:rPr>
        <w:t>2.1.1 幼儿园区角活动创设的原则</w:t>
      </w:r>
    </w:p>
    <w:p>
      <w:pPr>
        <w:numPr>
          <w:ilvl w:val="0"/>
          <w:numId w:val="11"/>
        </w:numPr>
        <w:bidi w:val="0"/>
        <w:ind w:left="0" w:leftChars="0" w:firstLine="480" w:firstLineChars="200"/>
        <w:rPr>
          <w:rFonts w:hint="eastAsia"/>
          <w:lang w:val="en-US" w:eastAsia="zh-CN"/>
        </w:rPr>
      </w:pPr>
      <w:r>
        <w:rPr>
          <w:rFonts w:hint="eastAsia"/>
          <w:lang w:val="en-US" w:eastAsia="zh-CN"/>
        </w:rPr>
        <w:t>幼儿园区角环境的设计有利于幼儿身心健康</w:t>
      </w:r>
    </w:p>
    <w:p>
      <w:pPr>
        <w:numPr>
          <w:ilvl w:val="0"/>
          <w:numId w:val="11"/>
        </w:numPr>
        <w:bidi w:val="0"/>
        <w:ind w:left="0" w:leftChars="0" w:firstLine="480" w:firstLineChars="200"/>
        <w:rPr>
          <w:rFonts w:hint="eastAsia"/>
          <w:lang w:val="en-US" w:eastAsia="zh-CN"/>
        </w:rPr>
      </w:pPr>
      <w:r>
        <w:rPr>
          <w:rFonts w:hint="eastAsia"/>
          <w:lang w:val="en-US" w:eastAsia="zh-CN"/>
        </w:rPr>
        <w:t>设计区角时要结合园的实际条件和幼儿的需要</w:t>
      </w:r>
    </w:p>
    <w:p>
      <w:pPr>
        <w:numPr>
          <w:ilvl w:val="0"/>
          <w:numId w:val="11"/>
        </w:numPr>
        <w:bidi w:val="0"/>
        <w:rPr>
          <w:rFonts w:hint="eastAsia"/>
          <w:lang w:val="en-US" w:eastAsia="zh-CN"/>
        </w:rPr>
      </w:pPr>
      <w:r>
        <w:rPr>
          <w:rFonts w:hint="eastAsia"/>
          <w:lang w:val="en-US" w:eastAsia="zh-CN"/>
        </w:rPr>
        <w:t>区角环境的设计应该符合科学便捷的原则。</w:t>
      </w:r>
    </w:p>
    <w:p>
      <w:pPr>
        <w:numPr>
          <w:ilvl w:val="0"/>
          <w:numId w:val="11"/>
        </w:numPr>
        <w:bidi w:val="0"/>
        <w:rPr>
          <w:rFonts w:hint="eastAsia"/>
          <w:lang w:val="en-US" w:eastAsia="zh-CN"/>
        </w:rPr>
      </w:pPr>
      <w:r>
        <w:rPr>
          <w:rFonts w:hint="eastAsia"/>
          <w:lang w:val="en-US" w:eastAsia="zh-CN"/>
        </w:rPr>
        <w:t>区角环境的设计要方便更新和调整</w:t>
      </w:r>
    </w:p>
    <w:p>
      <w:pPr>
        <w:numPr>
          <w:ilvl w:val="0"/>
          <w:numId w:val="11"/>
        </w:numPr>
        <w:bidi w:val="0"/>
        <w:rPr>
          <w:rFonts w:hint="eastAsia"/>
          <w:lang w:val="en-US" w:eastAsia="zh-CN"/>
        </w:rPr>
      </w:pPr>
      <w:r>
        <w:rPr>
          <w:rFonts w:hint="eastAsia"/>
          <w:lang w:val="en-US" w:eastAsia="zh-CN"/>
        </w:rPr>
        <w:t>区角环境的设计应包含地方文化特点和多元文化渗透</w:t>
      </w:r>
    </w:p>
    <w:p>
      <w:pPr>
        <w:numPr>
          <w:ilvl w:val="0"/>
          <w:numId w:val="0"/>
        </w:numPr>
        <w:bidi w:val="0"/>
        <w:ind w:leftChars="200"/>
        <w:rPr>
          <w:rFonts w:hint="eastAsia"/>
          <w:b/>
          <w:bCs/>
          <w:lang w:val="en-US" w:eastAsia="zh-CN"/>
        </w:rPr>
      </w:pPr>
      <w:r>
        <w:rPr>
          <w:rFonts w:hint="eastAsia"/>
          <w:b/>
          <w:bCs/>
          <w:lang w:val="en-US" w:eastAsia="zh-CN"/>
        </w:rPr>
        <w:t>2.1.2 区角活动中的教育价值</w:t>
      </w:r>
    </w:p>
    <w:p>
      <w:pPr>
        <w:numPr>
          <w:ilvl w:val="0"/>
          <w:numId w:val="12"/>
        </w:numPr>
        <w:bidi w:val="0"/>
        <w:rPr>
          <w:rFonts w:hint="default"/>
          <w:lang w:val="en-US" w:eastAsia="zh-CN"/>
        </w:rPr>
      </w:pPr>
      <w:r>
        <w:rPr>
          <w:rFonts w:hint="default"/>
          <w:lang w:val="en-US" w:eastAsia="zh-CN"/>
        </w:rPr>
        <w:t>尊重幼儿个体差异，实现幼儿自主选择</w:t>
      </w:r>
    </w:p>
    <w:p>
      <w:pPr>
        <w:numPr>
          <w:ilvl w:val="0"/>
          <w:numId w:val="12"/>
        </w:numPr>
        <w:bidi w:val="0"/>
        <w:rPr>
          <w:rFonts w:hint="default"/>
          <w:lang w:val="en-US" w:eastAsia="zh-CN"/>
        </w:rPr>
      </w:pPr>
      <w:r>
        <w:rPr>
          <w:rFonts w:hint="default"/>
          <w:lang w:val="en-US" w:eastAsia="zh-CN"/>
        </w:rPr>
        <w:t>提供直接经验，通过操作和实践掌握概念</w:t>
      </w:r>
    </w:p>
    <w:p>
      <w:pPr>
        <w:numPr>
          <w:ilvl w:val="0"/>
          <w:numId w:val="12"/>
        </w:numPr>
        <w:bidi w:val="0"/>
        <w:rPr>
          <w:rFonts w:hint="default"/>
          <w:lang w:val="en-US" w:eastAsia="zh-CN"/>
        </w:rPr>
      </w:pPr>
      <w:r>
        <w:rPr>
          <w:rFonts w:hint="default"/>
          <w:lang w:val="en-US" w:eastAsia="zh-CN"/>
        </w:rPr>
        <w:t>培养幼儿的探索精神</w:t>
      </w:r>
    </w:p>
    <w:p>
      <w:pPr>
        <w:numPr>
          <w:ilvl w:val="0"/>
          <w:numId w:val="12"/>
        </w:numPr>
        <w:bidi w:val="0"/>
        <w:rPr>
          <w:rFonts w:hint="eastAsia"/>
          <w:lang w:val="en-US" w:eastAsia="zh-CN"/>
        </w:rPr>
      </w:pPr>
      <w:r>
        <w:rPr>
          <w:rFonts w:hint="default"/>
          <w:lang w:val="en-US" w:eastAsia="zh-CN"/>
        </w:rPr>
        <w:t>促进幼儿交往，学会合作与谦让</w:t>
      </w:r>
    </w:p>
    <w:p>
      <w:pPr>
        <w:pStyle w:val="5"/>
        <w:numPr>
          <w:ilvl w:val="1"/>
          <w:numId w:val="10"/>
        </w:numPr>
        <w:bidi w:val="0"/>
        <w:rPr>
          <w:rFonts w:hint="default"/>
          <w:lang w:val="en-US" w:eastAsia="zh-CN"/>
        </w:rPr>
      </w:pPr>
      <w:bookmarkStart w:id="185" w:name="_Toc3629"/>
      <w:r>
        <w:rPr>
          <w:rFonts w:hint="eastAsia"/>
          <w:lang w:val="en-US" w:eastAsia="zh-CN"/>
        </w:rPr>
        <w:t>幼儿园区角的空间设计</w:t>
      </w:r>
      <w:bookmarkEnd w:id="185"/>
    </w:p>
    <w:p>
      <w:pPr>
        <w:numPr>
          <w:ilvl w:val="0"/>
          <w:numId w:val="0"/>
        </w:numPr>
        <w:bidi w:val="0"/>
        <w:ind w:leftChars="200"/>
        <w:rPr>
          <w:rFonts w:hint="eastAsia"/>
          <w:b/>
          <w:bCs/>
          <w:lang w:val="en-US" w:eastAsia="zh-CN"/>
        </w:rPr>
      </w:pPr>
      <w:r>
        <w:rPr>
          <w:rFonts w:hint="eastAsia"/>
          <w:b/>
          <w:bCs/>
          <w:lang w:val="en-US" w:eastAsia="zh-CN"/>
        </w:rPr>
        <w:t>2.2.1 区角的内容和数量</w:t>
      </w:r>
    </w:p>
    <w:p>
      <w:pPr>
        <w:bidi w:val="0"/>
        <w:rPr>
          <w:rFonts w:hint="eastAsia"/>
          <w:lang w:val="en-US" w:eastAsia="zh-CN"/>
        </w:rPr>
      </w:pPr>
      <w:r>
        <w:rPr>
          <w:rFonts w:hint="eastAsia"/>
          <w:lang w:val="en-US" w:eastAsia="zh-CN"/>
        </w:rPr>
        <w:t>区角的数量在相关文件中没有硬性规定。因此，各幼儿园可根据本园各班的实际情况进行设定。太少，不能满足儿童各方面发展的需求；太多，则可能重复、拥挤，也不利于幼儿活动的开展。一般来说，30人左右的班级设5-7个区角。</w:t>
      </w:r>
    </w:p>
    <w:p>
      <w:pPr>
        <w:pStyle w:val="10"/>
        <w:rPr>
          <w:rFonts w:hint="eastAsia"/>
          <w:lang w:val="en-US" w:eastAsia="zh-CN"/>
        </w:rPr>
      </w:pPr>
    </w:p>
    <w:p>
      <w:pPr>
        <w:numPr>
          <w:ilvl w:val="0"/>
          <w:numId w:val="0"/>
        </w:numPr>
        <w:bidi w:val="0"/>
        <w:ind w:leftChars="200"/>
        <w:rPr>
          <w:rFonts w:hint="eastAsia"/>
          <w:b/>
          <w:bCs/>
          <w:lang w:val="en-US" w:eastAsia="zh-CN"/>
        </w:rPr>
      </w:pPr>
      <w:r>
        <w:rPr>
          <w:rFonts w:hint="eastAsia"/>
          <w:b/>
          <w:bCs/>
          <w:lang w:val="en-US" w:eastAsia="zh-CN"/>
        </w:rPr>
        <w:t>2.2.2 区角的空间设计原则</w:t>
      </w:r>
    </w:p>
    <w:p>
      <w:pPr>
        <w:bidi w:val="0"/>
        <w:rPr>
          <w:rFonts w:hint="eastAsia"/>
          <w:lang w:val="en-US" w:eastAsia="zh-CN"/>
        </w:rPr>
      </w:pPr>
      <w:r>
        <w:rPr>
          <w:rFonts w:hint="eastAsia"/>
          <w:lang w:val="en-US" w:eastAsia="zh-CN"/>
        </w:rPr>
        <w:t>区角的空间设计要满足舒适原则、童趣原则、宽松原则、多样原则、和谐原则、多样原则和特色原则。</w:t>
      </w:r>
    </w:p>
    <w:p>
      <w:pPr>
        <w:bidi w:val="0"/>
        <w:rPr>
          <w:rFonts w:hint="eastAsia"/>
          <w:b/>
          <w:bCs/>
          <w:lang w:val="en-US" w:eastAsia="zh-CN"/>
        </w:rPr>
      </w:pPr>
      <w:r>
        <w:rPr>
          <w:rFonts w:hint="eastAsia"/>
          <w:b/>
          <w:bCs/>
          <w:lang w:val="en-US" w:eastAsia="zh-CN"/>
        </w:rPr>
        <w:t>2.2.3 区角的空间分类</w:t>
      </w:r>
    </w:p>
    <w:p>
      <w:pPr>
        <w:bidi w:val="0"/>
        <w:rPr>
          <w:rFonts w:hint="eastAsia"/>
          <w:lang w:val="en-US" w:eastAsia="zh-CN"/>
        </w:rPr>
      </w:pPr>
      <w:r>
        <w:rPr>
          <w:rFonts w:hint="eastAsia"/>
          <w:lang w:val="en-US" w:eastAsia="zh-CN"/>
        </w:rPr>
        <w:t>区角的空间分类通常按照以下分类方式进行区分：</w:t>
      </w:r>
    </w:p>
    <w:p>
      <w:pPr>
        <w:pStyle w:val="10"/>
        <w:rPr>
          <w:rFonts w:hint="default"/>
          <w:lang w:val="en-US" w:eastAsia="zh-CN"/>
        </w:rPr>
      </w:pPr>
    </w:p>
    <w:p>
      <w:pPr>
        <w:pStyle w:val="10"/>
        <w:rPr>
          <w:rFonts w:hint="default"/>
          <w:lang w:val="en-US" w:eastAsia="zh-CN"/>
        </w:rPr>
      </w:pPr>
      <w:r>
        <w:rPr>
          <w:rFonts w:hint="default"/>
          <w:lang w:val="en-US" w:eastAsia="zh-CN"/>
        </w:rPr>
        <w:drawing>
          <wp:inline distT="0" distB="0" distL="114300" distR="114300">
            <wp:extent cx="5271135" cy="2827020"/>
            <wp:effectExtent l="0" t="0" r="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15"/>
                    <a:stretch>
                      <a:fillRect/>
                    </a:stretch>
                  </pic:blipFill>
                  <pic:spPr>
                    <a:xfrm>
                      <a:off x="0" y="0"/>
                      <a:ext cx="5271135" cy="2827020"/>
                    </a:xfrm>
                    <a:prstGeom prst="rect">
                      <a:avLst/>
                    </a:prstGeom>
                  </pic:spPr>
                </pic:pic>
              </a:graphicData>
            </a:graphic>
          </wp:inline>
        </w:drawing>
      </w:r>
    </w:p>
    <w:p>
      <w:pPr>
        <w:bidi w:val="0"/>
        <w:rPr>
          <w:rFonts w:hint="default"/>
          <w:b/>
          <w:bCs/>
          <w:lang w:val="en-US" w:eastAsia="zh-CN"/>
        </w:rPr>
      </w:pPr>
      <w:r>
        <w:rPr>
          <w:rFonts w:hint="eastAsia"/>
          <w:b/>
          <w:bCs/>
          <w:lang w:val="en-US" w:eastAsia="zh-CN"/>
        </w:rPr>
        <w:t>2.2.4 区角的空间设计细节</w:t>
      </w:r>
    </w:p>
    <w:p>
      <w:pPr>
        <w:numPr>
          <w:ilvl w:val="0"/>
          <w:numId w:val="13"/>
        </w:numPr>
        <w:bidi w:val="0"/>
        <w:rPr>
          <w:rFonts w:hint="default"/>
          <w:lang w:val="en-US" w:eastAsia="zh-CN"/>
        </w:rPr>
      </w:pPr>
      <w:r>
        <w:rPr>
          <w:rFonts w:hint="eastAsia"/>
          <w:lang w:val="en-US" w:eastAsia="zh-CN"/>
        </w:rPr>
        <w:t>为孩子创设不同高度的游戏空间</w:t>
      </w:r>
    </w:p>
    <w:p>
      <w:pPr>
        <w:numPr>
          <w:ilvl w:val="0"/>
          <w:numId w:val="13"/>
        </w:numPr>
        <w:bidi w:val="0"/>
        <w:rPr>
          <w:rFonts w:hint="default"/>
          <w:lang w:val="en-US" w:eastAsia="zh-CN"/>
        </w:rPr>
      </w:pPr>
      <w:r>
        <w:rPr>
          <w:rFonts w:hint="eastAsia"/>
          <w:lang w:val="en-US" w:eastAsia="zh-CN"/>
        </w:rPr>
        <w:t>合理巧妙利用现有空间开展区域活动</w:t>
      </w:r>
    </w:p>
    <w:p>
      <w:pPr>
        <w:numPr>
          <w:ilvl w:val="0"/>
          <w:numId w:val="13"/>
        </w:numPr>
        <w:bidi w:val="0"/>
        <w:rPr>
          <w:rFonts w:hint="default"/>
          <w:lang w:val="en-US" w:eastAsia="zh-CN"/>
        </w:rPr>
      </w:pPr>
      <w:r>
        <w:rPr>
          <w:rFonts w:hint="eastAsia"/>
          <w:lang w:val="en-US" w:eastAsia="zh-CN"/>
        </w:rPr>
        <w:t>恰当选择区角空间的间隔物</w:t>
      </w:r>
    </w:p>
    <w:p>
      <w:pPr>
        <w:numPr>
          <w:ilvl w:val="0"/>
          <w:numId w:val="13"/>
        </w:numPr>
        <w:bidi w:val="0"/>
        <w:ind w:left="0" w:leftChars="0" w:firstLine="480" w:firstLineChars="200"/>
        <w:rPr>
          <w:rFonts w:hint="default"/>
          <w:lang w:val="en-US" w:eastAsia="zh-CN"/>
        </w:rPr>
      </w:pPr>
      <w:r>
        <w:rPr>
          <w:rFonts w:hint="eastAsia"/>
          <w:lang w:val="en-US" w:eastAsia="zh-CN"/>
        </w:rPr>
        <w:t>各区角之间要有明确的标识</w:t>
      </w:r>
    </w:p>
    <w:p>
      <w:pPr>
        <w:numPr>
          <w:ilvl w:val="0"/>
          <w:numId w:val="13"/>
        </w:numPr>
        <w:bidi w:val="0"/>
        <w:rPr>
          <w:rFonts w:hint="default"/>
          <w:lang w:val="en-US" w:eastAsia="zh-CN"/>
        </w:rPr>
      </w:pPr>
      <w:r>
        <w:rPr>
          <w:rFonts w:hint="eastAsia"/>
          <w:lang w:val="en-US" w:eastAsia="zh-CN"/>
        </w:rPr>
        <w:t>各空间面均需达到具体要求</w:t>
      </w:r>
    </w:p>
    <w:p>
      <w:pPr>
        <w:pStyle w:val="5"/>
        <w:numPr>
          <w:ilvl w:val="1"/>
          <w:numId w:val="10"/>
        </w:numPr>
        <w:bidi w:val="0"/>
        <w:rPr>
          <w:rFonts w:hint="default"/>
          <w:lang w:val="en-US" w:eastAsia="zh-CN"/>
        </w:rPr>
      </w:pPr>
      <w:r>
        <w:rPr>
          <w:rFonts w:hint="eastAsia"/>
          <w:lang w:val="en-US" w:eastAsia="zh-CN"/>
        </w:rPr>
        <w:t xml:space="preserve"> </w:t>
      </w:r>
      <w:bookmarkStart w:id="186" w:name="_Toc2571"/>
      <w:r>
        <w:rPr>
          <w:rFonts w:hint="eastAsia"/>
          <w:lang w:val="en-US" w:eastAsia="zh-CN"/>
        </w:rPr>
        <w:t>幼儿园区角的设计与指导</w:t>
      </w:r>
      <w:bookmarkEnd w:id="186"/>
    </w:p>
    <w:p>
      <w:pPr>
        <w:bidi w:val="0"/>
        <w:rPr>
          <w:rFonts w:hint="eastAsia"/>
          <w:lang w:val="en-US" w:eastAsia="zh-CN"/>
        </w:rPr>
      </w:pPr>
      <w:r>
        <w:rPr>
          <w:rFonts w:hint="default"/>
          <w:lang w:val="en-US" w:eastAsia="zh-CN"/>
        </w:rPr>
        <w:t>社会体验区是给幼儿提供角色游戏的区域。角色游戏是3-6岁幼儿最主要的游戏类型，社会体验区也是幼儿园班级最为常见的活动区。有生活化的游戏环境，是真的或者可以替代的操作材料，幼儿能按自己的意愿选择和扮演角色。角色区包括娃娃家、超市、厨房、餐厅、医院，还有邮局、消防局、银行等</w:t>
      </w:r>
      <w:r>
        <w:rPr>
          <w:rFonts w:hint="eastAsia"/>
          <w:lang w:val="en-US" w:eastAsia="zh-CN"/>
        </w:rPr>
        <w:t>。可以给幼儿提供角色交往的机会，了解更多社会角色；创设人际交往的机会，提高解决问题和人际协调能力；提供语言情境，帮助幼儿提升语言表达能力；满足参与社会生活的愿望，帮助积累社会生活经验。</w:t>
      </w:r>
    </w:p>
    <w:p>
      <w:pPr>
        <w:bidi w:val="0"/>
        <w:rPr>
          <w:rFonts w:hint="eastAsia"/>
          <w:lang w:val="en-US" w:eastAsia="zh-CN"/>
        </w:rPr>
      </w:pPr>
      <w:r>
        <w:rPr>
          <w:rFonts w:hint="eastAsia"/>
          <w:lang w:val="en-US" w:eastAsia="zh-CN"/>
        </w:rPr>
        <w:t xml:space="preserve"> 阅读区是幼儿进行看书、读书、讲故事、听故事或编故事等有关活动的区域，也叫“图书角”“图书区”。</w:t>
      </w:r>
    </w:p>
    <w:p>
      <w:pPr>
        <w:bidi w:val="0"/>
        <w:rPr>
          <w:rFonts w:hint="eastAsia"/>
          <w:lang w:val="en-US" w:eastAsia="zh-CN"/>
        </w:rPr>
      </w:pPr>
      <w:r>
        <w:rPr>
          <w:rFonts w:hint="eastAsia"/>
          <w:lang w:val="en-US" w:eastAsia="zh-CN"/>
        </w:rPr>
        <w:t xml:space="preserve">  美术创意区是幼儿进行手工、绘画、雕塑、雕刻等艺术创作的区域。幼儿可以选择多种艺术表现方式和多样化的造型工具材料，进行自主表现和创造。幼儿在美工区进行涂色、描线、折叠、揉搓，以制作图书、卡片、生日蛋糕、城堡等。</w:t>
      </w:r>
    </w:p>
    <w:p>
      <w:pPr>
        <w:bidi w:val="0"/>
        <w:rPr>
          <w:rFonts w:hint="default"/>
          <w:lang w:val="en-US" w:eastAsia="zh-CN"/>
        </w:rPr>
      </w:pPr>
      <w:r>
        <w:rPr>
          <w:rFonts w:hint="default"/>
          <w:lang w:val="en-US" w:eastAsia="zh-CN"/>
        </w:rPr>
        <w:t xml:space="preserve"> </w:t>
      </w:r>
      <w:r>
        <w:rPr>
          <w:rFonts w:hint="eastAsia"/>
          <w:lang w:val="en-US" w:eastAsia="zh-CN"/>
        </w:rPr>
        <w:t>益智区</w:t>
      </w:r>
      <w:r>
        <w:rPr>
          <w:rFonts w:hint="default"/>
          <w:lang w:val="en-US" w:eastAsia="zh-CN"/>
        </w:rPr>
        <w:t>提供与动手、动脑解决问题有关的区域，重在发展幼儿的智力，具有一定的挑战性和竞争性。</w:t>
      </w:r>
    </w:p>
    <w:p>
      <w:pPr>
        <w:bidi w:val="0"/>
        <w:rPr>
          <w:rFonts w:hint="default"/>
          <w:lang w:val="en-US" w:eastAsia="zh-CN"/>
        </w:rPr>
      </w:pPr>
      <w:r>
        <w:rPr>
          <w:rFonts w:hint="default"/>
          <w:lang w:val="en-US" w:eastAsia="zh-CN"/>
        </w:rPr>
        <w:t>建构区是为幼儿运用多种结构材料，如积木、积塑、雪花片等进行建造、设计和创造活动的区域，提供结构游戏的区域，主要有积木区、沙水区、积塑区等。幼儿建构主题是在认知基础上，对周围环境、事物的再现和创作，幼儿对生活环境的观察与了解，是开展建构游戏的基础。</w:t>
      </w:r>
    </w:p>
    <w:p>
      <w:pPr>
        <w:bidi w:val="0"/>
        <w:rPr>
          <w:rFonts w:hint="default"/>
          <w:lang w:val="en-US" w:eastAsia="zh-CN"/>
        </w:rPr>
      </w:pPr>
      <w:r>
        <w:rPr>
          <w:rFonts w:hint="default"/>
          <w:lang w:val="en-US" w:eastAsia="zh-CN"/>
        </w:rPr>
        <w:t>科学区是幼儿进行科学探究的区域。如探究各类动植物、化学现象、物理现象等。幼儿通过操作性的探究与发现，来获得对周围世界的认知和经验的提升。幼儿可以根据自己的意愿，通过观察、操作等与客体直接接触，获得丰富的感性经验。</w:t>
      </w:r>
    </w:p>
    <w:p>
      <w:pPr>
        <w:pStyle w:val="10"/>
        <w:rPr>
          <w:rFonts w:hint="default"/>
          <w:lang w:val="en-US" w:eastAsia="zh-CN"/>
        </w:rPr>
      </w:pPr>
      <w:r>
        <w:rPr>
          <w:rFonts w:hint="default" w:ascii="Calibri" w:hAnsi="Calibri" w:eastAsia="宋体" w:cs="Times New Roman"/>
          <w:kern w:val="2"/>
          <w:sz w:val="24"/>
          <w:szCs w:val="22"/>
          <w:lang w:val="en-US" w:eastAsia="zh-CN" w:bidi="ar-SA"/>
        </w:rPr>
        <w:t xml:space="preserve">   表演区是幼儿自娱自乐，欣赏音乐、进行角色或音舞表演的活动区。幼儿间通过自主分工、合作制作或准备服装、道具进行表演，有将强的互动性。</w:t>
      </w:r>
    </w:p>
    <w:p>
      <w:pPr>
        <w:pStyle w:val="4"/>
        <w:numPr>
          <w:ilvl w:val="0"/>
          <w:numId w:val="10"/>
        </w:numPr>
        <w:bidi w:val="0"/>
        <w:ind w:left="0" w:leftChars="0" w:firstLine="0" w:firstLineChars="0"/>
        <w:rPr>
          <w:rFonts w:hint="default"/>
          <w:lang w:val="en-US" w:eastAsia="zh-CN"/>
        </w:rPr>
      </w:pPr>
      <w:bookmarkStart w:id="187" w:name="_Toc14990"/>
      <w:r>
        <w:rPr>
          <w:rFonts w:hint="eastAsia"/>
          <w:lang w:val="en-US" w:eastAsia="zh-CN"/>
        </w:rPr>
        <w:t>操作步骤</w:t>
      </w:r>
      <w:bookmarkEnd w:id="187"/>
    </w:p>
    <w:p>
      <w:pPr>
        <w:numPr>
          <w:ilvl w:val="0"/>
          <w:numId w:val="14"/>
        </w:numPr>
        <w:bidi w:val="0"/>
        <w:ind w:left="425" w:leftChars="0" w:hanging="425" w:firstLineChars="0"/>
        <w:rPr>
          <w:rFonts w:hint="eastAsia"/>
          <w:lang w:val="en-US" w:eastAsia="zh-CN"/>
        </w:rPr>
      </w:pPr>
      <w:r>
        <w:rPr>
          <w:rFonts w:hint="eastAsia"/>
          <w:lang w:val="en-US" w:eastAsia="zh-CN"/>
        </w:rPr>
        <w:t>学生进入幼儿园班级场景进行漫游，了解幼儿园班级的环境和活动区创设案例</w:t>
      </w:r>
    </w:p>
    <w:p>
      <w:pPr>
        <w:numPr>
          <w:ilvl w:val="0"/>
          <w:numId w:val="14"/>
        </w:numPr>
        <w:bidi w:val="0"/>
        <w:ind w:left="425" w:leftChars="0" w:hanging="425" w:firstLineChars="0"/>
        <w:rPr>
          <w:rFonts w:hint="eastAsia"/>
          <w:lang w:val="en-US" w:eastAsia="zh-CN"/>
        </w:rPr>
      </w:pPr>
      <w:r>
        <w:rPr>
          <w:rFonts w:hint="eastAsia"/>
          <w:lang w:val="en-US" w:eastAsia="zh-CN"/>
        </w:rPr>
        <w:t>进入系统，选择班级（大、中、小班）</w:t>
      </w:r>
    </w:p>
    <w:p>
      <w:pPr>
        <w:numPr>
          <w:ilvl w:val="0"/>
          <w:numId w:val="14"/>
        </w:numPr>
        <w:bidi w:val="0"/>
        <w:ind w:left="425" w:leftChars="0" w:hanging="425" w:firstLineChars="0"/>
        <w:rPr>
          <w:rFonts w:hint="eastAsia"/>
          <w:lang w:val="en-US" w:eastAsia="zh-CN"/>
        </w:rPr>
      </w:pPr>
      <w:r>
        <w:rPr>
          <w:rFonts w:hint="eastAsia"/>
          <w:lang w:val="en-US" w:eastAsia="zh-CN"/>
        </w:rPr>
        <w:t>根据教室的环境，选定各个区域的大小和位置</w:t>
      </w:r>
    </w:p>
    <w:p>
      <w:pPr>
        <w:numPr>
          <w:ilvl w:val="0"/>
          <w:numId w:val="14"/>
        </w:numPr>
        <w:bidi w:val="0"/>
        <w:ind w:left="425" w:leftChars="0" w:hanging="425" w:firstLineChars="0"/>
        <w:rPr>
          <w:rFonts w:hint="eastAsia"/>
          <w:lang w:val="en-US" w:eastAsia="zh-CN"/>
        </w:rPr>
      </w:pPr>
      <w:r>
        <w:rPr>
          <w:rFonts w:hint="eastAsia"/>
          <w:lang w:val="en-US" w:eastAsia="zh-CN"/>
        </w:rPr>
        <w:t>对区域进行标注，包括区角的名称和作用</w:t>
      </w:r>
    </w:p>
    <w:p>
      <w:pPr>
        <w:numPr>
          <w:ilvl w:val="0"/>
          <w:numId w:val="14"/>
        </w:numPr>
        <w:bidi w:val="0"/>
        <w:ind w:left="425" w:leftChars="0" w:hanging="425" w:firstLineChars="0"/>
        <w:rPr>
          <w:rFonts w:hint="eastAsia"/>
          <w:lang w:val="en-US" w:eastAsia="zh-CN"/>
        </w:rPr>
      </w:pPr>
      <w:r>
        <w:rPr>
          <w:rFonts w:hint="eastAsia"/>
          <w:lang w:val="en-US" w:eastAsia="zh-CN"/>
        </w:rPr>
        <w:t>拖动UI面板的模型对区角完成基础设施搭建</w:t>
      </w:r>
    </w:p>
    <w:p>
      <w:pPr>
        <w:numPr>
          <w:ilvl w:val="0"/>
          <w:numId w:val="14"/>
        </w:numPr>
        <w:bidi w:val="0"/>
        <w:ind w:left="425" w:leftChars="0" w:hanging="425" w:firstLineChars="0"/>
        <w:rPr>
          <w:rFonts w:hint="eastAsia"/>
          <w:lang w:val="en-US" w:eastAsia="zh-CN"/>
        </w:rPr>
      </w:pPr>
      <w:r>
        <w:rPr>
          <w:rFonts w:hint="eastAsia"/>
          <w:lang w:val="en-US" w:eastAsia="zh-CN"/>
        </w:rPr>
        <w:t>选择合适的主题对墙面进行主题设置</w:t>
      </w:r>
    </w:p>
    <w:p>
      <w:pPr>
        <w:numPr>
          <w:ilvl w:val="0"/>
          <w:numId w:val="14"/>
        </w:numPr>
        <w:bidi w:val="0"/>
        <w:ind w:left="425" w:leftChars="0" w:hanging="425" w:firstLineChars="0"/>
        <w:rPr>
          <w:rFonts w:hint="eastAsia"/>
          <w:lang w:val="en-US" w:eastAsia="zh-CN"/>
        </w:rPr>
      </w:pPr>
      <w:r>
        <w:rPr>
          <w:rFonts w:hint="eastAsia"/>
          <w:lang w:val="en-US" w:eastAsia="zh-CN"/>
        </w:rPr>
        <w:t>选择灯具等装饰品对房间进行改造</w:t>
      </w:r>
    </w:p>
    <w:p>
      <w:pPr>
        <w:numPr>
          <w:ilvl w:val="0"/>
          <w:numId w:val="14"/>
        </w:numPr>
        <w:bidi w:val="0"/>
        <w:ind w:left="425" w:leftChars="0" w:hanging="425" w:firstLineChars="0"/>
        <w:rPr>
          <w:rFonts w:hint="eastAsia"/>
          <w:lang w:val="en-US" w:eastAsia="zh-CN"/>
        </w:rPr>
      </w:pPr>
      <w:r>
        <w:rPr>
          <w:rFonts w:hint="eastAsia"/>
          <w:lang w:val="en-US" w:eastAsia="zh-CN"/>
        </w:rPr>
        <w:t>进入一个区角，跟据区角的功能选择合适的物品模型</w:t>
      </w:r>
    </w:p>
    <w:p>
      <w:pPr>
        <w:numPr>
          <w:ilvl w:val="0"/>
          <w:numId w:val="14"/>
        </w:numPr>
        <w:bidi w:val="0"/>
        <w:ind w:left="425" w:leftChars="0" w:hanging="425" w:firstLineChars="0"/>
        <w:rPr>
          <w:rFonts w:hint="eastAsia"/>
          <w:lang w:val="en-US" w:eastAsia="zh-CN"/>
        </w:rPr>
      </w:pPr>
      <w:r>
        <w:rPr>
          <w:rFonts w:hint="eastAsia"/>
          <w:lang w:val="en-US" w:eastAsia="zh-CN"/>
        </w:rPr>
        <w:t>可随时选择2D和3D视角的切换，对区域进行浏览</w:t>
      </w:r>
    </w:p>
    <w:p>
      <w:pPr>
        <w:numPr>
          <w:ilvl w:val="0"/>
          <w:numId w:val="14"/>
        </w:numPr>
        <w:bidi w:val="0"/>
        <w:ind w:left="425" w:leftChars="0" w:hanging="425" w:firstLineChars="0"/>
        <w:rPr>
          <w:rFonts w:hint="eastAsia"/>
          <w:lang w:val="en-US" w:eastAsia="zh-CN"/>
        </w:rPr>
      </w:pPr>
      <w:r>
        <w:rPr>
          <w:rFonts w:hint="eastAsia"/>
          <w:lang w:val="en-US" w:eastAsia="zh-CN"/>
        </w:rPr>
        <w:t>可以对模型进行位置移动，删除等操作，来进行区角的创设</w:t>
      </w:r>
    </w:p>
    <w:p>
      <w:pPr>
        <w:numPr>
          <w:ilvl w:val="0"/>
          <w:numId w:val="14"/>
        </w:numPr>
        <w:bidi w:val="0"/>
        <w:ind w:left="425" w:leftChars="0" w:hanging="425" w:firstLineChars="0"/>
        <w:rPr>
          <w:rFonts w:hint="eastAsia"/>
          <w:lang w:val="en-US" w:eastAsia="zh-CN"/>
        </w:rPr>
      </w:pPr>
      <w:r>
        <w:rPr>
          <w:rFonts w:hint="eastAsia"/>
          <w:lang w:val="en-US" w:eastAsia="zh-CN"/>
        </w:rPr>
        <w:t>区角创设完成后，可以保存作品，若没有选择保存，可以弹出对话框进行提示</w:t>
      </w:r>
    </w:p>
    <w:p>
      <w:pPr>
        <w:numPr>
          <w:ilvl w:val="0"/>
          <w:numId w:val="14"/>
        </w:numPr>
        <w:bidi w:val="0"/>
        <w:ind w:left="425" w:leftChars="0" w:hanging="425" w:firstLineChars="0"/>
        <w:rPr>
          <w:rFonts w:hint="eastAsia"/>
          <w:lang w:val="en-US" w:eastAsia="zh-CN"/>
        </w:rPr>
      </w:pPr>
      <w:r>
        <w:rPr>
          <w:rFonts w:hint="eastAsia"/>
          <w:lang w:val="en-US" w:eastAsia="zh-CN"/>
        </w:rPr>
        <w:t>对已经完成的作品，生成作品，老师可以对其进行打分</w:t>
      </w:r>
    </w:p>
    <w:p>
      <w:pPr>
        <w:numPr>
          <w:ilvl w:val="0"/>
          <w:numId w:val="14"/>
        </w:numPr>
        <w:bidi w:val="0"/>
        <w:ind w:left="425" w:leftChars="0" w:hanging="425" w:firstLineChars="0"/>
        <w:rPr>
          <w:rFonts w:hint="eastAsia"/>
          <w:lang w:val="en-US" w:eastAsia="zh-CN"/>
        </w:rPr>
      </w:pPr>
      <w:r>
        <w:rPr>
          <w:rFonts w:hint="eastAsia"/>
          <w:lang w:val="en-US" w:eastAsia="zh-CN"/>
        </w:rPr>
        <w:t>学生可以对完成的作品进行查看归档</w:t>
      </w:r>
    </w:p>
    <w:p>
      <w:pPr>
        <w:numPr>
          <w:ilvl w:val="0"/>
          <w:numId w:val="15"/>
        </w:numPr>
        <w:bidi w:val="0"/>
        <w:ind w:left="425" w:leftChars="0" w:hanging="425" w:firstLineChars="0"/>
        <w:rPr>
          <w:rFonts w:hint="default"/>
          <w:lang w:val="en-US" w:eastAsia="zh-CN"/>
        </w:rPr>
      </w:pPr>
      <w:r>
        <w:rPr>
          <w:rFonts w:hint="eastAsia"/>
        </w:rPr>
        <w:br w:type="page"/>
      </w:r>
    </w:p>
    <w:p>
      <w:pPr>
        <w:pStyle w:val="3"/>
        <w:numPr>
          <w:ilvl w:val="0"/>
          <w:numId w:val="0"/>
        </w:numPr>
        <w:ind w:leftChars="0"/>
        <w:rPr>
          <w:rFonts w:hint="default" w:eastAsia="宋体"/>
          <w:lang w:val="en-US" w:eastAsia="zh-CN"/>
        </w:rPr>
      </w:pPr>
      <w:bookmarkStart w:id="188" w:name="_Toc18787"/>
      <w:r>
        <w:rPr>
          <w:rFonts w:hint="eastAsia"/>
          <w:lang w:val="en-US" w:eastAsia="zh-CN"/>
        </w:rPr>
        <w:t>七、</w:t>
      </w:r>
      <w:bookmarkEnd w:id="171"/>
      <w:bookmarkEnd w:id="172"/>
      <w:bookmarkEnd w:id="173"/>
      <w:bookmarkEnd w:id="174"/>
      <w:bookmarkEnd w:id="175"/>
      <w:bookmarkEnd w:id="176"/>
      <w:bookmarkEnd w:id="177"/>
      <w:bookmarkEnd w:id="178"/>
      <w:bookmarkEnd w:id="179"/>
      <w:bookmarkEnd w:id="180"/>
      <w:bookmarkEnd w:id="181"/>
      <w:r>
        <w:rPr>
          <w:rFonts w:hint="eastAsia"/>
          <w:lang w:val="en-US" w:eastAsia="zh-CN"/>
        </w:rPr>
        <w:t>模型统计</w:t>
      </w:r>
      <w:bookmarkEnd w:id="188"/>
    </w:p>
    <w:tbl>
      <w:tblPr>
        <w:tblStyle w:val="13"/>
        <w:tblW w:w="4660" w:type="pct"/>
        <w:tblInd w:w="2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6"/>
        <w:gridCol w:w="5745"/>
        <w:gridCol w:w="1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序号</w:t>
            </w:r>
          </w:p>
        </w:tc>
        <w:tc>
          <w:tcPr>
            <w:tcW w:w="3616"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素材名称</w:t>
            </w:r>
          </w:p>
        </w:tc>
        <w:tc>
          <w:tcPr>
            <w:tcW w:w="901" w:type="pct"/>
            <w:vAlign w:val="center"/>
          </w:tcPr>
          <w:p>
            <w:pPr>
              <w:ind w:firstLine="420"/>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3616"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幼儿园情景模拟实训室器材</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39种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p>
        </w:tc>
        <w:tc>
          <w:tcPr>
            <w:tcW w:w="3616"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幼儿科学实验室</w:t>
            </w:r>
            <w:r>
              <w:rPr>
                <w:rFonts w:hint="eastAsia" w:asciiTheme="minorEastAsia" w:hAnsiTheme="minorEastAsia" w:eastAsiaTheme="minorEastAsia" w:cstheme="minorEastAsia"/>
                <w:sz w:val="21"/>
                <w:szCs w:val="21"/>
                <w:lang w:val="en-US" w:eastAsia="zh-CN"/>
              </w:rPr>
              <w:t>主题套装</w:t>
            </w:r>
          </w:p>
        </w:tc>
        <w:tc>
          <w:tcPr>
            <w:tcW w:w="901" w:type="pct"/>
            <w:vAlign w:val="center"/>
          </w:tcPr>
          <w:p>
            <w:pPr>
              <w:widowControl/>
              <w:numPr>
                <w:ilvl w:val="0"/>
                <w:numId w:val="0"/>
              </w:numPr>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p>
        </w:tc>
        <w:tc>
          <w:tcPr>
            <w:tcW w:w="3616" w:type="pct"/>
            <w:vAlign w:val="center"/>
          </w:tcPr>
          <w:p>
            <w:pPr>
              <w:ind w:firstLine="0" w:firstLine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早期教育实训室</w:t>
            </w:r>
            <w:r>
              <w:rPr>
                <w:rFonts w:hint="eastAsia" w:asciiTheme="minorEastAsia" w:hAnsiTheme="minorEastAsia" w:eastAsiaTheme="minorEastAsia" w:cstheme="minorEastAsia"/>
                <w:sz w:val="21"/>
                <w:szCs w:val="21"/>
                <w:lang w:val="en-US" w:eastAsia="zh-CN"/>
              </w:rPr>
              <w:t>器材</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p>
        </w:tc>
        <w:tc>
          <w:tcPr>
            <w:tcW w:w="3616" w:type="pct"/>
            <w:vAlign w:val="center"/>
          </w:tcPr>
          <w:p>
            <w:pPr>
              <w:ind w:firstLine="0" w:firstLine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美术手工室</w:t>
            </w:r>
            <w:r>
              <w:rPr>
                <w:rFonts w:hint="eastAsia" w:asciiTheme="minorEastAsia" w:hAnsiTheme="minorEastAsia" w:eastAsiaTheme="minorEastAsia" w:cstheme="minorEastAsia"/>
                <w:sz w:val="21"/>
                <w:szCs w:val="21"/>
                <w:lang w:val="en-US" w:eastAsia="zh-CN"/>
              </w:rPr>
              <w:t>柜子</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p>
        </w:tc>
        <w:tc>
          <w:tcPr>
            <w:tcW w:w="3616"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美术实训室</w:t>
            </w:r>
            <w:r>
              <w:rPr>
                <w:rFonts w:hint="eastAsia" w:asciiTheme="minorEastAsia" w:hAnsiTheme="minorEastAsia" w:eastAsiaTheme="minorEastAsia" w:cstheme="minorEastAsia"/>
                <w:sz w:val="21"/>
                <w:szCs w:val="21"/>
                <w:lang w:val="en-US" w:eastAsia="zh-CN"/>
              </w:rPr>
              <w:t>手工和画画材料</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6</w:t>
            </w:r>
          </w:p>
        </w:tc>
        <w:tc>
          <w:tcPr>
            <w:tcW w:w="3616" w:type="pct"/>
            <w:vAlign w:val="center"/>
          </w:tcPr>
          <w:p>
            <w:pPr>
              <w:tabs>
                <w:tab w:val="left" w:pos="1356"/>
              </w:tabs>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蒙台梭利生活实践用品</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7</w:t>
            </w:r>
          </w:p>
        </w:tc>
        <w:tc>
          <w:tcPr>
            <w:tcW w:w="3616" w:type="pct"/>
            <w:vAlign w:val="center"/>
          </w:tcPr>
          <w:p>
            <w:pPr>
              <w:ind w:firstLine="0" w:firstLineChars="0"/>
              <w:jc w:val="center"/>
              <w:rPr>
                <w:rFonts w:hint="default"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蒙台梭利语言学习用品</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8</w:t>
            </w:r>
          </w:p>
        </w:tc>
        <w:tc>
          <w:tcPr>
            <w:tcW w:w="3616" w:type="pct"/>
            <w:vAlign w:val="center"/>
          </w:tcPr>
          <w:p>
            <w:pPr>
              <w:ind w:firstLine="0" w:firstLineChars="0"/>
              <w:jc w:val="center"/>
              <w:rPr>
                <w:rFonts w:hint="default"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蒙台梭利数学学习用品</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9</w:t>
            </w:r>
          </w:p>
        </w:tc>
        <w:tc>
          <w:tcPr>
            <w:tcW w:w="3616"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蒙台梭利生物学习用品</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w:t>
            </w:r>
          </w:p>
        </w:tc>
        <w:tc>
          <w:tcPr>
            <w:tcW w:w="3616"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蒙台梭利地理学习用品</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3616" w:type="pct"/>
            <w:vAlign w:val="center"/>
          </w:tcPr>
          <w:p>
            <w:pPr>
              <w:ind w:firstLine="0" w:firstLineChars="0"/>
              <w:jc w:val="center"/>
              <w:rPr>
                <w:rFonts w:hint="default" w:asciiTheme="minorEastAsia" w:hAnsiTheme="minorEastAsia" w:eastAsiaTheme="minorEastAsia" w:cstheme="minorEastAsia"/>
                <w:sz w:val="21"/>
                <w:szCs w:val="21"/>
                <w:lang w:val="en-US"/>
              </w:rPr>
            </w:pPr>
            <w:r>
              <w:rPr>
                <w:rFonts w:hint="eastAsia" w:asciiTheme="minorEastAsia" w:hAnsiTheme="minorEastAsia" w:eastAsiaTheme="minorEastAsia" w:cstheme="minorEastAsia"/>
                <w:sz w:val="21"/>
                <w:szCs w:val="21"/>
                <w:lang w:val="en-US" w:eastAsia="zh-CN"/>
              </w:rPr>
              <w:t>蒙台梭利阅读区角</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12</w:t>
            </w:r>
          </w:p>
        </w:tc>
        <w:tc>
          <w:tcPr>
            <w:tcW w:w="3616"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感统教具</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29种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15</w:t>
            </w:r>
          </w:p>
        </w:tc>
        <w:tc>
          <w:tcPr>
            <w:tcW w:w="3616"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音乐器材</w:t>
            </w:r>
          </w:p>
        </w:tc>
        <w:tc>
          <w:tcPr>
            <w:tcW w:w="901" w:type="pct"/>
            <w:vAlign w:val="center"/>
          </w:tcPr>
          <w:p>
            <w:pPr>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31种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210" w:firstLineChars="100"/>
              <w:jc w:val="both"/>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16</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吊顶主题系列（可以针对房顶进行装饰和更换主题）</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9套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17</w:t>
            </w:r>
          </w:p>
        </w:tc>
        <w:tc>
          <w:tcPr>
            <w:tcW w:w="3616" w:type="pct"/>
            <w:vAlign w:val="center"/>
          </w:tcPr>
          <w:p>
            <w:pPr>
              <w:widowControl/>
              <w:ind w:firstLine="0" w:firstLineChars="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墙面主题系列（墙面的主题可以进行更换）</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12套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18</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大小互动墙板系列（墙板可以选择进行更换）</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54个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科学台系列</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13个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bookmarkStart w:id="189" w:name="_Toc25172"/>
            <w:bookmarkStart w:id="190" w:name="_Toc31375"/>
            <w:bookmarkStart w:id="191" w:name="_Toc27452"/>
            <w:bookmarkStart w:id="192" w:name="_Toc2004"/>
            <w:bookmarkStart w:id="193" w:name="_Toc6969"/>
            <w:bookmarkStart w:id="194" w:name="_Toc28326"/>
            <w:bookmarkStart w:id="195" w:name="_Toc7338"/>
            <w:r>
              <w:rPr>
                <w:rFonts w:hint="eastAsia" w:asciiTheme="minorEastAsia" w:hAnsiTheme="minorEastAsia" w:eastAsiaTheme="minorEastAsia" w:cstheme="minorEastAsia"/>
                <w:sz w:val="21"/>
                <w:szCs w:val="21"/>
                <w:lang w:val="en-US" w:eastAsia="zh-CN"/>
              </w:rPr>
              <w:t>20</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特色区角系列（包括安全主题）</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20个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21</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小球旅行记</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3个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22</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运动体感器材</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8种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23</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玩沙主题游乐设施</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4个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24</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玩水主题设施</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25</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音乐主题系列（可进行模型的更换）</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82"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26</w:t>
            </w:r>
          </w:p>
        </w:tc>
        <w:tc>
          <w:tcPr>
            <w:tcW w:w="3616"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光学暗房主题</w:t>
            </w:r>
          </w:p>
        </w:tc>
        <w:tc>
          <w:tcPr>
            <w:tcW w:w="901" w:type="pct"/>
            <w:vAlign w:val="center"/>
          </w:tcPr>
          <w:p>
            <w:pPr>
              <w:widowControl/>
              <w:ind w:firstLine="0" w:firstLineChars="0"/>
              <w:jc w:val="cente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11个</w:t>
            </w:r>
          </w:p>
        </w:tc>
      </w:tr>
    </w:tbl>
    <w:p>
      <w:pPr>
        <w:ind w:firstLine="0" w:firstLineChars="0"/>
      </w:pPr>
    </w:p>
    <w:p>
      <w:pPr>
        <w:ind w:firstLine="480"/>
      </w:pPr>
      <w:r>
        <w:rPr>
          <w:rFonts w:hint="eastAsia"/>
        </w:rPr>
        <w:br w:type="page"/>
      </w:r>
    </w:p>
    <w:p>
      <w:pPr>
        <w:pStyle w:val="3"/>
      </w:pPr>
      <w:bookmarkStart w:id="196" w:name="_Toc21665"/>
      <w:bookmarkStart w:id="197" w:name="_Toc29557"/>
      <w:bookmarkStart w:id="198" w:name="_Toc18388"/>
      <w:bookmarkStart w:id="199" w:name="_Toc21945"/>
      <w:bookmarkStart w:id="200" w:name="_Toc6571"/>
      <w:r>
        <w:rPr>
          <w:rFonts w:hint="eastAsia"/>
        </w:rPr>
        <w:t>八、场景</w:t>
      </w:r>
      <w:bookmarkEnd w:id="189"/>
      <w:bookmarkEnd w:id="190"/>
      <w:bookmarkEnd w:id="191"/>
      <w:bookmarkEnd w:id="192"/>
      <w:bookmarkEnd w:id="193"/>
      <w:bookmarkEnd w:id="194"/>
      <w:bookmarkEnd w:id="195"/>
      <w:r>
        <w:rPr>
          <w:rFonts w:hint="eastAsia"/>
        </w:rPr>
        <w:t>模型明细</w:t>
      </w:r>
      <w:bookmarkEnd w:id="196"/>
      <w:bookmarkEnd w:id="197"/>
      <w:bookmarkEnd w:id="198"/>
      <w:bookmarkEnd w:id="199"/>
      <w:bookmarkEnd w:id="200"/>
    </w:p>
    <w:tbl>
      <w:tblPr>
        <w:tblStyle w:val="13"/>
        <w:tblpPr w:leftFromText="180" w:rightFromText="180" w:vertAnchor="text" w:horzAnchor="page" w:tblpX="2019" w:tblpY="1"/>
        <w:tblOverlap w:val="never"/>
        <w:tblW w:w="81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3"/>
        <w:gridCol w:w="1677"/>
        <w:gridCol w:w="5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8144" w:type="dxa"/>
            <w:gridSpan w:val="3"/>
            <w:vAlign w:val="center"/>
          </w:tcPr>
          <w:p>
            <w:pPr>
              <w:ind w:firstLine="420"/>
              <w:jc w:val="center"/>
              <w:rPr>
                <w:rFonts w:ascii="宋体" w:hAnsi="宋体" w:cs="宋体"/>
                <w:sz w:val="21"/>
                <w:szCs w:val="21"/>
              </w:rPr>
            </w:pPr>
            <w:r>
              <w:rPr>
                <w:rFonts w:hint="eastAsia"/>
                <w:sz w:val="21"/>
                <w:szCs w:val="21"/>
              </w:rPr>
              <w:t>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3" w:type="dxa"/>
            <w:vAlign w:val="center"/>
          </w:tcPr>
          <w:p>
            <w:pPr>
              <w:widowControl/>
              <w:ind w:firstLine="0" w:firstLineChars="0"/>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序号</w:t>
            </w:r>
          </w:p>
        </w:tc>
        <w:tc>
          <w:tcPr>
            <w:tcW w:w="1677" w:type="dxa"/>
            <w:vAlign w:val="center"/>
          </w:tcPr>
          <w:p>
            <w:pPr>
              <w:widowControl/>
              <w:ind w:firstLine="0" w:firstLineChars="0"/>
              <w:jc w:val="center"/>
              <w:rPr>
                <w:rFonts w:asciiTheme="minorHAnsi" w:hAnsiTheme="minorHAnsi" w:eastAsiaTheme="minorEastAsia" w:cstheme="minorBidi"/>
                <w:sz w:val="21"/>
                <w:szCs w:val="21"/>
              </w:rPr>
            </w:pPr>
            <w:r>
              <w:rPr>
                <w:rFonts w:hint="eastAsia" w:asciiTheme="minorHAnsi" w:hAnsiTheme="minorHAnsi" w:eastAsiaTheme="minorEastAsia" w:cstheme="minorBidi"/>
                <w:sz w:val="21"/>
                <w:szCs w:val="21"/>
              </w:rPr>
              <w:t>名称</w:t>
            </w:r>
          </w:p>
        </w:tc>
        <w:tc>
          <w:tcPr>
            <w:tcW w:w="5664" w:type="dxa"/>
            <w:vAlign w:val="center"/>
          </w:tcPr>
          <w:p>
            <w:pPr>
              <w:widowControl/>
              <w:ind w:firstLine="0" w:firstLineChars="0"/>
              <w:jc w:val="center"/>
              <w:rPr>
                <w:rFonts w:hint="eastAsia"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trPr>
        <w:tc>
          <w:tcPr>
            <w:tcW w:w="803" w:type="dxa"/>
            <w:vAlign w:val="center"/>
          </w:tcPr>
          <w:p>
            <w:pPr>
              <w:widowControl/>
              <w:ind w:firstLine="0" w:firstLineChars="0"/>
              <w:jc w:val="center"/>
              <w:rPr>
                <w:rFonts w:hint="eastAsia" w:asciiTheme="minorHAnsi" w:hAnsiTheme="minorHAnsi" w:eastAsiaTheme="minorEastAsia" w:cstheme="minorBidi"/>
                <w:sz w:val="21"/>
                <w:szCs w:val="21"/>
                <w:lang w:eastAsia="zh-CN"/>
              </w:rPr>
            </w:pPr>
            <w:r>
              <w:rPr>
                <w:rFonts w:hint="eastAsia" w:asciiTheme="minorHAnsi" w:hAnsiTheme="minorHAnsi" w:eastAsiaTheme="minorEastAsia" w:cstheme="minorBidi"/>
                <w:sz w:val="21"/>
                <w:szCs w:val="21"/>
                <w:lang w:val="en-US" w:eastAsia="zh-CN"/>
              </w:rPr>
              <w:t>1</w:t>
            </w:r>
          </w:p>
        </w:tc>
        <w:tc>
          <w:tcPr>
            <w:tcW w:w="1677" w:type="dxa"/>
            <w:vAlign w:val="center"/>
          </w:tcPr>
          <w:p>
            <w:pPr>
              <w:widowControl/>
              <w:ind w:firstLine="0" w:firstLineChars="0"/>
              <w:jc w:val="center"/>
              <w:rPr>
                <w:rFonts w:hint="default" w:asciiTheme="minorHAnsi" w:hAnsiTheme="minorHAnsi" w:eastAsiaTheme="minorEastAsia" w:cstheme="minorBidi"/>
                <w:sz w:val="21"/>
                <w:szCs w:val="21"/>
                <w:lang w:val="en-US" w:eastAsia="zh-CN"/>
              </w:rPr>
            </w:pPr>
            <w:r>
              <w:rPr>
                <w:rFonts w:hint="eastAsia" w:asciiTheme="minorHAnsi" w:hAnsiTheme="minorHAnsi" w:eastAsiaTheme="minorEastAsia" w:cstheme="minorBidi"/>
                <w:sz w:val="21"/>
                <w:szCs w:val="21"/>
                <w:lang w:val="en-US" w:eastAsia="zh-CN"/>
              </w:rPr>
              <w:t>教室班级</w:t>
            </w:r>
          </w:p>
        </w:tc>
        <w:tc>
          <w:tcPr>
            <w:tcW w:w="5664" w:type="dxa"/>
            <w:vAlign w:val="center"/>
          </w:tcPr>
          <w:p>
            <w:pPr>
              <w:widowControl/>
              <w:ind w:firstLine="0" w:firstLineChars="0"/>
              <w:jc w:val="center"/>
              <w:rPr>
                <w:rFonts w:asciiTheme="minorHAnsi" w:hAnsiTheme="minorHAnsi" w:eastAsiaTheme="minorEastAsia" w:cstheme="minorBidi"/>
                <w:sz w:val="21"/>
                <w:szCs w:val="21"/>
              </w:rPr>
            </w:pPr>
            <w:r>
              <w:drawing>
                <wp:inline distT="0" distB="0" distL="114300" distR="114300">
                  <wp:extent cx="3452495" cy="2593340"/>
                  <wp:effectExtent l="0" t="0" r="6985" b="1270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6"/>
                          <a:stretch>
                            <a:fillRect/>
                          </a:stretch>
                        </pic:blipFill>
                        <pic:spPr>
                          <a:xfrm>
                            <a:off x="0" y="0"/>
                            <a:ext cx="3452495" cy="2593340"/>
                          </a:xfrm>
                          <a:prstGeom prst="rect">
                            <a:avLst/>
                          </a:prstGeom>
                          <a:noFill/>
                          <a:ln>
                            <a:noFill/>
                          </a:ln>
                        </pic:spPr>
                      </pic:pic>
                    </a:graphicData>
                  </a:graphic>
                </wp:inline>
              </w:drawing>
            </w:r>
            <w:r>
              <w:rPr>
                <w:rFonts w:ascii="宋体" w:hAnsi="宋体" w:eastAsia="宋体" w:cs="宋体"/>
                <w:sz w:val="24"/>
                <w:szCs w:val="24"/>
              </w:rPr>
              <w:drawing>
                <wp:inline distT="0" distB="0" distL="114300" distR="114300">
                  <wp:extent cx="38100" cy="762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7"/>
                          <a:stretch>
                            <a:fillRect/>
                          </a:stretch>
                        </pic:blipFill>
                        <pic:spPr>
                          <a:xfrm>
                            <a:off x="0" y="0"/>
                            <a:ext cx="38100" cy="76200"/>
                          </a:xfrm>
                          <a:prstGeom prst="rect">
                            <a:avLst/>
                          </a:prstGeom>
                          <a:noFill/>
                          <a:ln w="9525">
                            <a:noFill/>
                          </a:ln>
                        </pic:spPr>
                      </pic:pic>
                    </a:graphicData>
                  </a:graphic>
                </wp:inline>
              </w:drawing>
            </w:r>
          </w:p>
        </w:tc>
      </w:tr>
    </w:tbl>
    <w:p>
      <w:pPr>
        <w:ind w:left="0" w:leftChars="0" w:firstLine="0" w:firstLineChars="0"/>
        <w:rPr>
          <w:rFonts w:hint="eastAsia"/>
        </w:rPr>
      </w:pPr>
      <w:bookmarkStart w:id="201" w:name="_Toc28779"/>
      <w:bookmarkStart w:id="202" w:name="_Toc13850"/>
      <w:bookmarkStart w:id="203" w:name="_Toc3972"/>
      <w:bookmarkStart w:id="204" w:name="_Toc32554"/>
      <w:bookmarkStart w:id="205" w:name="_Toc28744"/>
      <w:bookmarkStart w:id="206" w:name="_Toc25214"/>
      <w:bookmarkStart w:id="207" w:name="_Toc3562"/>
      <w:bookmarkStart w:id="208" w:name="_Toc24030"/>
      <w:bookmarkStart w:id="209" w:name="_Toc5345"/>
      <w:bookmarkStart w:id="210" w:name="_Toc31259"/>
      <w:r>
        <w:rPr>
          <w:rFonts w:hint="eastAsia"/>
        </w:rPr>
        <w:br w:type="page"/>
      </w:r>
    </w:p>
    <w:p>
      <w:pPr>
        <w:pStyle w:val="3"/>
        <w:rPr>
          <w:rFonts w:hint="eastAsia"/>
        </w:rPr>
      </w:pPr>
      <w:bookmarkStart w:id="211" w:name="_Toc30820"/>
      <w:bookmarkStart w:id="212" w:name="_Toc30911"/>
      <w:r>
        <w:rPr>
          <w:rFonts w:hint="eastAsia"/>
        </w:rPr>
        <w:t>九、实验</w:t>
      </w:r>
      <w:bookmarkEnd w:id="201"/>
      <w:bookmarkEnd w:id="202"/>
      <w:bookmarkEnd w:id="203"/>
      <w:bookmarkEnd w:id="204"/>
      <w:bookmarkEnd w:id="205"/>
      <w:bookmarkEnd w:id="206"/>
      <w:bookmarkEnd w:id="207"/>
      <w:r>
        <w:rPr>
          <w:rFonts w:hint="eastAsia"/>
        </w:rPr>
        <w:t>脚</w:t>
      </w:r>
      <w:r>
        <w:rPr>
          <w:rFonts w:hint="eastAsia"/>
          <w:lang w:val="en-US" w:eastAsia="zh-CN"/>
        </w:rPr>
        <w:t>本</w:t>
      </w:r>
      <w:bookmarkEnd w:id="208"/>
      <w:bookmarkEnd w:id="209"/>
      <w:bookmarkEnd w:id="210"/>
      <w:bookmarkEnd w:id="211"/>
      <w:bookmarkEnd w:id="212"/>
    </w:p>
    <w:tbl>
      <w:tblPr>
        <w:tblStyle w:val="12"/>
        <w:tblW w:w="4998" w:type="pct"/>
        <w:tblInd w:w="0" w:type="dxa"/>
        <w:shd w:val="clear" w:color="auto" w:fill="auto"/>
        <w:tblLayout w:type="autofit"/>
        <w:tblCellMar>
          <w:top w:w="0" w:type="dxa"/>
          <w:left w:w="108" w:type="dxa"/>
          <w:bottom w:w="0" w:type="dxa"/>
          <w:right w:w="108" w:type="dxa"/>
        </w:tblCellMar>
      </w:tblPr>
      <w:tblGrid>
        <w:gridCol w:w="556"/>
        <w:gridCol w:w="897"/>
        <w:gridCol w:w="897"/>
        <w:gridCol w:w="6172"/>
      </w:tblGrid>
      <w:tr>
        <w:tblPrEx>
          <w:tblCellMar>
            <w:top w:w="0" w:type="dxa"/>
            <w:left w:w="108" w:type="dxa"/>
            <w:bottom w:w="0" w:type="dxa"/>
            <w:right w:w="108" w:type="dxa"/>
          </w:tblCellMar>
        </w:tblPrEx>
        <w:trPr>
          <w:trHeight w:val="327"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序号</w:t>
            </w:r>
          </w:p>
        </w:tc>
        <w:tc>
          <w:tcPr>
            <w:tcW w:w="616" w:type="pct"/>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模块</w:t>
            </w:r>
          </w:p>
        </w:tc>
        <w:tc>
          <w:tcPr>
            <w:tcW w:w="616" w:type="pct"/>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步骤</w:t>
            </w: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keepNext w:val="0"/>
              <w:keepLines w:val="0"/>
              <w:widowControl/>
              <w:suppressLineNumbers w:val="0"/>
              <w:ind w:firstLineChars="20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分步骤</w:t>
            </w:r>
          </w:p>
        </w:tc>
      </w:tr>
      <w:tr>
        <w:tblPrEx>
          <w:shd w:val="clear" w:color="auto" w:fill="auto"/>
          <w:tblCellMar>
            <w:top w:w="0" w:type="dxa"/>
            <w:left w:w="108" w:type="dxa"/>
            <w:bottom w:w="0" w:type="dxa"/>
            <w:right w:w="108" w:type="dxa"/>
          </w:tblCellMar>
        </w:tblPrEx>
        <w:trPr>
          <w:trHeight w:val="226"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1</w:t>
            </w:r>
          </w:p>
        </w:tc>
        <w:tc>
          <w:tcPr>
            <w:tcW w:w="616"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课程导入</w:t>
            </w:r>
          </w:p>
        </w:tc>
        <w:tc>
          <w:tcPr>
            <w:tcW w:w="616"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课程导入</w:t>
            </w: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1.思政导入</w:t>
            </w:r>
          </w:p>
        </w:tc>
      </w:tr>
      <w:tr>
        <w:tblPrEx>
          <w:tblCellMar>
            <w:top w:w="0" w:type="dxa"/>
            <w:left w:w="108" w:type="dxa"/>
            <w:bottom w:w="0" w:type="dxa"/>
            <w:right w:w="108" w:type="dxa"/>
          </w:tblCellMar>
        </w:tblPrEx>
        <w:trPr>
          <w:trHeight w:val="375"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2</w:t>
            </w:r>
          </w:p>
        </w:tc>
        <w:tc>
          <w:tcPr>
            <w:tcW w:w="616" w:type="pct"/>
            <w:vMerge w:val="restart"/>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r>
              <w:rPr>
                <w:rFonts w:hint="eastAsia"/>
                <w:lang w:val="en-US" w:eastAsia="zh-CN"/>
              </w:rPr>
              <w:t>基础知识学习</w:t>
            </w:r>
          </w:p>
        </w:tc>
        <w:tc>
          <w:tcPr>
            <w:tcW w:w="616" w:type="pct"/>
            <w:vMerge w:val="restart"/>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r>
              <w:rPr>
                <w:rFonts w:hint="eastAsia"/>
                <w:lang w:val="en-US" w:eastAsia="zh-CN"/>
              </w:rPr>
              <w:t>知识导航</w:t>
            </w: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1.介绍幼儿园</w:t>
            </w:r>
            <w:r>
              <w:rPr>
                <w:lang w:val="en-US" w:eastAsia="zh-CN"/>
              </w:rPr>
              <w:t>班级环境创设原则和操作流程</w:t>
            </w:r>
          </w:p>
        </w:tc>
      </w:tr>
      <w:tr>
        <w:tblPrEx>
          <w:shd w:val="clear" w:color="auto" w:fill="auto"/>
          <w:tblCellMar>
            <w:top w:w="0" w:type="dxa"/>
            <w:left w:w="108" w:type="dxa"/>
            <w:bottom w:w="0" w:type="dxa"/>
            <w:right w:w="108" w:type="dxa"/>
          </w:tblCellMar>
        </w:tblPrEx>
        <w:trPr>
          <w:trHeight w:val="360"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3</w:t>
            </w: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2.介绍幼儿园</w:t>
            </w:r>
            <w:r>
              <w:rPr>
                <w:lang w:val="en-US" w:eastAsia="zh-CN"/>
              </w:rPr>
              <w:t>班级活动区创设要点</w:t>
            </w:r>
          </w:p>
        </w:tc>
      </w:tr>
      <w:tr>
        <w:tblPrEx>
          <w:shd w:val="clear" w:color="auto" w:fill="auto"/>
          <w:tblCellMar>
            <w:top w:w="0" w:type="dxa"/>
            <w:left w:w="108" w:type="dxa"/>
            <w:bottom w:w="0" w:type="dxa"/>
            <w:right w:w="108" w:type="dxa"/>
          </w:tblCellMar>
        </w:tblPrEx>
        <w:trPr>
          <w:trHeight w:val="525"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4</w:t>
            </w:r>
          </w:p>
        </w:tc>
        <w:tc>
          <w:tcPr>
            <w:tcW w:w="616" w:type="pct"/>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r>
              <w:rPr>
                <w:rFonts w:hint="eastAsia"/>
                <w:lang w:val="en-US" w:eastAsia="zh-CN"/>
              </w:rPr>
              <w:t>场景漫游</w:t>
            </w:r>
          </w:p>
        </w:tc>
        <w:tc>
          <w:tcPr>
            <w:tcW w:w="616" w:type="pct"/>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r>
              <w:rPr>
                <w:rFonts w:hint="eastAsia"/>
                <w:lang w:val="en-US" w:eastAsia="zh-CN"/>
              </w:rPr>
              <w:t>场景漫游</w:t>
            </w: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1.学生进入幼儿园</w:t>
            </w:r>
            <w:r>
              <w:rPr>
                <w:lang w:val="en-US" w:eastAsia="zh-CN"/>
              </w:rPr>
              <w:t>班级场景进行漫游，了解幼儿园班级的环境和活动区创设案例</w:t>
            </w:r>
          </w:p>
        </w:tc>
      </w:tr>
      <w:tr>
        <w:tblPrEx>
          <w:tblCellMar>
            <w:top w:w="0" w:type="dxa"/>
            <w:left w:w="108" w:type="dxa"/>
            <w:bottom w:w="0" w:type="dxa"/>
            <w:right w:w="108" w:type="dxa"/>
          </w:tblCellMar>
        </w:tblPrEx>
        <w:trPr>
          <w:trHeight w:val="465" w:hRule="atLeast"/>
        </w:trPr>
        <w:tc>
          <w:tcPr>
            <w:tcW w:w="367" w:type="pct"/>
            <w:tcBorders>
              <w:top w:val="single" w:color="000000" w:sz="8" w:space="0"/>
              <w:left w:val="single" w:color="000000" w:sz="8" w:space="0"/>
              <w:bottom w:val="single" w:color="000000" w:sz="8" w:space="0"/>
              <w:right w:val="nil"/>
            </w:tcBorders>
            <w:shd w:val="clear" w:color="auto" w:fill="auto"/>
            <w:noWrap/>
            <w:vAlign w:val="center"/>
          </w:tcPr>
          <w:p>
            <w:pPr>
              <w:pStyle w:val="24"/>
              <w:bidi w:val="0"/>
              <w:rPr>
                <w:rFonts w:hint="eastAsia"/>
              </w:rPr>
            </w:pPr>
            <w:r>
              <w:rPr>
                <w:rFonts w:hint="eastAsia"/>
                <w:lang w:val="en-US" w:eastAsia="zh-CN"/>
              </w:rPr>
              <w:t>5</w:t>
            </w:r>
          </w:p>
        </w:tc>
        <w:tc>
          <w:tcPr>
            <w:tcW w:w="616"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pStyle w:val="24"/>
              <w:bidi w:val="0"/>
              <w:rPr>
                <w:rFonts w:hint="eastAsia"/>
              </w:rPr>
            </w:pPr>
            <w:r>
              <w:rPr>
                <w:rFonts w:hint="eastAsia"/>
                <w:lang w:val="en-US" w:eastAsia="zh-CN"/>
              </w:rPr>
              <w:t>空间布局</w:t>
            </w:r>
          </w:p>
        </w:tc>
        <w:tc>
          <w:tcPr>
            <w:tcW w:w="616" w:type="pct"/>
            <w:vMerge w:val="restart"/>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r>
              <w:rPr>
                <w:rFonts w:hint="eastAsia"/>
                <w:lang w:val="en-US" w:eastAsia="zh-CN"/>
              </w:rPr>
              <w:t>区域划分</w:t>
            </w: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1.进入系统，选择班级（大、中、小班）</w:t>
            </w:r>
          </w:p>
        </w:tc>
      </w:tr>
      <w:tr>
        <w:tblPrEx>
          <w:shd w:val="clear" w:color="auto" w:fill="auto"/>
          <w:tblCellMar>
            <w:top w:w="0" w:type="dxa"/>
            <w:left w:w="108" w:type="dxa"/>
            <w:bottom w:w="0" w:type="dxa"/>
            <w:right w:w="108" w:type="dxa"/>
          </w:tblCellMar>
        </w:tblPrEx>
        <w:trPr>
          <w:trHeight w:val="495" w:hRule="atLeast"/>
        </w:trPr>
        <w:tc>
          <w:tcPr>
            <w:tcW w:w="367" w:type="pct"/>
            <w:tcBorders>
              <w:top w:val="single" w:color="000000" w:sz="8" w:space="0"/>
              <w:left w:val="single" w:color="000000" w:sz="8" w:space="0"/>
              <w:bottom w:val="single" w:color="000000" w:sz="8" w:space="0"/>
              <w:right w:val="nil"/>
            </w:tcBorders>
            <w:shd w:val="clear" w:color="auto" w:fill="auto"/>
            <w:noWrap/>
            <w:vAlign w:val="center"/>
          </w:tcPr>
          <w:p>
            <w:pPr>
              <w:pStyle w:val="24"/>
              <w:bidi w:val="0"/>
              <w:rPr>
                <w:rFonts w:hint="eastAsia"/>
              </w:rPr>
            </w:pPr>
            <w:r>
              <w:rPr>
                <w:rFonts w:hint="eastAsia"/>
                <w:lang w:val="en-US" w:eastAsia="zh-CN"/>
              </w:rPr>
              <w:t>6</w:t>
            </w:r>
          </w:p>
        </w:tc>
        <w:tc>
          <w:tcPr>
            <w:tcW w:w="616"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2.根据教室的环境，选定各个区域的大小和位置</w:t>
            </w:r>
          </w:p>
        </w:tc>
      </w:tr>
      <w:tr>
        <w:tblPrEx>
          <w:shd w:val="clear" w:color="auto" w:fill="auto"/>
          <w:tblCellMar>
            <w:top w:w="0" w:type="dxa"/>
            <w:left w:w="108" w:type="dxa"/>
            <w:bottom w:w="0" w:type="dxa"/>
            <w:right w:w="108" w:type="dxa"/>
          </w:tblCellMar>
        </w:tblPrEx>
        <w:trPr>
          <w:trHeight w:val="405" w:hRule="atLeast"/>
        </w:trPr>
        <w:tc>
          <w:tcPr>
            <w:tcW w:w="367" w:type="pct"/>
            <w:tcBorders>
              <w:top w:val="single" w:color="000000" w:sz="8" w:space="0"/>
              <w:left w:val="single" w:color="000000" w:sz="8" w:space="0"/>
              <w:bottom w:val="single" w:color="000000" w:sz="8" w:space="0"/>
              <w:right w:val="nil"/>
            </w:tcBorders>
            <w:shd w:val="clear" w:color="auto" w:fill="auto"/>
            <w:noWrap/>
            <w:vAlign w:val="center"/>
          </w:tcPr>
          <w:p>
            <w:pPr>
              <w:pStyle w:val="24"/>
              <w:bidi w:val="0"/>
              <w:rPr>
                <w:rFonts w:hint="eastAsia"/>
              </w:rPr>
            </w:pPr>
            <w:r>
              <w:rPr>
                <w:rFonts w:hint="eastAsia"/>
                <w:lang w:val="en-US" w:eastAsia="zh-CN"/>
              </w:rPr>
              <w:t>7</w:t>
            </w:r>
          </w:p>
        </w:tc>
        <w:tc>
          <w:tcPr>
            <w:tcW w:w="616"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3.对区域进行标注，包括区角的名称和作用</w:t>
            </w:r>
          </w:p>
        </w:tc>
      </w:tr>
      <w:tr>
        <w:tblPrEx>
          <w:shd w:val="clear" w:color="auto" w:fill="auto"/>
          <w:tblCellMar>
            <w:top w:w="0" w:type="dxa"/>
            <w:left w:w="108" w:type="dxa"/>
            <w:bottom w:w="0" w:type="dxa"/>
            <w:right w:w="108" w:type="dxa"/>
          </w:tblCellMar>
        </w:tblPrEx>
        <w:trPr>
          <w:trHeight w:val="465" w:hRule="atLeast"/>
        </w:trPr>
        <w:tc>
          <w:tcPr>
            <w:tcW w:w="367" w:type="pct"/>
            <w:tcBorders>
              <w:top w:val="single" w:color="000000" w:sz="8" w:space="0"/>
              <w:left w:val="single" w:color="000000" w:sz="8" w:space="0"/>
              <w:bottom w:val="single" w:color="000000" w:sz="8" w:space="0"/>
              <w:right w:val="nil"/>
            </w:tcBorders>
            <w:shd w:val="clear" w:color="auto" w:fill="auto"/>
            <w:noWrap/>
            <w:vAlign w:val="center"/>
          </w:tcPr>
          <w:p>
            <w:pPr>
              <w:pStyle w:val="24"/>
              <w:bidi w:val="0"/>
              <w:rPr>
                <w:rFonts w:hint="eastAsia"/>
              </w:rPr>
            </w:pPr>
            <w:r>
              <w:rPr>
                <w:rFonts w:hint="eastAsia"/>
                <w:lang w:val="en-US" w:eastAsia="zh-CN"/>
              </w:rPr>
              <w:t>8</w:t>
            </w:r>
          </w:p>
        </w:tc>
        <w:tc>
          <w:tcPr>
            <w:tcW w:w="616"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4.拖动UI面板的模型对区角完成基础设施搭建</w:t>
            </w:r>
          </w:p>
        </w:tc>
      </w:tr>
      <w:tr>
        <w:tblPrEx>
          <w:tblCellMar>
            <w:top w:w="0" w:type="dxa"/>
            <w:left w:w="108" w:type="dxa"/>
            <w:bottom w:w="0" w:type="dxa"/>
            <w:right w:w="108" w:type="dxa"/>
          </w:tblCellMar>
        </w:tblPrEx>
        <w:trPr>
          <w:trHeight w:val="435" w:hRule="atLeast"/>
        </w:trPr>
        <w:tc>
          <w:tcPr>
            <w:tcW w:w="367" w:type="pct"/>
            <w:tcBorders>
              <w:top w:val="single" w:color="000000" w:sz="8" w:space="0"/>
              <w:left w:val="single" w:color="000000" w:sz="8" w:space="0"/>
              <w:bottom w:val="single" w:color="000000" w:sz="8" w:space="0"/>
              <w:right w:val="nil"/>
            </w:tcBorders>
            <w:shd w:val="clear" w:color="auto" w:fill="auto"/>
            <w:noWrap/>
            <w:vAlign w:val="center"/>
          </w:tcPr>
          <w:p>
            <w:pPr>
              <w:pStyle w:val="24"/>
              <w:bidi w:val="0"/>
              <w:rPr>
                <w:rFonts w:hint="eastAsia"/>
              </w:rPr>
            </w:pPr>
            <w:r>
              <w:rPr>
                <w:rFonts w:hint="eastAsia"/>
                <w:lang w:val="en-US" w:eastAsia="zh-CN"/>
              </w:rPr>
              <w:t>9</w:t>
            </w:r>
          </w:p>
        </w:tc>
        <w:tc>
          <w:tcPr>
            <w:tcW w:w="616"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5.选择合适的主题对墙面进行主题设置</w:t>
            </w:r>
          </w:p>
        </w:tc>
      </w:tr>
      <w:tr>
        <w:tblPrEx>
          <w:tblCellMar>
            <w:top w:w="0" w:type="dxa"/>
            <w:left w:w="108" w:type="dxa"/>
            <w:bottom w:w="0" w:type="dxa"/>
            <w:right w:w="108" w:type="dxa"/>
          </w:tblCellMar>
        </w:tblPrEx>
        <w:trPr>
          <w:trHeight w:val="450" w:hRule="atLeast"/>
        </w:trPr>
        <w:tc>
          <w:tcPr>
            <w:tcW w:w="367" w:type="pct"/>
            <w:tcBorders>
              <w:top w:val="single" w:color="000000" w:sz="8" w:space="0"/>
              <w:left w:val="single" w:color="000000" w:sz="8" w:space="0"/>
              <w:bottom w:val="single" w:color="000000" w:sz="8" w:space="0"/>
              <w:right w:val="nil"/>
            </w:tcBorders>
            <w:shd w:val="clear" w:color="auto" w:fill="auto"/>
            <w:noWrap/>
            <w:vAlign w:val="center"/>
          </w:tcPr>
          <w:p>
            <w:pPr>
              <w:pStyle w:val="24"/>
              <w:bidi w:val="0"/>
              <w:rPr>
                <w:rFonts w:hint="eastAsia"/>
              </w:rPr>
            </w:pPr>
            <w:r>
              <w:rPr>
                <w:rFonts w:hint="eastAsia"/>
                <w:lang w:val="en-US" w:eastAsia="zh-CN"/>
              </w:rPr>
              <w:t>10</w:t>
            </w:r>
          </w:p>
        </w:tc>
        <w:tc>
          <w:tcPr>
            <w:tcW w:w="616"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6.选择灯具等装饰品对房间进行改造</w:t>
            </w:r>
          </w:p>
        </w:tc>
      </w:tr>
      <w:tr>
        <w:trPr>
          <w:trHeight w:val="465"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11</w:t>
            </w:r>
          </w:p>
        </w:tc>
        <w:tc>
          <w:tcPr>
            <w:tcW w:w="616" w:type="pct"/>
            <w:vMerge w:val="restart"/>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区域创设</w:t>
            </w:r>
          </w:p>
        </w:tc>
        <w:tc>
          <w:tcPr>
            <w:tcW w:w="616" w:type="pct"/>
            <w:vMerge w:val="restart"/>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r>
              <w:rPr>
                <w:rFonts w:hint="eastAsia"/>
                <w:lang w:val="en-US" w:eastAsia="zh-CN"/>
              </w:rPr>
              <w:t>活动区角设计</w:t>
            </w: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1.进入一个区角，跟据区角的功能选择合适的物品模型</w:t>
            </w:r>
          </w:p>
        </w:tc>
      </w:tr>
      <w:tr>
        <w:tblPrEx>
          <w:shd w:val="clear" w:color="auto" w:fill="auto"/>
          <w:tblCellMar>
            <w:top w:w="0" w:type="dxa"/>
            <w:left w:w="108" w:type="dxa"/>
            <w:bottom w:w="0" w:type="dxa"/>
            <w:right w:w="108" w:type="dxa"/>
          </w:tblCellMar>
        </w:tblPrEx>
        <w:trPr>
          <w:trHeight w:val="435"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12</w:t>
            </w:r>
          </w:p>
        </w:tc>
        <w:tc>
          <w:tcPr>
            <w:tcW w:w="616" w:type="pct"/>
            <w:vMerge w:val="continue"/>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2.可随时选择2D和3D视角的切换，对区域进行浏览</w:t>
            </w:r>
          </w:p>
        </w:tc>
      </w:tr>
      <w:tr>
        <w:tblPrEx>
          <w:shd w:val="clear" w:color="auto" w:fill="auto"/>
          <w:tblCellMar>
            <w:top w:w="0" w:type="dxa"/>
            <w:left w:w="108" w:type="dxa"/>
            <w:bottom w:w="0" w:type="dxa"/>
            <w:right w:w="108" w:type="dxa"/>
          </w:tblCellMar>
        </w:tblPrEx>
        <w:trPr>
          <w:trHeight w:val="420"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13</w:t>
            </w:r>
          </w:p>
        </w:tc>
        <w:tc>
          <w:tcPr>
            <w:tcW w:w="616" w:type="pct"/>
            <w:vMerge w:val="continue"/>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vAlign w:val="center"/>
          </w:tcPr>
          <w:p>
            <w:pPr>
              <w:pStyle w:val="24"/>
              <w:bidi w:val="0"/>
              <w:jc w:val="left"/>
              <w:rPr>
                <w:rFonts w:hint="eastAsia"/>
              </w:rPr>
            </w:pPr>
            <w:r>
              <w:rPr>
                <w:rFonts w:hint="eastAsia"/>
                <w:lang w:val="en-US" w:eastAsia="zh-CN"/>
              </w:rPr>
              <w:t>3.可以对模型进行位置移动，删除等操作，来进行区角的创设</w:t>
            </w:r>
          </w:p>
        </w:tc>
      </w:tr>
      <w:tr>
        <w:tblPrEx>
          <w:tblCellMar>
            <w:top w:w="0" w:type="dxa"/>
            <w:left w:w="108" w:type="dxa"/>
            <w:bottom w:w="0" w:type="dxa"/>
            <w:right w:w="108" w:type="dxa"/>
          </w:tblCellMar>
        </w:tblPrEx>
        <w:trPr>
          <w:trHeight w:val="720"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14</w:t>
            </w:r>
          </w:p>
        </w:tc>
        <w:tc>
          <w:tcPr>
            <w:tcW w:w="616" w:type="pct"/>
            <w:vMerge w:val="continue"/>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vAlign w:val="center"/>
          </w:tcPr>
          <w:p>
            <w:pPr>
              <w:pStyle w:val="24"/>
              <w:bidi w:val="0"/>
              <w:jc w:val="left"/>
              <w:rPr>
                <w:rFonts w:hint="eastAsia"/>
              </w:rPr>
            </w:pPr>
            <w:r>
              <w:rPr>
                <w:rFonts w:hint="eastAsia"/>
                <w:lang w:val="en-US" w:eastAsia="zh-CN"/>
              </w:rPr>
              <w:t>4.区角创设完成后，可以保存作品，若没有选择保存，可以弹出对话框进行提示</w:t>
            </w:r>
          </w:p>
        </w:tc>
      </w:tr>
      <w:tr>
        <w:tblPrEx>
          <w:shd w:val="clear" w:color="auto" w:fill="auto"/>
          <w:tblCellMar>
            <w:top w:w="0" w:type="dxa"/>
            <w:left w:w="108" w:type="dxa"/>
            <w:bottom w:w="0" w:type="dxa"/>
            <w:right w:w="108" w:type="dxa"/>
          </w:tblCellMar>
        </w:tblPrEx>
        <w:trPr>
          <w:trHeight w:val="450"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15</w:t>
            </w:r>
          </w:p>
        </w:tc>
        <w:tc>
          <w:tcPr>
            <w:tcW w:w="616" w:type="pct"/>
            <w:vMerge w:val="continue"/>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5.对已经完成的作品，生成作品，老师可以对其进行打分</w:t>
            </w:r>
          </w:p>
        </w:tc>
      </w:tr>
      <w:tr>
        <w:tblPrEx>
          <w:shd w:val="clear" w:color="auto" w:fill="auto"/>
          <w:tblCellMar>
            <w:top w:w="0" w:type="dxa"/>
            <w:left w:w="108" w:type="dxa"/>
            <w:bottom w:w="0" w:type="dxa"/>
            <w:right w:w="108" w:type="dxa"/>
          </w:tblCellMar>
        </w:tblPrEx>
        <w:trPr>
          <w:trHeight w:val="555" w:hRule="atLeast"/>
        </w:trPr>
        <w:tc>
          <w:tcPr>
            <w:tcW w:w="367" w:type="pct"/>
            <w:tcBorders>
              <w:top w:val="single" w:color="000000" w:sz="8" w:space="0"/>
              <w:left w:val="single" w:color="000000" w:sz="8" w:space="0"/>
              <w:bottom w:val="single" w:color="000000" w:sz="8" w:space="0"/>
              <w:right w:val="single" w:color="000000" w:sz="8" w:space="0"/>
            </w:tcBorders>
            <w:shd w:val="clear" w:color="auto" w:fill="auto"/>
            <w:noWrap/>
            <w:vAlign w:val="center"/>
          </w:tcPr>
          <w:p>
            <w:pPr>
              <w:pStyle w:val="24"/>
              <w:bidi w:val="0"/>
              <w:rPr>
                <w:rFonts w:hint="eastAsia"/>
              </w:rPr>
            </w:pPr>
            <w:r>
              <w:rPr>
                <w:rFonts w:hint="eastAsia"/>
                <w:lang w:val="en-US" w:eastAsia="zh-CN"/>
              </w:rPr>
              <w:t>16</w:t>
            </w:r>
          </w:p>
        </w:tc>
        <w:tc>
          <w:tcPr>
            <w:tcW w:w="616" w:type="pct"/>
            <w:vMerge w:val="continue"/>
            <w:tcBorders>
              <w:top w:val="single" w:color="000000" w:sz="8" w:space="0"/>
              <w:left w:val="nil"/>
              <w:bottom w:val="single" w:color="000000" w:sz="8" w:space="0"/>
              <w:right w:val="single" w:color="000000" w:sz="8" w:space="0"/>
            </w:tcBorders>
            <w:shd w:val="clear" w:color="auto" w:fill="auto"/>
            <w:noWrap/>
            <w:vAlign w:val="center"/>
          </w:tcPr>
          <w:p>
            <w:pPr>
              <w:pStyle w:val="24"/>
              <w:bidi w:val="0"/>
              <w:rPr>
                <w:rFonts w:hint="eastAsia"/>
              </w:rPr>
            </w:pPr>
          </w:p>
        </w:tc>
        <w:tc>
          <w:tcPr>
            <w:tcW w:w="616" w:type="pct"/>
            <w:vMerge w:val="continue"/>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rPr>
            </w:pPr>
          </w:p>
        </w:tc>
        <w:tc>
          <w:tcPr>
            <w:tcW w:w="3399" w:type="pct"/>
            <w:tcBorders>
              <w:top w:val="single" w:color="000000" w:sz="8" w:space="0"/>
              <w:left w:val="nil"/>
              <w:bottom w:val="single" w:color="000000" w:sz="8" w:space="0"/>
              <w:right w:val="single" w:color="000000" w:sz="8" w:space="0"/>
            </w:tcBorders>
            <w:shd w:val="clear" w:color="auto" w:fill="auto"/>
            <w:noWrap/>
            <w:vAlign w:val="center"/>
          </w:tcPr>
          <w:p>
            <w:pPr>
              <w:pStyle w:val="24"/>
              <w:bidi w:val="0"/>
              <w:jc w:val="left"/>
              <w:rPr>
                <w:rFonts w:hint="eastAsia"/>
              </w:rPr>
            </w:pPr>
            <w:r>
              <w:rPr>
                <w:rFonts w:hint="eastAsia"/>
                <w:lang w:val="en-US" w:eastAsia="zh-CN"/>
              </w:rPr>
              <w:t>6.学生可以对完成的作品进行查看归档</w:t>
            </w:r>
          </w:p>
        </w:tc>
      </w:tr>
    </w:tbl>
    <w:p>
      <w:pPr>
        <w:pStyle w:val="24"/>
        <w:bidi w:val="0"/>
        <w:rPr>
          <w:rFonts w:hint="eastAsia"/>
          <w:lang w:val="en-US" w:eastAsia="zh-CN"/>
        </w:rPr>
      </w:pPr>
    </w:p>
    <w:p>
      <w:pPr>
        <w:spacing w:line="240" w:lineRule="auto"/>
        <w:ind w:firstLine="0" w:firstLineChars="0"/>
        <w:jc w:val="center"/>
        <w:rPr>
          <w:rFonts w:ascii="Times New Roman" w:hAnsi="Times New Roman"/>
        </w:rPr>
      </w:pPr>
    </w:p>
    <w:p>
      <w:pPr>
        <w:spacing w:line="240" w:lineRule="auto"/>
        <w:ind w:firstLine="0" w:firstLineChars="0"/>
        <w:jc w:val="center"/>
        <w:rPr>
          <w:rFonts w:ascii="Times New Roman" w:hAnsi="Times New Roman"/>
        </w:rPr>
      </w:pPr>
    </w:p>
    <w:p>
      <w:pPr>
        <w:ind w:firstLine="480"/>
      </w:pPr>
      <w:bookmarkStart w:id="213" w:name="_Toc2002"/>
      <w:bookmarkStart w:id="214" w:name="_Toc10437"/>
      <w:bookmarkStart w:id="215" w:name="_Toc22924"/>
      <w:bookmarkStart w:id="216" w:name="_Toc12852"/>
      <w:bookmarkStart w:id="217" w:name="_Toc1330"/>
      <w:bookmarkStart w:id="218" w:name="_Toc17304"/>
      <w:bookmarkStart w:id="219" w:name="_Toc31015"/>
      <w:r>
        <w:rPr>
          <w:rFonts w:hint="eastAsia"/>
        </w:rPr>
        <w:br w:type="page"/>
      </w:r>
    </w:p>
    <w:p>
      <w:pPr>
        <w:pStyle w:val="3"/>
      </w:pPr>
      <w:bookmarkStart w:id="220" w:name="_Toc4678"/>
      <w:bookmarkStart w:id="221" w:name="_Toc18243"/>
      <w:bookmarkStart w:id="222" w:name="_Toc32523"/>
      <w:bookmarkStart w:id="223" w:name="_Toc8911"/>
      <w:bookmarkStart w:id="224" w:name="_Toc11515"/>
      <w:r>
        <w:rPr>
          <w:rFonts w:hint="eastAsia"/>
        </w:rPr>
        <w:t>十、报价明细表</w:t>
      </w:r>
      <w:bookmarkEnd w:id="213"/>
      <w:bookmarkEnd w:id="214"/>
      <w:bookmarkEnd w:id="215"/>
      <w:bookmarkEnd w:id="216"/>
      <w:bookmarkEnd w:id="217"/>
      <w:bookmarkEnd w:id="218"/>
      <w:bookmarkEnd w:id="219"/>
      <w:bookmarkEnd w:id="220"/>
      <w:bookmarkEnd w:id="221"/>
      <w:bookmarkEnd w:id="222"/>
      <w:bookmarkEnd w:id="223"/>
      <w:bookmarkEnd w:id="224"/>
    </w:p>
    <w:p>
      <w:pPr>
        <w:bidi w:val="0"/>
        <w:jc w:val="center"/>
        <w:rPr>
          <w:rFonts w:hint="eastAsia"/>
          <w:lang w:val="en-US" w:eastAsia="zh-CN"/>
        </w:rPr>
      </w:pPr>
      <w:bookmarkStart w:id="225" w:name="_Toc28663"/>
      <w:r>
        <w:rPr>
          <w:rFonts w:hint="eastAsia"/>
          <w:lang w:val="en-US" w:eastAsia="zh-CN"/>
        </w:rPr>
        <w:t>幼儿园环境创设虚拟仿真实验报价明细表</w:t>
      </w:r>
      <w:bookmarkEnd w:id="225"/>
    </w:p>
    <w:tbl>
      <w:tblPr>
        <w:tblStyle w:val="12"/>
        <w:tblW w:w="4998" w:type="pct"/>
        <w:tblInd w:w="0" w:type="dxa"/>
        <w:shd w:val="clear" w:color="auto" w:fill="auto"/>
        <w:tblLayout w:type="autofit"/>
        <w:tblCellMar>
          <w:top w:w="0" w:type="dxa"/>
          <w:left w:w="108" w:type="dxa"/>
          <w:bottom w:w="0" w:type="dxa"/>
          <w:right w:w="108" w:type="dxa"/>
        </w:tblCellMar>
      </w:tblPr>
      <w:tblGrid>
        <w:gridCol w:w="775"/>
        <w:gridCol w:w="1079"/>
        <w:gridCol w:w="4363"/>
        <w:gridCol w:w="1077"/>
        <w:gridCol w:w="1225"/>
      </w:tblGrid>
      <w:tr>
        <w:tblPrEx>
          <w:tblCellMar>
            <w:top w:w="0" w:type="dxa"/>
            <w:left w:w="108" w:type="dxa"/>
            <w:bottom w:w="0" w:type="dxa"/>
            <w:right w:w="108" w:type="dxa"/>
          </w:tblCellMar>
        </w:tblPrEx>
        <w:trPr>
          <w:trHeight w:val="327" w:hRule="atLeast"/>
        </w:trPr>
        <w:tc>
          <w:tcPr>
            <w:tcW w:w="455" w:type="pct"/>
            <w:vMerge w:val="restart"/>
            <w:tcBorders>
              <w:top w:val="single" w:color="000000" w:sz="8" w:space="0"/>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序号</w:t>
            </w:r>
          </w:p>
        </w:tc>
        <w:tc>
          <w:tcPr>
            <w:tcW w:w="633" w:type="pct"/>
            <w:vMerge w:val="restart"/>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名称</w:t>
            </w:r>
          </w:p>
        </w:tc>
        <w:tc>
          <w:tcPr>
            <w:tcW w:w="2560" w:type="pct"/>
            <w:vMerge w:val="restart"/>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建设内容</w:t>
            </w:r>
          </w:p>
        </w:tc>
        <w:tc>
          <w:tcPr>
            <w:tcW w:w="632" w:type="pct"/>
            <w:vMerge w:val="restart"/>
            <w:tcBorders>
              <w:top w:val="single" w:color="000000" w:sz="8" w:space="0"/>
              <w:left w:val="nil"/>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数量</w:t>
            </w:r>
          </w:p>
        </w:tc>
        <w:tc>
          <w:tcPr>
            <w:tcW w:w="718" w:type="pct"/>
            <w:tcBorders>
              <w:top w:val="single" w:color="000000" w:sz="8" w:space="0"/>
              <w:left w:val="nil"/>
              <w:bottom w:val="nil"/>
              <w:right w:val="single" w:color="000000" w:sz="8" w:space="0"/>
            </w:tcBorders>
            <w:shd w:val="clear" w:color="auto" w:fill="auto"/>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报价</w:t>
            </w:r>
          </w:p>
        </w:tc>
      </w:tr>
      <w:tr>
        <w:tblPrEx>
          <w:tblCellMar>
            <w:top w:w="0" w:type="dxa"/>
            <w:left w:w="108" w:type="dxa"/>
            <w:bottom w:w="0" w:type="dxa"/>
            <w:right w:w="108" w:type="dxa"/>
          </w:tblCellMar>
        </w:tblPrEx>
        <w:trPr>
          <w:trHeight w:val="90" w:hRule="atLeast"/>
        </w:trPr>
        <w:tc>
          <w:tcPr>
            <w:tcW w:w="455" w:type="pct"/>
            <w:vMerge w:val="continue"/>
            <w:tcBorders>
              <w:top w:val="single" w:color="000000" w:sz="8" w:space="0"/>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33" w:type="pct"/>
            <w:vMerge w:val="continue"/>
            <w:tcBorders>
              <w:top w:val="single" w:color="000000" w:sz="8" w:space="0"/>
              <w:left w:val="nil"/>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2560" w:type="pct"/>
            <w:vMerge w:val="continue"/>
            <w:tcBorders>
              <w:top w:val="single" w:color="000000" w:sz="8" w:space="0"/>
              <w:left w:val="nil"/>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632" w:type="pct"/>
            <w:vMerge w:val="continue"/>
            <w:tcBorders>
              <w:top w:val="single" w:color="000000" w:sz="8" w:space="0"/>
              <w:left w:val="nil"/>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718" w:type="pct"/>
            <w:tcBorders>
              <w:top w:val="nil"/>
              <w:left w:val="nil"/>
              <w:bottom w:val="single" w:color="000000" w:sz="8" w:space="0"/>
              <w:right w:val="single" w:color="000000" w:sz="8" w:space="0"/>
            </w:tcBorders>
            <w:shd w:val="clear" w:color="auto" w:fill="auto"/>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（万元）</w:t>
            </w:r>
          </w:p>
        </w:tc>
      </w:tr>
      <w:tr>
        <w:tblPrEx>
          <w:tblCellMar>
            <w:top w:w="0" w:type="dxa"/>
            <w:left w:w="108" w:type="dxa"/>
            <w:bottom w:w="0" w:type="dxa"/>
            <w:right w:w="108" w:type="dxa"/>
          </w:tblCellMar>
        </w:tblPrEx>
        <w:trPr>
          <w:trHeight w:val="1764" w:hRule="atLeast"/>
        </w:trPr>
        <w:tc>
          <w:tcPr>
            <w:tcW w:w="455" w:type="pct"/>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w:t>
            </w:r>
          </w:p>
        </w:tc>
        <w:tc>
          <w:tcPr>
            <w:tcW w:w="633"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情景化管理平台</w:t>
            </w: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基于互联网能够使用的，峰值使用人次可达100人以上；后台能进行成绩管理、数据提取的；教师对于平台上的资源能进行简单编辑、发展的</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sz w:val="21"/>
                <w:szCs w:val="21"/>
                <w:u w:val="none"/>
              </w:rPr>
              <w:t>5.8</w:t>
            </w:r>
          </w:p>
        </w:tc>
      </w:tr>
      <w:tr>
        <w:tblPrEx>
          <w:shd w:val="clear" w:color="auto" w:fill="auto"/>
          <w:tblCellMar>
            <w:top w:w="0" w:type="dxa"/>
            <w:left w:w="108" w:type="dxa"/>
            <w:bottom w:w="0" w:type="dxa"/>
            <w:right w:w="108" w:type="dxa"/>
          </w:tblCellMar>
        </w:tblPrEx>
        <w:trPr>
          <w:trHeight w:val="160" w:hRule="atLeast"/>
        </w:trPr>
        <w:tc>
          <w:tcPr>
            <w:tcW w:w="455" w:type="pct"/>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default" w:ascii="宋体" w:hAnsi="宋体" w:eastAsia="宋体" w:cs="宋体"/>
                <w:sz w:val="21"/>
                <w:szCs w:val="21"/>
                <w:lang w:val="en-US" w:eastAsia="zh-CN"/>
              </w:rPr>
            </w:pPr>
            <w:r>
              <w:rPr>
                <w:rFonts w:hint="eastAsia" w:cs="宋体"/>
                <w:sz w:val="21"/>
                <w:szCs w:val="21"/>
                <w:lang w:val="en-US" w:eastAsia="zh-CN"/>
              </w:rPr>
              <w:t>2</w:t>
            </w:r>
          </w:p>
        </w:tc>
        <w:tc>
          <w:tcPr>
            <w:tcW w:w="633"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eastAsia="zh-CN"/>
              </w:rPr>
              <w:t>数据库管理</w:t>
            </w:r>
          </w:p>
        </w:tc>
        <w:tc>
          <w:tcPr>
            <w:tcW w:w="2560"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rPr>
                <w:rFonts w:hint="eastAsia" w:ascii="宋体" w:hAnsi="宋体" w:eastAsia="宋体" w:cs="宋体"/>
                <w:kern w:val="2"/>
                <w:sz w:val="21"/>
                <w:szCs w:val="21"/>
                <w:lang w:val="en-US" w:eastAsia="zh-CN" w:bidi="ar-SA"/>
              </w:rPr>
            </w:pPr>
            <w:r>
              <w:rPr>
                <w:rFonts w:hint="eastAsia" w:ascii="宋体" w:hAnsi="宋体" w:cs="宋体"/>
                <w:sz w:val="21"/>
                <w:szCs w:val="21"/>
                <w:lang w:val="en-US" w:eastAsia="zh-CN"/>
              </w:rPr>
              <w:t>班级环境创设</w:t>
            </w:r>
            <w:r>
              <w:rPr>
                <w:rFonts w:hint="eastAsia" w:ascii="宋体" w:hAnsi="宋体" w:eastAsia="宋体" w:cs="宋体"/>
                <w:sz w:val="21"/>
                <w:szCs w:val="21"/>
                <w:lang w:eastAsia="zh-CN"/>
              </w:rPr>
              <w:t>的最终</w:t>
            </w:r>
            <w:r>
              <w:rPr>
                <w:rFonts w:hint="eastAsia" w:ascii="宋体" w:hAnsi="宋体" w:cs="宋体"/>
                <w:sz w:val="21"/>
                <w:szCs w:val="21"/>
                <w:lang w:val="en-US" w:eastAsia="zh-CN"/>
              </w:rPr>
              <w:t>作品</w:t>
            </w:r>
            <w:r>
              <w:rPr>
                <w:rFonts w:hint="eastAsia" w:ascii="宋体" w:hAnsi="宋体" w:eastAsia="宋体" w:cs="宋体"/>
                <w:sz w:val="21"/>
                <w:szCs w:val="21"/>
                <w:lang w:eastAsia="zh-CN"/>
              </w:rPr>
              <w:t>能够有储存的数据库，并且后续能开放展示，在网络上能进行评价互动。</w:t>
            </w:r>
          </w:p>
        </w:tc>
        <w:tc>
          <w:tcPr>
            <w:tcW w:w="632"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eastAsia="zh-CN"/>
              </w:rPr>
              <w:t>1个</w:t>
            </w:r>
          </w:p>
        </w:tc>
        <w:tc>
          <w:tcPr>
            <w:tcW w:w="718"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3</w:t>
            </w:r>
          </w:p>
        </w:tc>
      </w:tr>
      <w:tr>
        <w:tblPrEx>
          <w:tblCellMar>
            <w:top w:w="0" w:type="dxa"/>
            <w:left w:w="108" w:type="dxa"/>
            <w:bottom w:w="0" w:type="dxa"/>
            <w:right w:w="108" w:type="dxa"/>
          </w:tblCellMar>
        </w:tblPrEx>
        <w:trPr>
          <w:trHeight w:val="160" w:hRule="atLeast"/>
        </w:trPr>
        <w:tc>
          <w:tcPr>
            <w:tcW w:w="455" w:type="pct"/>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default" w:ascii="宋体" w:hAnsi="宋体" w:eastAsia="宋体" w:cs="宋体"/>
                <w:sz w:val="21"/>
                <w:szCs w:val="21"/>
                <w:lang w:val="en-US" w:eastAsia="zh-CN"/>
              </w:rPr>
            </w:pPr>
            <w:r>
              <w:rPr>
                <w:rFonts w:hint="eastAsia" w:cs="宋体"/>
                <w:sz w:val="21"/>
                <w:szCs w:val="21"/>
                <w:lang w:val="en-US" w:eastAsia="zh-CN"/>
              </w:rPr>
              <w:t>3</w:t>
            </w:r>
          </w:p>
        </w:tc>
        <w:tc>
          <w:tcPr>
            <w:tcW w:w="633"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eastAsia="zh-CN"/>
              </w:rPr>
              <w:t>外部资源导入</w:t>
            </w:r>
          </w:p>
        </w:tc>
        <w:tc>
          <w:tcPr>
            <w:tcW w:w="2560"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rPr>
                <w:rFonts w:hint="eastAsia" w:ascii="宋体" w:hAnsi="宋体" w:eastAsia="宋体" w:cs="宋体"/>
                <w:kern w:val="2"/>
                <w:sz w:val="21"/>
                <w:szCs w:val="21"/>
                <w:lang w:val="en-US" w:eastAsia="zh-CN" w:bidi="ar-SA"/>
              </w:rPr>
            </w:pPr>
            <w:r>
              <w:rPr>
                <w:rFonts w:hint="eastAsia" w:ascii="宋体" w:hAnsi="宋体" w:eastAsia="宋体" w:cs="宋体"/>
                <w:sz w:val="21"/>
                <w:szCs w:val="21"/>
                <w:lang w:eastAsia="zh-CN"/>
              </w:rPr>
              <w:t>学生能够将自己制作的</w:t>
            </w:r>
            <w:r>
              <w:rPr>
                <w:rFonts w:hint="eastAsia" w:ascii="宋体" w:hAnsi="宋体" w:cs="宋体"/>
                <w:sz w:val="21"/>
                <w:szCs w:val="21"/>
                <w:lang w:val="en-US" w:eastAsia="zh-CN"/>
              </w:rPr>
              <w:t>实验</w:t>
            </w:r>
            <w:r>
              <w:rPr>
                <w:rFonts w:hint="eastAsia" w:ascii="宋体" w:hAnsi="宋体" w:eastAsia="宋体" w:cs="宋体"/>
                <w:sz w:val="21"/>
                <w:szCs w:val="21"/>
                <w:lang w:eastAsia="zh-CN"/>
              </w:rPr>
              <w:t>模型以及</w:t>
            </w:r>
            <w:r>
              <w:rPr>
                <w:rFonts w:hint="eastAsia" w:ascii="宋体" w:hAnsi="宋体" w:cs="宋体"/>
                <w:sz w:val="21"/>
                <w:szCs w:val="21"/>
                <w:lang w:val="en-US" w:eastAsia="zh-CN"/>
              </w:rPr>
              <w:t>实验</w:t>
            </w:r>
            <w:r>
              <w:rPr>
                <w:rFonts w:hint="eastAsia" w:ascii="宋体" w:hAnsi="宋体" w:eastAsia="宋体" w:cs="宋体"/>
                <w:sz w:val="21"/>
                <w:szCs w:val="21"/>
                <w:lang w:eastAsia="zh-CN"/>
              </w:rPr>
              <w:t>场景导入，进行</w:t>
            </w:r>
            <w:r>
              <w:rPr>
                <w:rFonts w:hint="eastAsia" w:ascii="宋体" w:hAnsi="宋体" w:cs="宋体"/>
                <w:sz w:val="21"/>
                <w:szCs w:val="21"/>
                <w:lang w:val="en-US" w:eastAsia="zh-CN"/>
              </w:rPr>
              <w:t>班级环境创设</w:t>
            </w:r>
            <w:r>
              <w:rPr>
                <w:rFonts w:hint="eastAsia" w:ascii="宋体" w:hAnsi="宋体" w:eastAsia="宋体" w:cs="宋体"/>
                <w:sz w:val="21"/>
                <w:szCs w:val="21"/>
                <w:lang w:eastAsia="zh-CN"/>
              </w:rPr>
              <w:t>整个流程制作。</w:t>
            </w:r>
          </w:p>
        </w:tc>
        <w:tc>
          <w:tcPr>
            <w:tcW w:w="632"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eastAsia="zh-CN"/>
              </w:rPr>
              <w:t>1个</w:t>
            </w:r>
          </w:p>
        </w:tc>
        <w:tc>
          <w:tcPr>
            <w:tcW w:w="718" w:type="pct"/>
            <w:tcBorders>
              <w:top w:val="nil"/>
              <w:left w:val="nil"/>
              <w:bottom w:val="single" w:color="000000" w:sz="8" w:space="0"/>
              <w:right w:val="single" w:color="000000" w:sz="8" w:space="0"/>
            </w:tcBorders>
            <w:shd w:val="clear" w:color="auto" w:fill="auto"/>
            <w:vAlign w:val="center"/>
          </w:tcPr>
          <w:p>
            <w:pPr>
              <w:spacing w:line="240" w:lineRule="auto"/>
              <w:ind w:firstLine="0" w:firstLineChars="0"/>
              <w:jc w:val="center"/>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5</w:t>
            </w:r>
          </w:p>
        </w:tc>
      </w:tr>
      <w:tr>
        <w:tblPrEx>
          <w:tblCellMar>
            <w:top w:w="0" w:type="dxa"/>
            <w:left w:w="108" w:type="dxa"/>
            <w:bottom w:w="0" w:type="dxa"/>
            <w:right w:w="108" w:type="dxa"/>
          </w:tblCellMar>
        </w:tblPrEx>
        <w:trPr>
          <w:trHeight w:val="90" w:hRule="atLeast"/>
        </w:trPr>
        <w:tc>
          <w:tcPr>
            <w:tcW w:w="455" w:type="pct"/>
            <w:vMerge w:val="restart"/>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cs="宋体"/>
                <w:sz w:val="21"/>
                <w:szCs w:val="21"/>
                <w:lang w:val="en-US" w:eastAsia="zh-CN"/>
              </w:rPr>
              <w:t>4</w:t>
            </w:r>
          </w:p>
        </w:tc>
        <w:tc>
          <w:tcPr>
            <w:tcW w:w="633" w:type="pct"/>
            <w:vMerge w:val="restar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场景和器材模型</w:t>
            </w: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幼儿园教室场景</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1</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幼儿园情景模拟实训室器材</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39种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39</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幼儿科学实验室主题套装</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5套</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2</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早期教育实训室器材</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14种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14</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美术手工室柜子</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8个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0.1</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美术实训室手工和画画材料</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20种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4</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蒙台梭利生活实践用品</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8种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08</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蒙台梭利语言学习用品</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3种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0.0</w:t>
            </w:r>
            <w:r>
              <w:rPr>
                <w:rFonts w:hint="eastAsia" w:ascii="宋体" w:hAnsi="宋体" w:cs="宋体"/>
                <w:i w:val="0"/>
                <w:iCs w:val="0"/>
                <w:color w:val="000000"/>
                <w:sz w:val="21"/>
                <w:szCs w:val="21"/>
                <w:u w:val="none"/>
                <w:lang w:val="en-US" w:eastAsia="zh-CN"/>
              </w:rPr>
              <w:t>3</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蒙台梭利数学学习用品</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8种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08</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蒙台梭利生物学习用品</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2种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0.0</w:t>
            </w:r>
            <w:r>
              <w:rPr>
                <w:rFonts w:hint="eastAsia" w:ascii="宋体" w:hAnsi="宋体" w:cs="宋体"/>
                <w:i w:val="0"/>
                <w:iCs w:val="0"/>
                <w:color w:val="000000"/>
                <w:sz w:val="21"/>
                <w:szCs w:val="21"/>
                <w:u w:val="none"/>
                <w:lang w:val="en-US" w:eastAsia="zh-CN"/>
              </w:rPr>
              <w:t>2</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蒙台梭利地理学习用品</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3种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0.0</w:t>
            </w:r>
            <w:r>
              <w:rPr>
                <w:rFonts w:hint="eastAsia" w:ascii="宋体" w:hAnsi="宋体" w:cs="宋体"/>
                <w:i w:val="0"/>
                <w:iCs w:val="0"/>
                <w:color w:val="000000"/>
                <w:sz w:val="21"/>
                <w:szCs w:val="21"/>
                <w:u w:val="none"/>
                <w:lang w:val="en-US" w:eastAsia="zh-CN"/>
              </w:rPr>
              <w:t>3</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蒙台梭利阅读区角</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4种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04</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感统教具</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29种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29</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音乐器材</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31种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62</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吊顶主题系列（可以针对房顶进行装饰和更换主题）</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9套</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89</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墙面主题系列（墙面的主题可以进行更换）</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12套</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12</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大小互动墙板系列（墙板可以选择进行更换）</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54个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0.1</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 xml:space="preserve">特色区角系列 </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20个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1</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 xml:space="preserve">小球旅行记 </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3个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0</w:t>
            </w:r>
            <w:r>
              <w:rPr>
                <w:rFonts w:hint="eastAsia" w:ascii="宋体" w:hAnsi="宋体" w:eastAsia="宋体" w:cs="宋体"/>
                <w:i w:val="0"/>
                <w:iCs w:val="0"/>
                <w:color w:val="000000"/>
                <w:sz w:val="21"/>
                <w:szCs w:val="21"/>
                <w:u w:val="none"/>
                <w:lang w:val="en-US" w:eastAsia="zh-CN"/>
              </w:rPr>
              <w:t>3</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运动体感器材</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8种</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08</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玩沙主题游乐设施</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4个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04</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 xml:space="preserve">玩水主题设施 </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26个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cs="宋体"/>
                <w:i w:val="0"/>
                <w:iCs w:val="0"/>
                <w:color w:val="000000"/>
                <w:sz w:val="21"/>
                <w:szCs w:val="21"/>
                <w:u w:val="none"/>
                <w:lang w:val="en-US" w:eastAsia="zh-CN"/>
              </w:rPr>
              <w:t>0.26</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音乐主题系列（可进行模型的更换）</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 xml:space="preserve"> 11个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1</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玩沙主题游乐设施</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 xml:space="preserve"> 4个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04</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 xml:space="preserve">科学台系列 </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13个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default"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w:t>
            </w:r>
            <w:r>
              <w:rPr>
                <w:rFonts w:hint="eastAsia" w:ascii="宋体" w:hAnsi="宋体" w:cs="宋体"/>
                <w:i w:val="0"/>
                <w:iCs w:val="0"/>
                <w:color w:val="000000"/>
                <w:sz w:val="21"/>
                <w:szCs w:val="21"/>
                <w:u w:val="none"/>
                <w:lang w:val="en-US" w:eastAsia="zh-CN"/>
              </w:rPr>
              <w:t>1</w:t>
            </w:r>
          </w:p>
        </w:tc>
      </w:tr>
      <w:tr>
        <w:tblPrEx>
          <w:shd w:val="clear" w:color="auto" w:fill="auto"/>
          <w:tblCellMar>
            <w:top w:w="0" w:type="dxa"/>
            <w:left w:w="108" w:type="dxa"/>
            <w:bottom w:w="0" w:type="dxa"/>
            <w:right w:w="108" w:type="dxa"/>
          </w:tblCellMar>
        </w:tblPrEx>
        <w:trPr>
          <w:trHeight w:val="327" w:hRule="atLeast"/>
        </w:trPr>
        <w:tc>
          <w:tcPr>
            <w:tcW w:w="455" w:type="pct"/>
            <w:vMerge w:val="restart"/>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cs="宋体"/>
                <w:sz w:val="21"/>
                <w:szCs w:val="21"/>
                <w:lang w:val="en-US" w:eastAsia="zh-CN"/>
              </w:rPr>
              <w:t>5</w:t>
            </w:r>
          </w:p>
        </w:tc>
        <w:tc>
          <w:tcPr>
            <w:tcW w:w="633" w:type="pct"/>
            <w:vMerge w:val="restart"/>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实训互动</w:t>
            </w: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1.视频导入思政部分</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0.3</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2.介绍幼儿园班级环境创设原则和操作流程</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3.介绍幼儿园班级活动区创设要点</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4.学生进入幼儿园班级场景进行漫游，了解幼儿园班级的环境和活动区创设案例</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5.进入系统，选择班级（大、中、小班）</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6.根据教室的环境，选定各个区域的大小和位置</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7.对区域进行标注，包括区角的名称和作用</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8.选择合适的吊顶主题进行装饰和更换</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tblCellMar>
            <w:top w:w="0" w:type="dxa"/>
            <w:left w:w="108" w:type="dxa"/>
            <w:bottom w:w="0" w:type="dxa"/>
            <w:right w:w="108" w:type="dxa"/>
          </w:tblCellMar>
        </w:tblPrEx>
        <w:trPr>
          <w:trHeight w:val="327"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9.选择合适的墙面主题对墙面进行装饰</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10.拖动UI面板的模型对区角完成基础设施搭建</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tblCellMar>
            <w:top w:w="0" w:type="dxa"/>
            <w:left w:w="108" w:type="dxa"/>
            <w:bottom w:w="0" w:type="dxa"/>
            <w:right w:w="108" w:type="dxa"/>
          </w:tblCellMar>
        </w:tblPrEx>
        <w:trPr>
          <w:trHeight w:val="639"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11.进入一个区角，跟据区角的功能选择合适的物品模型</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639"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12.可随时选择2D和3D视角的切换，对区域进行浏览</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13.可以对模型进行位置移动，删除等操作，来进行区角的创设</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14.区角创设完成后，可以保存作品，若没有选择保存，可以弹出对话框进行提示</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shd w:val="clear" w:color="auto" w:fill="auto"/>
          <w:tblCellMar>
            <w:top w:w="0" w:type="dxa"/>
            <w:left w:w="108" w:type="dxa"/>
            <w:bottom w:w="0" w:type="dxa"/>
            <w:right w:w="108" w:type="dxa"/>
          </w:tblCellMar>
        </w:tblPrEx>
        <w:trPr>
          <w:trHeight w:val="90" w:hRule="atLeast"/>
        </w:trPr>
        <w:tc>
          <w:tcPr>
            <w:tcW w:w="455" w:type="pct"/>
            <w:vMerge w:val="continue"/>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633" w:type="pct"/>
            <w:vMerge w:val="continue"/>
            <w:tcBorders>
              <w:top w:val="nil"/>
              <w:left w:val="nil"/>
              <w:bottom w:val="nil"/>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15.学生可以对完成的作品进行查看归档</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1个</w:t>
            </w: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w:t>
            </w:r>
          </w:p>
        </w:tc>
      </w:tr>
      <w:tr>
        <w:tblPrEx>
          <w:tblCellMar>
            <w:top w:w="0" w:type="dxa"/>
            <w:left w:w="108" w:type="dxa"/>
            <w:bottom w:w="0" w:type="dxa"/>
            <w:right w:w="108" w:type="dxa"/>
          </w:tblCellMar>
        </w:tblPrEx>
        <w:trPr>
          <w:trHeight w:val="90" w:hRule="atLeast"/>
        </w:trPr>
        <w:tc>
          <w:tcPr>
            <w:tcW w:w="455" w:type="pct"/>
            <w:tcBorders>
              <w:top w:val="nil"/>
              <w:left w:val="single" w:color="000000" w:sz="8" w:space="0"/>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cs="宋体"/>
                <w:sz w:val="21"/>
                <w:szCs w:val="21"/>
                <w:lang w:val="en-US" w:eastAsia="zh-CN"/>
              </w:rPr>
              <w:t>6</w:t>
            </w:r>
          </w:p>
        </w:tc>
        <w:tc>
          <w:tcPr>
            <w:tcW w:w="633" w:type="pct"/>
            <w:tcBorders>
              <w:top w:val="single" w:color="000000" w:sz="8" w:space="0"/>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r>
              <w:rPr>
                <w:rFonts w:hint="eastAsia" w:ascii="宋体" w:hAnsi="宋体" w:eastAsia="宋体" w:cs="宋体"/>
                <w:sz w:val="21"/>
                <w:szCs w:val="21"/>
                <w:lang w:val="en-US" w:eastAsia="zh-CN"/>
              </w:rPr>
              <w:t>UI界面</w:t>
            </w:r>
          </w:p>
        </w:tc>
        <w:tc>
          <w:tcPr>
            <w:tcW w:w="2560" w:type="pct"/>
            <w:tcBorders>
              <w:top w:val="nil"/>
              <w:left w:val="nil"/>
              <w:bottom w:val="single" w:color="000000" w:sz="8" w:space="0"/>
              <w:right w:val="single" w:color="000000" w:sz="8" w:space="0"/>
            </w:tcBorders>
            <w:shd w:val="clear" w:color="auto" w:fill="auto"/>
            <w:vAlign w:val="center"/>
          </w:tcPr>
          <w:p>
            <w:pPr>
              <w:pStyle w:val="26"/>
              <w:bidi w:val="0"/>
              <w:rPr>
                <w:rFonts w:hint="eastAsia" w:ascii="宋体" w:hAnsi="宋体" w:eastAsia="宋体" w:cs="宋体"/>
                <w:sz w:val="21"/>
                <w:szCs w:val="21"/>
              </w:rPr>
            </w:pPr>
            <w:r>
              <w:rPr>
                <w:rFonts w:hint="eastAsia" w:ascii="宋体" w:hAnsi="宋体" w:eastAsia="宋体" w:cs="宋体"/>
                <w:sz w:val="21"/>
                <w:szCs w:val="21"/>
                <w:lang w:val="en-US" w:eastAsia="zh-CN"/>
              </w:rPr>
              <w:t>虚拟仿真软件界面的UI设计及互动功能制作</w:t>
            </w:r>
          </w:p>
        </w:tc>
        <w:tc>
          <w:tcPr>
            <w:tcW w:w="632" w:type="pct"/>
            <w:tcBorders>
              <w:top w:val="nil"/>
              <w:left w:val="nil"/>
              <w:bottom w:val="single" w:color="000000" w:sz="8" w:space="0"/>
              <w:right w:val="single" w:color="000000" w:sz="8" w:space="0"/>
            </w:tcBorders>
            <w:shd w:val="clear" w:color="auto" w:fill="auto"/>
            <w:vAlign w:val="center"/>
          </w:tcPr>
          <w:p>
            <w:pPr>
              <w:pStyle w:val="24"/>
              <w:bidi w:val="0"/>
              <w:rPr>
                <w:rFonts w:hint="eastAsia" w:ascii="宋体" w:hAnsi="宋体" w:eastAsia="宋体" w:cs="宋体"/>
                <w:sz w:val="21"/>
                <w:szCs w:val="21"/>
              </w:rPr>
            </w:pPr>
          </w:p>
        </w:tc>
        <w:tc>
          <w:tcPr>
            <w:tcW w:w="718" w:type="pct"/>
            <w:tcBorders>
              <w:top w:val="nil"/>
              <w:left w:val="nil"/>
              <w:bottom w:val="single" w:color="000000" w:sz="8" w:space="0"/>
              <w:right w:val="single" w:color="000000" w:sz="8" w:space="0"/>
            </w:tcBorders>
            <w:shd w:val="clear" w:color="auto" w:fill="auto"/>
            <w:vAlign w:val="center"/>
          </w:tcPr>
          <w:p>
            <w:pPr>
              <w:ind w:left="0" w:leftChars="0" w:firstLine="0" w:firstLineChars="0"/>
              <w:jc w:val="center"/>
              <w:rPr>
                <w:rFonts w:hint="eastAsia" w:ascii="宋体" w:hAnsi="宋体" w:eastAsia="宋体" w:cs="宋体"/>
                <w:i w:val="0"/>
                <w:iCs w:val="0"/>
                <w:color w:val="000000"/>
                <w:sz w:val="21"/>
                <w:szCs w:val="21"/>
                <w:u w:val="none"/>
              </w:rPr>
            </w:pPr>
            <w:r>
              <w:rPr>
                <w:rFonts w:hint="eastAsia" w:ascii="宋体" w:hAnsi="宋体" w:eastAsia="宋体" w:cs="宋体"/>
                <w:sz w:val="21"/>
                <w:szCs w:val="21"/>
                <w:lang w:val="en-US" w:eastAsia="zh-CN"/>
              </w:rPr>
              <w:t>1</w:t>
            </w:r>
          </w:p>
        </w:tc>
      </w:tr>
      <w:tr>
        <w:tblPrEx>
          <w:shd w:val="clear" w:color="auto" w:fill="auto"/>
          <w:tblCellMar>
            <w:top w:w="0" w:type="dxa"/>
            <w:left w:w="108" w:type="dxa"/>
            <w:bottom w:w="0" w:type="dxa"/>
            <w:right w:w="108" w:type="dxa"/>
          </w:tblCellMar>
        </w:tblPrEx>
        <w:trPr>
          <w:trHeight w:val="288" w:hRule="atLeast"/>
        </w:trPr>
        <w:tc>
          <w:tcPr>
            <w:tcW w:w="3648" w:type="pct"/>
            <w:gridSpan w:val="3"/>
            <w:vMerge w:val="restart"/>
            <w:tcBorders>
              <w:top w:val="nil"/>
              <w:left w:val="single" w:color="000000" w:sz="8" w:space="0"/>
              <w:bottom w:val="single" w:color="000000" w:sz="8" w:space="0"/>
              <w:right w:val="single" w:color="000000" w:sz="8"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总计</w:t>
            </w:r>
          </w:p>
        </w:tc>
        <w:tc>
          <w:tcPr>
            <w:tcW w:w="1351" w:type="pct"/>
            <w:gridSpan w:val="2"/>
            <w:vMerge w:val="restart"/>
            <w:tcBorders>
              <w:top w:val="nil"/>
              <w:left w:val="nil"/>
              <w:bottom w:val="single" w:color="000000" w:sz="8" w:space="0"/>
              <w:right w:val="single" w:color="000000" w:sz="8" w:space="0"/>
            </w:tcBorders>
            <w:shd w:val="clear" w:color="auto" w:fill="auto"/>
            <w:noWrap/>
            <w:vAlign w:val="center"/>
          </w:tcPr>
          <w:p>
            <w:pPr>
              <w:jc w:val="center"/>
              <w:rPr>
                <w:rFonts w:hint="eastAsia" w:ascii="宋体" w:hAnsi="宋体" w:eastAsia="宋体" w:cs="宋体"/>
                <w:i w:val="0"/>
                <w:iCs w:val="0"/>
                <w:color w:val="000000"/>
                <w:sz w:val="21"/>
                <w:szCs w:val="21"/>
                <w:u w:val="none"/>
                <w:lang w:val="en-US" w:eastAsia="zh-CN"/>
              </w:rPr>
            </w:pPr>
            <w:r>
              <w:rPr>
                <w:rFonts w:hint="eastAsia" w:ascii="宋体" w:hAnsi="宋体" w:eastAsia="宋体" w:cs="宋体"/>
                <w:i w:val="0"/>
                <w:iCs w:val="0"/>
                <w:color w:val="000000"/>
                <w:sz w:val="21"/>
                <w:szCs w:val="21"/>
                <w:u w:val="none"/>
                <w:lang w:val="en-US" w:eastAsia="zh-CN"/>
              </w:rPr>
              <w:t>24.58</w:t>
            </w:r>
          </w:p>
        </w:tc>
      </w:tr>
      <w:tr>
        <w:tblPrEx>
          <w:tblCellMar>
            <w:top w:w="0" w:type="dxa"/>
            <w:left w:w="108" w:type="dxa"/>
            <w:bottom w:w="0" w:type="dxa"/>
            <w:right w:w="108" w:type="dxa"/>
          </w:tblCellMar>
        </w:tblPrEx>
        <w:trPr>
          <w:trHeight w:val="288" w:hRule="atLeast"/>
        </w:trPr>
        <w:tc>
          <w:tcPr>
            <w:tcW w:w="3648" w:type="pct"/>
            <w:gridSpan w:val="3"/>
            <w:vMerge w:val="continue"/>
            <w:tcBorders>
              <w:top w:val="nil"/>
              <w:left w:val="single" w:color="000000" w:sz="8" w:space="0"/>
              <w:bottom w:val="single" w:color="000000" w:sz="8" w:space="0"/>
              <w:right w:val="single" w:color="000000" w:sz="8" w:space="0"/>
            </w:tcBorders>
            <w:shd w:val="clear" w:color="auto" w:fill="auto"/>
            <w:vAlign w:val="center"/>
          </w:tcPr>
          <w:p>
            <w:pPr>
              <w:jc w:val="center"/>
              <w:rPr>
                <w:rFonts w:hint="eastAsia" w:ascii="宋体" w:hAnsi="宋体" w:eastAsia="宋体" w:cs="宋体"/>
                <w:i w:val="0"/>
                <w:iCs w:val="0"/>
                <w:color w:val="000000"/>
                <w:sz w:val="21"/>
                <w:szCs w:val="21"/>
                <w:u w:val="none"/>
              </w:rPr>
            </w:pPr>
          </w:p>
        </w:tc>
        <w:tc>
          <w:tcPr>
            <w:tcW w:w="1351" w:type="pct"/>
            <w:gridSpan w:val="2"/>
            <w:vMerge w:val="continue"/>
            <w:tcBorders>
              <w:top w:val="nil"/>
              <w:left w:val="nil"/>
              <w:bottom w:val="single" w:color="000000" w:sz="8" w:space="0"/>
              <w:right w:val="single" w:color="000000" w:sz="8"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r>
    </w:tbl>
    <w:p>
      <w:pPr>
        <w:ind w:firstLine="0" w:firstLineChars="0"/>
        <w:jc w:val="center"/>
        <w:outlineLvl w:val="0"/>
      </w:pPr>
      <w:bookmarkStart w:id="300" w:name="_GoBack"/>
      <w:bookmarkEnd w:id="300"/>
      <w:r>
        <w:rPr>
          <w:rFonts w:hint="eastAsia" w:ascii="Times New Roman" w:hAnsi="Times New Roman"/>
          <w:sz w:val="36"/>
          <w:szCs w:val="32"/>
        </w:rPr>
        <w:br w:type="page"/>
      </w:r>
      <w:bookmarkStart w:id="226" w:name="_Toc4391"/>
      <w:bookmarkStart w:id="227" w:name="_Toc19031"/>
      <w:bookmarkStart w:id="228" w:name="_Toc24845"/>
      <w:bookmarkStart w:id="229" w:name="_Toc20636"/>
      <w:bookmarkStart w:id="230" w:name="_Toc22580"/>
      <w:r>
        <w:rPr>
          <w:rStyle w:val="15"/>
          <w:rFonts w:hint="eastAsia"/>
        </w:rPr>
        <w:t>十一、建设成果</w:t>
      </w:r>
      <w:bookmarkEnd w:id="226"/>
      <w:bookmarkEnd w:id="227"/>
      <w:bookmarkEnd w:id="228"/>
      <w:bookmarkEnd w:id="229"/>
      <w:bookmarkEnd w:id="230"/>
    </w:p>
    <w:p>
      <w:pPr>
        <w:ind w:firstLine="480"/>
      </w:pPr>
      <w:r>
        <w:rPr>
          <w:rFonts w:hint="eastAsia"/>
        </w:rPr>
        <w:t>。</w:t>
      </w:r>
    </w:p>
    <w:p>
      <w:pPr>
        <w:pStyle w:val="4"/>
        <w:numPr>
          <w:ilvl w:val="0"/>
          <w:numId w:val="16"/>
        </w:numPr>
        <w:spacing w:before="156" w:after="156"/>
        <w:ind w:left="425" w:leftChars="0" w:hanging="425" w:firstLineChars="0"/>
      </w:pPr>
      <w:bookmarkStart w:id="231" w:name="_Toc20874"/>
      <w:bookmarkStart w:id="232" w:name="_Toc22264"/>
      <w:bookmarkStart w:id="233" w:name="_Toc24949"/>
      <w:bookmarkStart w:id="234" w:name="_Toc10060"/>
      <w:bookmarkStart w:id="235" w:name="_Toc13764"/>
      <w:r>
        <w:rPr>
          <w:rFonts w:hint="eastAsia"/>
        </w:rPr>
        <w:t>教学应用方面</w:t>
      </w:r>
      <w:bookmarkEnd w:id="231"/>
      <w:bookmarkEnd w:id="232"/>
      <w:bookmarkEnd w:id="233"/>
      <w:bookmarkEnd w:id="234"/>
      <w:bookmarkEnd w:id="235"/>
    </w:p>
    <w:p>
      <w:pPr>
        <w:bidi w:val="0"/>
        <w:rPr>
          <w:rFonts w:hint="eastAsia"/>
        </w:rPr>
      </w:pPr>
      <w:bookmarkStart w:id="236" w:name="_Toc26126"/>
      <w:bookmarkStart w:id="237" w:name="_Toc8156"/>
      <w:bookmarkStart w:id="238" w:name="_Toc491"/>
      <w:r>
        <w:rPr>
          <w:rFonts w:hint="eastAsia"/>
        </w:rPr>
        <w:t>1）完善教学管理制度，加强理论和实践教学环节管理。</w:t>
      </w:r>
    </w:p>
    <w:p>
      <w:pPr>
        <w:bidi w:val="0"/>
        <w:rPr>
          <w:rFonts w:hint="eastAsia"/>
        </w:rPr>
      </w:pPr>
      <w:r>
        <w:rPr>
          <w:rFonts w:hint="eastAsia"/>
        </w:rPr>
        <w:t>2）解决教师实时监测全体学生及个人操作练习成效的困难，从而有针对性指导学生。</w:t>
      </w:r>
    </w:p>
    <w:p>
      <w:pPr>
        <w:numPr>
          <w:ilvl w:val="0"/>
          <w:numId w:val="0"/>
        </w:numPr>
        <w:bidi w:val="0"/>
        <w:ind w:left="0" w:leftChars="0" w:firstLine="480" w:firstLineChars="200"/>
        <w:rPr>
          <w:rFonts w:hint="eastAsia"/>
        </w:rPr>
      </w:pPr>
      <w:r>
        <w:rPr>
          <w:rFonts w:hint="eastAsia"/>
        </w:rPr>
        <w:t>3）</w:t>
      </w:r>
      <w:bookmarkEnd w:id="236"/>
      <w:bookmarkEnd w:id="237"/>
      <w:bookmarkEnd w:id="238"/>
      <w:r>
        <w:rPr>
          <w:rFonts w:hint="eastAsia"/>
        </w:rPr>
        <w:t>丰富课程的教学资源，且教学的形式更加的数字化，通过虚拟现实技术和智能化游戏化相结合的方式将学前教育基础教学课程生动化、实例化的呈现，提高教学过程的情景仿真度、提高课程的趣味性，使学生更好的接收和掌握幼儿教育的基础知识，可有效的提高课程教学质量。</w:t>
      </w:r>
    </w:p>
    <w:p>
      <w:pPr>
        <w:numPr>
          <w:ilvl w:val="0"/>
          <w:numId w:val="0"/>
        </w:numPr>
        <w:bidi w:val="0"/>
        <w:ind w:left="0" w:leftChars="0" w:firstLine="480" w:firstLineChars="200"/>
        <w:rPr>
          <w:rFonts w:hint="eastAsia" w:eastAsia="宋体"/>
          <w:lang w:eastAsia="zh-CN"/>
        </w:rPr>
      </w:pPr>
      <w:r>
        <w:rPr>
          <w:rFonts w:hint="eastAsia"/>
          <w:lang w:val="en-US" w:eastAsia="zh-CN"/>
        </w:rPr>
        <w:t>4）</w:t>
      </w:r>
      <w:r>
        <w:rPr>
          <w:rFonts w:hint="eastAsia"/>
        </w:rPr>
        <w:t>通过模拟虚拟幼儿园环境，为学生提供丰富的环创材料及工具，提供学生反复练习的场域，改善传统教学过程中学生难以表达、创设耗时耗力耗材、理论讲解不直观等现实困境，满足与与</w:t>
      </w:r>
      <w:r>
        <w:rPr>
          <w:rFonts w:hint="eastAsia"/>
          <w:lang w:val="en-US" w:eastAsia="zh-CN"/>
        </w:rPr>
        <w:t>职业</w:t>
      </w:r>
      <w:r>
        <w:rPr>
          <w:rFonts w:hint="eastAsia"/>
        </w:rPr>
        <w:t>对接的需求</w:t>
      </w:r>
      <w:r>
        <w:rPr>
          <w:rFonts w:hint="eastAsia"/>
          <w:lang w:eastAsia="zh-CN"/>
        </w:rPr>
        <w:t>。</w:t>
      </w:r>
    </w:p>
    <w:p>
      <w:pPr>
        <w:bidi w:val="0"/>
      </w:pPr>
    </w:p>
    <w:p>
      <w:pPr>
        <w:pStyle w:val="4"/>
        <w:numPr>
          <w:ilvl w:val="0"/>
          <w:numId w:val="16"/>
        </w:numPr>
        <w:bidi w:val="0"/>
        <w:ind w:left="425" w:leftChars="0" w:hanging="425" w:firstLineChars="0"/>
        <w:rPr>
          <w:rFonts w:hint="default"/>
          <w:lang w:val="en-US" w:eastAsia="zh-CN"/>
        </w:rPr>
      </w:pPr>
      <w:bookmarkStart w:id="239" w:name="_Toc11221"/>
      <w:bookmarkStart w:id="240" w:name="_Toc5844"/>
      <w:r>
        <w:rPr>
          <w:rFonts w:hint="eastAsia"/>
          <w:lang w:val="en-US" w:eastAsia="zh-CN"/>
        </w:rPr>
        <w:t>师资建设方面</w:t>
      </w:r>
      <w:bookmarkEnd w:id="239"/>
      <w:bookmarkEnd w:id="240"/>
    </w:p>
    <w:p>
      <w:pPr>
        <w:ind w:firstLine="480"/>
      </w:pPr>
      <w:r>
        <w:t>教师队伍是发展教育的第一资源</w:t>
      </w:r>
      <w:r>
        <w:rPr>
          <w:rFonts w:hint="eastAsia"/>
        </w:rPr>
        <w:t>，提升教师的教学能力和实践能力是深化新时代职业教育“双师型”教师队伍建设的必要要求。老师在深度参与虚拟仿真项目建设的过程中，提升了专业技能的同时也加深了对虚拟仿真技术的了解、掌握和运用。</w:t>
      </w:r>
    </w:p>
    <w:p>
      <w:pPr>
        <w:pStyle w:val="4"/>
        <w:numPr>
          <w:ilvl w:val="0"/>
          <w:numId w:val="16"/>
        </w:numPr>
        <w:spacing w:before="156" w:after="156"/>
        <w:ind w:left="425" w:leftChars="0" w:hanging="425" w:firstLineChars="0"/>
      </w:pPr>
      <w:bookmarkStart w:id="241" w:name="_Toc20925"/>
      <w:bookmarkStart w:id="242" w:name="_Toc29891"/>
      <w:bookmarkStart w:id="243" w:name="_Toc14692"/>
      <w:bookmarkStart w:id="244" w:name="_Toc13154"/>
      <w:bookmarkStart w:id="245" w:name="_Toc24458"/>
      <w:r>
        <w:rPr>
          <w:rFonts w:hint="eastAsia"/>
        </w:rPr>
        <w:t>教学成果方面</w:t>
      </w:r>
      <w:bookmarkEnd w:id="241"/>
      <w:bookmarkEnd w:id="242"/>
      <w:bookmarkEnd w:id="243"/>
      <w:bookmarkEnd w:id="244"/>
      <w:bookmarkEnd w:id="245"/>
    </w:p>
    <w:p>
      <w:pPr>
        <w:numPr>
          <w:ilvl w:val="0"/>
          <w:numId w:val="17"/>
        </w:numPr>
        <w:bidi w:val="0"/>
        <w:ind w:left="425" w:leftChars="0" w:firstLine="52" w:firstLineChars="22"/>
      </w:pPr>
      <w:r>
        <w:rPr>
          <w:rFonts w:hint="eastAsia"/>
        </w:rPr>
        <w:t>软件的著作权属于学校 ，利于教学成果的转化；</w:t>
      </w:r>
    </w:p>
    <w:p>
      <w:pPr>
        <w:numPr>
          <w:ilvl w:val="0"/>
          <w:numId w:val="17"/>
        </w:numPr>
        <w:bidi w:val="0"/>
        <w:ind w:left="425" w:leftChars="0" w:firstLine="52" w:firstLineChars="22"/>
      </w:pPr>
      <w:r>
        <w:rPr>
          <w:rFonts w:hint="eastAsia"/>
        </w:rPr>
        <w:t>项目成果可用于申报市级、国家级一流课程申报；</w:t>
      </w:r>
    </w:p>
    <w:p>
      <w:pPr>
        <w:numPr>
          <w:ilvl w:val="0"/>
          <w:numId w:val="17"/>
        </w:numPr>
        <w:bidi w:val="0"/>
        <w:ind w:left="425" w:leftChars="0" w:firstLine="52" w:firstLineChars="22"/>
      </w:pPr>
      <w:r>
        <w:rPr>
          <w:rFonts w:hint="eastAsia"/>
        </w:rPr>
        <w:t>可以作为教师其他课程申报的支撑材料。</w:t>
      </w:r>
    </w:p>
    <w:p>
      <w:pPr>
        <w:numPr>
          <w:ilvl w:val="0"/>
          <w:numId w:val="17"/>
        </w:numPr>
        <w:bidi w:val="0"/>
        <w:ind w:left="0" w:leftChars="0" w:firstLine="480" w:firstLineChars="200"/>
      </w:pPr>
      <w:r>
        <w:t>解决教育资源相对短缺问题：</w:t>
      </w:r>
      <w:r>
        <w:rPr>
          <w:rFonts w:hint="eastAsia"/>
        </w:rPr>
        <w:t>通过虚拟情景，</w:t>
      </w:r>
      <w:r>
        <w:t>帮助学生更好地理解和掌握重点和难点知识，提高资源的共享性</w:t>
      </w:r>
      <w:r>
        <w:rPr>
          <w:rFonts w:hint="eastAsia"/>
        </w:rPr>
        <w:t>。</w:t>
      </w:r>
      <w:r>
        <w:rPr>
          <w:rFonts w:hint="eastAsia"/>
        </w:rPr>
        <w:br w:type="page"/>
      </w:r>
    </w:p>
    <w:p>
      <w:pPr>
        <w:pStyle w:val="3"/>
      </w:pPr>
      <w:bookmarkStart w:id="246" w:name="_Toc2680"/>
      <w:bookmarkStart w:id="247" w:name="_Toc21113"/>
      <w:bookmarkStart w:id="248" w:name="_Toc23429"/>
      <w:bookmarkStart w:id="249" w:name="_Toc5870"/>
      <w:bookmarkStart w:id="250" w:name="_Toc17038"/>
      <w:bookmarkStart w:id="251" w:name="_Toc20561"/>
      <w:bookmarkStart w:id="252" w:name="_Toc8919"/>
      <w:bookmarkStart w:id="253" w:name="_Toc18736"/>
      <w:bookmarkStart w:id="254" w:name="_Toc23963"/>
      <w:bookmarkStart w:id="255" w:name="_Toc26856"/>
      <w:bookmarkStart w:id="256" w:name="_Toc26295"/>
      <w:r>
        <w:rPr>
          <w:rFonts w:hint="eastAsia"/>
        </w:rPr>
        <w:t>十二、售后服务</w:t>
      </w:r>
      <w:bookmarkEnd w:id="246"/>
      <w:bookmarkEnd w:id="247"/>
      <w:bookmarkEnd w:id="248"/>
      <w:bookmarkEnd w:id="249"/>
      <w:bookmarkEnd w:id="250"/>
      <w:bookmarkEnd w:id="251"/>
      <w:bookmarkEnd w:id="252"/>
      <w:bookmarkEnd w:id="253"/>
      <w:bookmarkEnd w:id="254"/>
      <w:bookmarkEnd w:id="255"/>
      <w:bookmarkEnd w:id="256"/>
    </w:p>
    <w:p>
      <w:pPr>
        <w:numPr>
          <w:ilvl w:val="0"/>
          <w:numId w:val="18"/>
        </w:numPr>
        <w:ind w:firstLineChars="0"/>
      </w:pPr>
      <w:r>
        <w:rPr>
          <w:rFonts w:hint="eastAsia"/>
        </w:rPr>
        <w:t>虚拟仿真建设专家级指导服务；</w:t>
      </w:r>
    </w:p>
    <w:p>
      <w:pPr>
        <w:numPr>
          <w:ilvl w:val="0"/>
          <w:numId w:val="18"/>
        </w:numPr>
        <w:ind w:firstLineChars="0"/>
      </w:pPr>
      <w:r>
        <w:rPr>
          <w:rFonts w:hint="eastAsia"/>
        </w:rPr>
        <w:t>虚拟仿真教学资源开发培训服务（市内知名专家）；</w:t>
      </w:r>
    </w:p>
    <w:p>
      <w:pPr>
        <w:numPr>
          <w:ilvl w:val="0"/>
          <w:numId w:val="18"/>
        </w:numPr>
        <w:ind w:firstLineChars="0"/>
      </w:pPr>
      <w:r>
        <w:rPr>
          <w:rFonts w:hint="eastAsia"/>
        </w:rPr>
        <w:t>虚拟仿真市级、国家级申报服务；</w:t>
      </w:r>
    </w:p>
    <w:p>
      <w:pPr>
        <w:numPr>
          <w:ilvl w:val="0"/>
          <w:numId w:val="18"/>
        </w:numPr>
        <w:ind w:firstLineChars="0"/>
      </w:pPr>
      <w:r>
        <w:rPr>
          <w:rFonts w:hint="eastAsia"/>
        </w:rPr>
        <w:t>虚拟仿真教学项目配套教材出版服务；</w:t>
      </w:r>
    </w:p>
    <w:p>
      <w:pPr>
        <w:numPr>
          <w:ilvl w:val="0"/>
          <w:numId w:val="18"/>
        </w:numPr>
        <w:ind w:firstLineChars="0"/>
      </w:pPr>
      <w:r>
        <w:rPr>
          <w:rFonts w:hint="eastAsia"/>
        </w:rPr>
        <w:t>虚拟仿真教学成果应用及推广；</w:t>
      </w:r>
    </w:p>
    <w:p>
      <w:pPr>
        <w:numPr>
          <w:ilvl w:val="0"/>
          <w:numId w:val="18"/>
        </w:numPr>
        <w:ind w:firstLineChars="0"/>
      </w:pPr>
      <w:r>
        <w:rPr>
          <w:rFonts w:hint="eastAsia"/>
        </w:rPr>
        <w:t>虚拟仿真各级平台接入技术服务：国家级平台（ilab-x实验空间），市级平台（重庆高校虚拟仿真实验实训项目共享平台），校级平台及元渲染平台技术对接服务；</w:t>
      </w:r>
    </w:p>
    <w:p>
      <w:pPr>
        <w:numPr>
          <w:ilvl w:val="0"/>
          <w:numId w:val="18"/>
        </w:numPr>
        <w:ind w:firstLineChars="0"/>
      </w:pPr>
      <w:r>
        <w:rPr>
          <w:rFonts w:hint="eastAsia"/>
        </w:rPr>
        <w:t>项目开发源文件交付及三年免费质保期，包含系统安装、调试及更新；</w:t>
      </w:r>
    </w:p>
    <w:p>
      <w:pPr>
        <w:numPr>
          <w:ilvl w:val="0"/>
          <w:numId w:val="18"/>
        </w:numPr>
        <w:ind w:firstLineChars="0"/>
      </w:pPr>
      <w:r>
        <w:rPr>
          <w:rFonts w:hint="eastAsia"/>
        </w:rPr>
        <w:t>协助完成项目开发成果申请软件著作权，著作权成果归属长江师范学院或课程负责人；</w:t>
      </w:r>
    </w:p>
    <w:p>
      <w:pPr>
        <w:ind w:firstLine="480"/>
        <w:jc w:val="left"/>
      </w:pPr>
      <w:bookmarkStart w:id="257" w:name="_Toc9572"/>
      <w:bookmarkStart w:id="258" w:name="_Toc11121"/>
      <w:bookmarkStart w:id="259" w:name="_Toc2351"/>
      <w:bookmarkStart w:id="260" w:name="_Toc25441"/>
      <w:bookmarkStart w:id="261" w:name="_Toc6036"/>
      <w:bookmarkStart w:id="262" w:name="_Toc18048"/>
      <w:r>
        <w:rPr>
          <w:rFonts w:hint="eastAsia"/>
        </w:rPr>
        <w:br w:type="page"/>
      </w:r>
    </w:p>
    <w:p>
      <w:pPr>
        <w:pStyle w:val="3"/>
      </w:pPr>
      <w:bookmarkStart w:id="263" w:name="_Toc8073"/>
      <w:bookmarkStart w:id="264" w:name="_Toc29802"/>
      <w:bookmarkStart w:id="265" w:name="_Toc30505"/>
      <w:bookmarkStart w:id="266" w:name="_Toc4096"/>
      <w:bookmarkStart w:id="267" w:name="_Toc18146"/>
      <w:r>
        <w:rPr>
          <w:rFonts w:hint="eastAsia"/>
        </w:rPr>
        <w:t>十三、公司介绍</w:t>
      </w:r>
      <w:bookmarkEnd w:id="257"/>
      <w:bookmarkEnd w:id="258"/>
      <w:bookmarkEnd w:id="259"/>
      <w:bookmarkEnd w:id="260"/>
      <w:bookmarkEnd w:id="261"/>
      <w:bookmarkEnd w:id="262"/>
      <w:bookmarkEnd w:id="263"/>
      <w:bookmarkEnd w:id="264"/>
      <w:bookmarkEnd w:id="265"/>
      <w:bookmarkEnd w:id="266"/>
      <w:bookmarkEnd w:id="267"/>
    </w:p>
    <w:p>
      <w:pPr>
        <w:pStyle w:val="4"/>
        <w:spacing w:before="156" w:after="156"/>
      </w:pPr>
      <w:bookmarkStart w:id="268" w:name="_Toc29167"/>
      <w:bookmarkStart w:id="269" w:name="_Toc3059"/>
      <w:bookmarkStart w:id="270" w:name="_Toc12224"/>
      <w:bookmarkStart w:id="271" w:name="_Toc8303"/>
      <w:bookmarkStart w:id="272" w:name="_Toc414"/>
      <w:bookmarkStart w:id="273" w:name="_Toc18599"/>
      <w:bookmarkStart w:id="274" w:name="_Toc4832"/>
      <w:bookmarkStart w:id="275" w:name="_Toc10189"/>
      <w:r>
        <w:rPr>
          <w:rFonts w:hint="eastAsia"/>
        </w:rPr>
        <w:t>1. 发展历程</w:t>
      </w:r>
      <w:bookmarkEnd w:id="268"/>
      <w:bookmarkEnd w:id="269"/>
      <w:bookmarkEnd w:id="270"/>
      <w:bookmarkEnd w:id="271"/>
      <w:bookmarkEnd w:id="272"/>
      <w:bookmarkEnd w:id="273"/>
      <w:bookmarkEnd w:id="274"/>
      <w:bookmarkEnd w:id="275"/>
    </w:p>
    <w:p>
      <w:pPr>
        <w:ind w:firstLine="480"/>
        <w:jc w:val="left"/>
        <w:rPr>
          <w:rFonts w:ascii="宋体" w:hAnsi="宋体" w:cs="宋体"/>
          <w:szCs w:val="21"/>
        </w:rPr>
      </w:pPr>
      <w:r>
        <w:rPr>
          <w:rFonts w:hint="eastAsia" w:ascii="宋体" w:hAnsi="宋体" w:cs="宋体"/>
          <w:szCs w:val="21"/>
        </w:rPr>
        <w:t>昭信教育科技集团（以下简称为“昭信教科”）历经20多年的发展，已有含集团及子公司共计20余家，教育研究院1所（5A社会组织），同时也是高等教育出版社驻重庆服务中心；融教育信息技术研发、教育互联网平台建设、教育学术创研、教育信息传播于一体。</w:t>
      </w:r>
    </w:p>
    <w:p>
      <w:pPr>
        <w:ind w:firstLine="480"/>
        <w:jc w:val="left"/>
        <w:rPr>
          <w:rFonts w:ascii="宋体" w:hAnsi="宋体" w:cs="宋体"/>
          <w:szCs w:val="21"/>
        </w:rPr>
      </w:pPr>
      <w:r>
        <w:rPr>
          <w:rFonts w:hint="eastAsia" w:ascii="宋体" w:hAnsi="宋体" w:cs="宋体"/>
          <w:szCs w:val="21"/>
        </w:rPr>
        <w:t>集团拥有百余人专业技术团队，30多个落地项目，为各院校提供教学资源建设、生涯教育教育、智慧教育平台服务等；研究院拥有专家团队240余人，涵盖智能教育、职业教育、生涯教育、教师教育、家庭教育等5个研究所。</w:t>
      </w:r>
    </w:p>
    <w:p>
      <w:pPr>
        <w:pStyle w:val="4"/>
        <w:spacing w:before="156" w:after="156"/>
      </w:pPr>
      <w:bookmarkStart w:id="276" w:name="_Toc30189"/>
      <w:bookmarkStart w:id="277" w:name="_Toc28943"/>
      <w:bookmarkStart w:id="278" w:name="_Toc3174"/>
      <w:bookmarkStart w:id="279" w:name="_Toc21415"/>
      <w:bookmarkStart w:id="280" w:name="_Toc13989"/>
      <w:bookmarkStart w:id="281" w:name="_Toc22932"/>
      <w:bookmarkStart w:id="282" w:name="_Toc8328"/>
      <w:bookmarkStart w:id="283" w:name="_Toc25430"/>
      <w:r>
        <w:t>2. 创新能力（科研投入、主要科技成果及获得专利等情况）</w:t>
      </w:r>
      <w:bookmarkEnd w:id="276"/>
      <w:bookmarkEnd w:id="277"/>
      <w:bookmarkEnd w:id="278"/>
      <w:bookmarkEnd w:id="279"/>
      <w:bookmarkEnd w:id="280"/>
      <w:bookmarkEnd w:id="281"/>
    </w:p>
    <w:bookmarkEnd w:id="282"/>
    <w:bookmarkEnd w:id="283"/>
    <w:p>
      <w:pPr>
        <w:ind w:firstLine="480"/>
        <w:jc w:val="left"/>
        <w:rPr>
          <w:rFonts w:ascii="宋体" w:hAnsi="宋体" w:cs="宋体"/>
          <w:szCs w:val="21"/>
        </w:rPr>
      </w:pPr>
      <w:r>
        <w:rPr>
          <w:rFonts w:hint="eastAsia" w:ascii="宋体" w:hAnsi="宋体" w:cs="宋体"/>
          <w:szCs w:val="21"/>
        </w:rPr>
        <w:t>近三年，研发项目共43项，形成了43项科技成果，其中39项申请获得了软件著作权。43项科技成果全部转化成为我集团高新技术产品多项成果，如：</w:t>
      </w:r>
    </w:p>
    <w:p>
      <w:pPr>
        <w:numPr>
          <w:ilvl w:val="0"/>
          <w:numId w:val="19"/>
        </w:numPr>
        <w:ind w:left="0" w:firstLine="480"/>
        <w:jc w:val="left"/>
        <w:rPr>
          <w:rFonts w:ascii="宋体" w:hAnsi="宋体" w:cs="宋体"/>
          <w:szCs w:val="21"/>
        </w:rPr>
      </w:pPr>
      <w:r>
        <w:rPr>
          <w:rFonts w:hint="eastAsia" w:ascii="宋体" w:hAnsi="宋体" w:cs="宋体"/>
          <w:szCs w:val="21"/>
        </w:rPr>
        <w:t>“职业院校技能大赛报名系统V1.0”等转化成为高新技术产品PS01；</w:t>
      </w:r>
    </w:p>
    <w:p>
      <w:pPr>
        <w:numPr>
          <w:ilvl w:val="0"/>
          <w:numId w:val="19"/>
        </w:numPr>
        <w:ind w:left="0" w:firstLine="480"/>
      </w:pPr>
      <w:r>
        <w:rPr>
          <w:rFonts w:hint="eastAsia" w:ascii="宋体" w:hAnsi="宋体" w:cs="宋体"/>
          <w:szCs w:val="21"/>
        </w:rPr>
        <w:t>“软件技术开发及维护服务”、“虚拟仿真项目评审平台V1.0”、“虚拟仿真项目管理系统V1.0”等转化成为高新技术产品PS02“仿真系统”。</w:t>
      </w:r>
    </w:p>
    <w:p>
      <w:pPr>
        <w:pStyle w:val="4"/>
        <w:numPr>
          <w:ilvl w:val="0"/>
          <w:numId w:val="19"/>
        </w:numPr>
        <w:spacing w:before="156" w:after="156"/>
      </w:pPr>
      <w:bookmarkStart w:id="284" w:name="_Toc12895"/>
      <w:bookmarkStart w:id="285" w:name="_Toc32065"/>
      <w:bookmarkStart w:id="286" w:name="_Toc22317"/>
      <w:bookmarkStart w:id="287" w:name="_Toc24310"/>
      <w:bookmarkStart w:id="288" w:name="_Toc28605"/>
      <w:bookmarkStart w:id="289" w:name="_Toc21106"/>
      <w:bookmarkStart w:id="290" w:name="_Toc2491"/>
      <w:bookmarkStart w:id="291" w:name="_Toc19335"/>
      <w:r>
        <w:rPr>
          <w:rFonts w:hint="eastAsia"/>
        </w:rPr>
        <w:t>行业地位影响力</w:t>
      </w:r>
      <w:bookmarkEnd w:id="284"/>
      <w:bookmarkEnd w:id="285"/>
      <w:bookmarkEnd w:id="286"/>
      <w:bookmarkEnd w:id="287"/>
      <w:bookmarkEnd w:id="288"/>
      <w:bookmarkEnd w:id="289"/>
      <w:bookmarkEnd w:id="290"/>
      <w:bookmarkEnd w:id="291"/>
    </w:p>
    <w:p>
      <w:pPr>
        <w:ind w:firstLine="480"/>
        <w:jc w:val="left"/>
        <w:rPr>
          <w:rFonts w:ascii="宋体" w:hAnsi="宋体" w:cs="宋体"/>
          <w:szCs w:val="21"/>
        </w:rPr>
      </w:pPr>
      <w:r>
        <w:rPr>
          <w:rFonts w:hint="eastAsia" w:ascii="宋体" w:hAnsi="宋体" w:cs="宋体"/>
          <w:szCs w:val="21"/>
        </w:rPr>
        <w:t>昭信教科在教学信息化建设、智慧校园建设方面卓有成效。</w:t>
      </w:r>
    </w:p>
    <w:p>
      <w:pPr>
        <w:numPr>
          <w:ilvl w:val="0"/>
          <w:numId w:val="20"/>
        </w:numPr>
        <w:ind w:firstLine="480"/>
        <w:jc w:val="left"/>
        <w:rPr>
          <w:rFonts w:ascii="宋体" w:hAnsi="宋体" w:cs="宋体"/>
          <w:szCs w:val="21"/>
        </w:rPr>
      </w:pPr>
      <w:r>
        <w:rPr>
          <w:rFonts w:hint="eastAsia" w:ascii="宋体" w:hAnsi="宋体" w:cs="宋体"/>
          <w:szCs w:val="21"/>
        </w:rPr>
        <w:t>市教委官方的重庆高校在线开放课程平台，是首批“疫情防控期间高校在线教学服务平台”之一，连续两年获得高教司授予的感谢信（状）；</w:t>
      </w:r>
    </w:p>
    <w:p>
      <w:pPr>
        <w:numPr>
          <w:ilvl w:val="0"/>
          <w:numId w:val="20"/>
        </w:numPr>
        <w:ind w:firstLine="480"/>
        <w:jc w:val="left"/>
        <w:rPr>
          <w:rFonts w:ascii="宋体" w:hAnsi="宋体" w:cs="宋体"/>
          <w:szCs w:val="21"/>
        </w:rPr>
      </w:pPr>
      <w:r>
        <w:rPr>
          <w:rFonts w:hint="eastAsia" w:ascii="宋体" w:hAnsi="宋体" w:cs="宋体"/>
          <w:szCs w:val="21"/>
        </w:rPr>
        <w:t>我司建设与运营的高校平台运营课程获国家级、市级精品在线课程成效显著：</w:t>
      </w:r>
    </w:p>
    <w:p>
      <w:pPr>
        <w:ind w:firstLine="480"/>
        <w:jc w:val="left"/>
        <w:rPr>
          <w:rFonts w:ascii="宋体" w:hAnsi="宋体" w:cs="宋体"/>
          <w:szCs w:val="21"/>
        </w:rPr>
      </w:pPr>
      <w:r>
        <w:rPr>
          <w:rFonts w:hint="eastAsia" w:ascii="宋体" w:hAnsi="宋体" w:cs="宋体"/>
          <w:szCs w:val="21"/>
        </w:rPr>
        <w:t>·</w:t>
      </w:r>
      <w:r>
        <w:rPr>
          <w:rFonts w:ascii="宋体" w:hAnsi="宋体" w:cs="宋体"/>
          <w:szCs w:val="21"/>
        </w:rPr>
        <w:t>2018、2019年国家级课程认定，重庆高校在线开放课程平台斩获14门</w:t>
      </w:r>
      <w:r>
        <w:rPr>
          <w:rFonts w:hint="eastAsia" w:ascii="宋体" w:hAnsi="宋体" w:cs="宋体"/>
          <w:szCs w:val="21"/>
        </w:rPr>
        <w:t>；</w:t>
      </w:r>
    </w:p>
    <w:p>
      <w:pPr>
        <w:ind w:firstLine="480"/>
        <w:jc w:val="left"/>
        <w:rPr>
          <w:rFonts w:ascii="宋体" w:hAnsi="宋体" w:cs="宋体"/>
          <w:szCs w:val="21"/>
        </w:rPr>
      </w:pPr>
      <w:r>
        <w:rPr>
          <w:rFonts w:hint="eastAsia" w:ascii="宋体" w:hAnsi="宋体" w:cs="宋体"/>
          <w:szCs w:val="21"/>
        </w:rPr>
        <w:t>·</w:t>
      </w:r>
      <w:r>
        <w:rPr>
          <w:rFonts w:ascii="宋体" w:hAnsi="宋体" w:cs="宋体"/>
          <w:szCs w:val="21"/>
        </w:rPr>
        <w:t>市级精品课程三批共认定345门，市级平台入选224门，占比65%</w:t>
      </w:r>
      <w:r>
        <w:rPr>
          <w:rFonts w:hint="eastAsia" w:ascii="宋体" w:hAnsi="宋体" w:cs="宋体"/>
          <w:szCs w:val="21"/>
        </w:rPr>
        <w:t>。</w:t>
      </w:r>
    </w:p>
    <w:p>
      <w:pPr>
        <w:ind w:firstLine="480"/>
        <w:jc w:val="left"/>
        <w:rPr>
          <w:rFonts w:ascii="宋体" w:hAnsi="宋体" w:cs="宋体"/>
          <w:szCs w:val="21"/>
        </w:rPr>
      </w:pPr>
      <w:r>
        <w:rPr>
          <w:rFonts w:hint="eastAsia" w:ascii="宋体" w:hAnsi="宋体" w:cs="宋体"/>
          <w:szCs w:val="21"/>
        </w:rPr>
        <w:t>3）市教委官方的重庆高校虚拟仿真实验实训教学项目共享平台，是重庆市虚拟仿真项目建设成果展示、申报、管理、共享等功能于一体的平台；国家级ilab-x实验空间也是由我司负责重庆地区的运营维护。</w:t>
      </w:r>
    </w:p>
    <w:p>
      <w:pPr>
        <w:pStyle w:val="4"/>
        <w:spacing w:before="156" w:after="156"/>
      </w:pPr>
      <w:bookmarkStart w:id="292" w:name="_Toc25019"/>
      <w:bookmarkStart w:id="293" w:name="_Toc17694"/>
      <w:bookmarkStart w:id="294" w:name="_Toc10500"/>
      <w:bookmarkStart w:id="295" w:name="_Toc15511"/>
      <w:bookmarkStart w:id="296" w:name="_Toc4122"/>
      <w:bookmarkStart w:id="297" w:name="_Toc18199"/>
      <w:bookmarkStart w:id="298" w:name="_Toc24672"/>
      <w:bookmarkStart w:id="299" w:name="_Toc25419"/>
      <w:r>
        <w:rPr>
          <w:rFonts w:hint="eastAsia"/>
        </w:rPr>
        <w:t>4. 学术影响力</w:t>
      </w:r>
      <w:bookmarkEnd w:id="292"/>
      <w:bookmarkEnd w:id="293"/>
      <w:bookmarkEnd w:id="294"/>
      <w:bookmarkEnd w:id="295"/>
      <w:bookmarkEnd w:id="296"/>
      <w:bookmarkEnd w:id="297"/>
      <w:bookmarkEnd w:id="298"/>
      <w:bookmarkEnd w:id="299"/>
    </w:p>
    <w:p>
      <w:pPr>
        <w:ind w:firstLine="480"/>
        <w:jc w:val="left"/>
        <w:rPr>
          <w:rFonts w:ascii="宋体" w:hAnsi="宋体" w:cs="宋体"/>
          <w:szCs w:val="21"/>
        </w:rPr>
      </w:pPr>
      <w:r>
        <w:rPr>
          <w:rFonts w:hint="eastAsia" w:ascii="宋体" w:hAnsi="宋体" w:cs="宋体"/>
          <w:szCs w:val="21"/>
        </w:rPr>
        <w:t>1）昭信教育研究院在重庆市教育学会、重庆市高等教育学会、重庆市职业教育学会、重庆市高等职业技术教育研究会均承担了相应的工作角色；</w:t>
      </w:r>
    </w:p>
    <w:p>
      <w:pPr>
        <w:ind w:firstLine="480"/>
        <w:jc w:val="left"/>
        <w:rPr>
          <w:rFonts w:ascii="宋体" w:hAnsi="宋体" w:cs="宋体"/>
          <w:szCs w:val="21"/>
        </w:rPr>
      </w:pPr>
      <w:r>
        <w:rPr>
          <w:rFonts w:hint="eastAsia" w:ascii="宋体" w:hAnsi="宋体" w:cs="宋体"/>
          <w:szCs w:val="21"/>
        </w:rPr>
        <w:t>2）在相应学会下倡导成立7个二级学会，并开展相应工作，如：</w:t>
      </w:r>
    </w:p>
    <w:p>
      <w:pPr>
        <w:ind w:firstLine="480"/>
        <w:jc w:val="left"/>
        <w:rPr>
          <w:rFonts w:ascii="宋体" w:hAnsi="宋体" w:cs="宋体"/>
          <w:szCs w:val="21"/>
        </w:rPr>
      </w:pPr>
      <w:r>
        <w:rPr>
          <w:rFonts w:hint="eastAsia" w:ascii="宋体" w:hAnsi="宋体" w:cs="宋体"/>
          <w:szCs w:val="21"/>
        </w:rPr>
        <w:t>·重庆高等教育学会常务理事单位</w:t>
      </w:r>
    </w:p>
    <w:p>
      <w:pPr>
        <w:ind w:firstLine="480"/>
        <w:jc w:val="left"/>
        <w:rPr>
          <w:rFonts w:ascii="宋体" w:hAnsi="宋体" w:cs="宋体"/>
          <w:szCs w:val="21"/>
        </w:rPr>
      </w:pPr>
      <w:r>
        <w:rPr>
          <w:rFonts w:hint="eastAsia" w:ascii="宋体" w:hAnsi="宋体" w:cs="宋体"/>
          <w:szCs w:val="21"/>
        </w:rPr>
        <w:t>·重庆高职研究会常务副会长单位</w:t>
      </w:r>
    </w:p>
    <w:p>
      <w:pPr>
        <w:ind w:firstLine="480"/>
        <w:jc w:val="left"/>
        <w:rPr>
          <w:rFonts w:ascii="宋体" w:hAnsi="宋体" w:cs="宋体"/>
          <w:szCs w:val="21"/>
        </w:rPr>
      </w:pPr>
      <w:r>
        <w:rPr>
          <w:rFonts w:hint="eastAsia" w:ascii="宋体" w:hAnsi="宋体" w:cs="宋体"/>
          <w:szCs w:val="21"/>
        </w:rPr>
        <w:t>·重庆高等教育学会教学资源建设专委会秘书处</w:t>
      </w:r>
    </w:p>
    <w:p>
      <w:pPr>
        <w:spacing w:line="240" w:lineRule="auto"/>
        <w:ind w:firstLine="480"/>
        <w:rPr>
          <w:rFonts w:ascii="Times New Roman" w:hAnsi="Times New Roman"/>
          <w:sz w:val="36"/>
          <w:szCs w:val="32"/>
        </w:rPr>
      </w:pPr>
      <w:r>
        <w:rPr>
          <w:rFonts w:hint="eastAsia" w:ascii="宋体" w:hAnsi="宋体" w:cs="宋体"/>
          <w:szCs w:val="21"/>
        </w:rPr>
        <w:t>·重庆高职研究会教学资源建设专委会秘书处</w:t>
      </w:r>
    </w:p>
    <w:p>
      <w:pPr>
        <w:ind w:left="0" w:leftChars="0" w:firstLine="0" w:firstLineChars="0"/>
      </w:pPr>
    </w:p>
    <w:p/>
    <w:sectPr>
      <w:footerReference r:id="rId12" w:type="default"/>
      <w:pgSz w:w="11906" w:h="16838"/>
      <w:pgMar w:top="1440" w:right="1800" w:bottom="1440" w:left="1800" w:header="851" w:footer="992" w:gutter="0"/>
      <w:pgBorders>
        <w:top w:val="none" w:sz="0" w:space="0"/>
        <w:left w:val="none" w:sz="0" w:space="0"/>
        <w:bottom w:val="none" w:sz="0" w:space="0"/>
        <w:right w:val="none" w:sz="0" w:space="0"/>
      </w:pgBorders>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4" name="文本框 10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kc4SYtAgAAWQ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Ekc4SYtAgAAWQQAAA4AAAAAAAAAAQAgAAAAHwEAAGRycy9lMm9Eb2MueG1sUEsFBgAAAAAG&#10;AAYAWQEAAL4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III</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v8lcEtAgAAWQ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Hv8lcEtAgAAWQQAAA4AAAAAAAAAAQAgAAAAHwEAAGRycy9lMm9Eb2MueG1sUEsFBgAAAAAG&#10;AAYAWQEAAL4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63ADAC"/>
    <w:multiLevelType w:val="singleLevel"/>
    <w:tmpl w:val="8263ADAC"/>
    <w:lvl w:ilvl="0" w:tentative="0">
      <w:start w:val="6"/>
      <w:numFmt w:val="chineseCounting"/>
      <w:suff w:val="nothing"/>
      <w:lvlText w:val="%1、"/>
      <w:lvlJc w:val="left"/>
      <w:pPr>
        <w:ind w:left="0" w:firstLine="420"/>
      </w:pPr>
      <w:rPr>
        <w:rFonts w:hint="eastAsia"/>
      </w:rPr>
    </w:lvl>
  </w:abstractNum>
  <w:abstractNum w:abstractNumId="1">
    <w:nsid w:val="9280E6D6"/>
    <w:multiLevelType w:val="singleLevel"/>
    <w:tmpl w:val="9280E6D6"/>
    <w:lvl w:ilvl="0" w:tentative="0">
      <w:start w:val="3"/>
      <w:numFmt w:val="chineseCounting"/>
      <w:suff w:val="space"/>
      <w:lvlText w:val="%1、"/>
      <w:lvlJc w:val="left"/>
      <w:rPr>
        <w:rFonts w:hint="eastAsia"/>
      </w:rPr>
    </w:lvl>
  </w:abstractNum>
  <w:abstractNum w:abstractNumId="2">
    <w:nsid w:val="96EF25FD"/>
    <w:multiLevelType w:val="singleLevel"/>
    <w:tmpl w:val="96EF25FD"/>
    <w:lvl w:ilvl="0" w:tentative="0">
      <w:start w:val="1"/>
      <w:numFmt w:val="decimalEnclosedCircleChinese"/>
      <w:suff w:val="nothing"/>
      <w:lvlText w:val="%1　"/>
      <w:lvlJc w:val="left"/>
      <w:pPr>
        <w:ind w:left="0" w:firstLine="400"/>
      </w:pPr>
      <w:rPr>
        <w:rFonts w:hint="eastAsia"/>
      </w:rPr>
    </w:lvl>
  </w:abstractNum>
  <w:abstractNum w:abstractNumId="3">
    <w:nsid w:val="A35E4630"/>
    <w:multiLevelType w:val="singleLevel"/>
    <w:tmpl w:val="A35E4630"/>
    <w:lvl w:ilvl="0" w:tentative="0">
      <w:start w:val="1"/>
      <w:numFmt w:val="decimal"/>
      <w:lvlText w:val="%1."/>
      <w:lvlJc w:val="left"/>
      <w:pPr>
        <w:ind w:left="425" w:hanging="425"/>
      </w:pPr>
      <w:rPr>
        <w:rFonts w:hint="default"/>
      </w:rPr>
    </w:lvl>
  </w:abstractNum>
  <w:abstractNum w:abstractNumId="4">
    <w:nsid w:val="B972D313"/>
    <w:multiLevelType w:val="singleLevel"/>
    <w:tmpl w:val="B972D313"/>
    <w:lvl w:ilvl="0" w:tentative="0">
      <w:start w:val="2"/>
      <w:numFmt w:val="chineseCounting"/>
      <w:suff w:val="nothing"/>
      <w:lvlText w:val="%1、"/>
      <w:lvlJc w:val="left"/>
      <w:pPr>
        <w:ind w:left="-420" w:firstLine="420"/>
      </w:pPr>
      <w:rPr>
        <w:rFonts w:hint="eastAsia"/>
      </w:rPr>
    </w:lvl>
  </w:abstractNum>
  <w:abstractNum w:abstractNumId="5">
    <w:nsid w:val="BB2E5DE8"/>
    <w:multiLevelType w:val="singleLevel"/>
    <w:tmpl w:val="BB2E5DE8"/>
    <w:lvl w:ilvl="0" w:tentative="0">
      <w:start w:val="1"/>
      <w:numFmt w:val="decimal"/>
      <w:suff w:val="nothing"/>
      <w:lvlText w:val="%1）"/>
      <w:lvlJc w:val="left"/>
    </w:lvl>
  </w:abstractNum>
  <w:abstractNum w:abstractNumId="6">
    <w:nsid w:val="D112F95C"/>
    <w:multiLevelType w:val="singleLevel"/>
    <w:tmpl w:val="D112F95C"/>
    <w:lvl w:ilvl="0" w:tentative="0">
      <w:start w:val="1"/>
      <w:numFmt w:val="decimal"/>
      <w:lvlText w:val="%1."/>
      <w:lvlJc w:val="left"/>
      <w:pPr>
        <w:ind w:left="425" w:hanging="425"/>
      </w:pPr>
      <w:rPr>
        <w:rFonts w:hint="default"/>
      </w:rPr>
    </w:lvl>
  </w:abstractNum>
  <w:abstractNum w:abstractNumId="7">
    <w:nsid w:val="D9B83449"/>
    <w:multiLevelType w:val="singleLevel"/>
    <w:tmpl w:val="D9B83449"/>
    <w:lvl w:ilvl="0" w:tentative="0">
      <w:start w:val="1"/>
      <w:numFmt w:val="decimal"/>
      <w:lvlText w:val="%1."/>
      <w:lvlJc w:val="left"/>
      <w:pPr>
        <w:ind w:left="425" w:hanging="425"/>
      </w:pPr>
      <w:rPr>
        <w:rFonts w:hint="default"/>
      </w:rPr>
    </w:lvl>
  </w:abstractNum>
  <w:abstractNum w:abstractNumId="8">
    <w:nsid w:val="DA000D16"/>
    <w:multiLevelType w:val="singleLevel"/>
    <w:tmpl w:val="DA000D16"/>
    <w:lvl w:ilvl="0" w:tentative="0">
      <w:start w:val="1"/>
      <w:numFmt w:val="decimal"/>
      <w:suff w:val="space"/>
      <w:lvlText w:val="%1."/>
      <w:lvlJc w:val="left"/>
      <w:rPr>
        <w:rFonts w:hint="default"/>
        <w:sz w:val="28"/>
        <w:szCs w:val="28"/>
      </w:rPr>
    </w:lvl>
  </w:abstractNum>
  <w:abstractNum w:abstractNumId="9">
    <w:nsid w:val="DFCD047D"/>
    <w:multiLevelType w:val="singleLevel"/>
    <w:tmpl w:val="DFCD047D"/>
    <w:lvl w:ilvl="0" w:tentative="0">
      <w:start w:val="1"/>
      <w:numFmt w:val="decimal"/>
      <w:lvlText w:val="%1."/>
      <w:lvlJc w:val="left"/>
      <w:pPr>
        <w:ind w:left="425" w:hanging="425"/>
      </w:pPr>
      <w:rPr>
        <w:rFonts w:hint="default"/>
      </w:rPr>
    </w:lvl>
  </w:abstractNum>
  <w:abstractNum w:abstractNumId="10">
    <w:nsid w:val="E0118DBC"/>
    <w:multiLevelType w:val="singleLevel"/>
    <w:tmpl w:val="E0118DBC"/>
    <w:lvl w:ilvl="0" w:tentative="0">
      <w:start w:val="1"/>
      <w:numFmt w:val="decimal"/>
      <w:lvlText w:val="%1."/>
      <w:lvlJc w:val="left"/>
      <w:pPr>
        <w:ind w:left="425" w:hanging="425"/>
      </w:pPr>
      <w:rPr>
        <w:rFonts w:hint="default"/>
      </w:rPr>
    </w:lvl>
  </w:abstractNum>
  <w:abstractNum w:abstractNumId="11">
    <w:nsid w:val="170429BB"/>
    <w:multiLevelType w:val="singleLevel"/>
    <w:tmpl w:val="170429BB"/>
    <w:lvl w:ilvl="0" w:tentative="0">
      <w:start w:val="1"/>
      <w:numFmt w:val="decimal"/>
      <w:suff w:val="nothing"/>
      <w:lvlText w:val="%1、"/>
      <w:lvlJc w:val="left"/>
      <w:pPr>
        <w:ind w:left="-400"/>
      </w:pPr>
    </w:lvl>
  </w:abstractNum>
  <w:abstractNum w:abstractNumId="12">
    <w:nsid w:val="2B0E63CC"/>
    <w:multiLevelType w:val="singleLevel"/>
    <w:tmpl w:val="2B0E63CC"/>
    <w:lvl w:ilvl="0" w:tentative="0">
      <w:start w:val="1"/>
      <w:numFmt w:val="decimalEnclosedCircleChinese"/>
      <w:suff w:val="nothing"/>
      <w:lvlText w:val="%1　"/>
      <w:lvlJc w:val="left"/>
      <w:pPr>
        <w:ind w:left="0" w:firstLine="400"/>
      </w:pPr>
      <w:rPr>
        <w:rFonts w:hint="eastAsia"/>
      </w:rPr>
    </w:lvl>
  </w:abstractNum>
  <w:abstractNum w:abstractNumId="13">
    <w:nsid w:val="3E870ED2"/>
    <w:multiLevelType w:val="singleLevel"/>
    <w:tmpl w:val="3E870ED2"/>
    <w:lvl w:ilvl="0" w:tentative="0">
      <w:start w:val="4"/>
      <w:numFmt w:val="chineseCounting"/>
      <w:suff w:val="nothing"/>
      <w:lvlText w:val="%1、"/>
      <w:lvlJc w:val="left"/>
      <w:pPr>
        <w:ind w:left="3360"/>
      </w:pPr>
      <w:rPr>
        <w:rFonts w:hint="eastAsia"/>
      </w:rPr>
    </w:lvl>
  </w:abstractNum>
  <w:abstractNum w:abstractNumId="14">
    <w:nsid w:val="59735C85"/>
    <w:multiLevelType w:val="singleLevel"/>
    <w:tmpl w:val="59735C85"/>
    <w:lvl w:ilvl="0" w:tentative="0">
      <w:start w:val="1"/>
      <w:numFmt w:val="decimal"/>
      <w:lvlText w:val="%1)"/>
      <w:lvlJc w:val="left"/>
      <w:pPr>
        <w:ind w:left="425" w:hanging="425"/>
      </w:pPr>
      <w:rPr>
        <w:rFonts w:hint="default"/>
      </w:rPr>
    </w:lvl>
  </w:abstractNum>
  <w:abstractNum w:abstractNumId="15">
    <w:nsid w:val="606DB6CF"/>
    <w:multiLevelType w:val="multilevel"/>
    <w:tmpl w:val="606DB6C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6">
    <w:nsid w:val="6775DCD4"/>
    <w:multiLevelType w:val="singleLevel"/>
    <w:tmpl w:val="6775DCD4"/>
    <w:lvl w:ilvl="0" w:tentative="0">
      <w:start w:val="1"/>
      <w:numFmt w:val="decimal"/>
      <w:suff w:val="space"/>
      <w:lvlText w:val="%1."/>
      <w:lvlJc w:val="left"/>
    </w:lvl>
  </w:abstractNum>
  <w:abstractNum w:abstractNumId="17">
    <w:nsid w:val="7494F4A7"/>
    <w:multiLevelType w:val="singleLevel"/>
    <w:tmpl w:val="7494F4A7"/>
    <w:lvl w:ilvl="0" w:tentative="0">
      <w:start w:val="1"/>
      <w:numFmt w:val="decimalEnclosedCircleChinese"/>
      <w:suff w:val="nothing"/>
      <w:lvlText w:val="%1　"/>
      <w:lvlJc w:val="left"/>
      <w:pPr>
        <w:ind w:left="0" w:firstLine="400"/>
      </w:pPr>
      <w:rPr>
        <w:rFonts w:hint="eastAsia"/>
      </w:rPr>
    </w:lvl>
  </w:abstractNum>
  <w:abstractNum w:abstractNumId="18">
    <w:nsid w:val="754AC272"/>
    <w:multiLevelType w:val="singleLevel"/>
    <w:tmpl w:val="754AC272"/>
    <w:lvl w:ilvl="0" w:tentative="0">
      <w:start w:val="1"/>
      <w:numFmt w:val="chineseCounting"/>
      <w:suff w:val="space"/>
      <w:lvlText w:val="%1、"/>
      <w:lvlJc w:val="left"/>
      <w:rPr>
        <w:rFonts w:hint="eastAsia"/>
      </w:rPr>
    </w:lvl>
  </w:abstractNum>
  <w:abstractNum w:abstractNumId="19">
    <w:nsid w:val="7A244FA5"/>
    <w:multiLevelType w:val="singleLevel"/>
    <w:tmpl w:val="7A244FA5"/>
    <w:lvl w:ilvl="0" w:tentative="0">
      <w:start w:val="1"/>
      <w:numFmt w:val="decimal"/>
      <w:lvlText w:val="%1)"/>
      <w:lvlJc w:val="left"/>
      <w:pPr>
        <w:ind w:left="425" w:hanging="425"/>
      </w:pPr>
      <w:rPr>
        <w:rFonts w:hint="default"/>
      </w:rPr>
    </w:lvl>
  </w:abstractNum>
  <w:num w:numId="1">
    <w:abstractNumId w:val="18"/>
  </w:num>
  <w:num w:numId="2">
    <w:abstractNumId w:val="6"/>
  </w:num>
  <w:num w:numId="3">
    <w:abstractNumId w:val="4"/>
  </w:num>
  <w:num w:numId="4">
    <w:abstractNumId w:val="16"/>
  </w:num>
  <w:num w:numId="5">
    <w:abstractNumId w:val="1"/>
  </w:num>
  <w:num w:numId="6">
    <w:abstractNumId w:val="8"/>
  </w:num>
  <w:num w:numId="7">
    <w:abstractNumId w:val="14"/>
  </w:num>
  <w:num w:numId="8">
    <w:abstractNumId w:val="13"/>
  </w:num>
  <w:num w:numId="9">
    <w:abstractNumId w:val="0"/>
  </w:num>
  <w:num w:numId="10">
    <w:abstractNumId w:val="15"/>
  </w:num>
  <w:num w:numId="11">
    <w:abstractNumId w:val="12"/>
  </w:num>
  <w:num w:numId="12">
    <w:abstractNumId w:val="2"/>
  </w:num>
  <w:num w:numId="13">
    <w:abstractNumId w:val="17"/>
  </w:num>
  <w:num w:numId="14">
    <w:abstractNumId w:val="7"/>
  </w:num>
  <w:num w:numId="15">
    <w:abstractNumId w:val="10"/>
  </w:num>
  <w:num w:numId="16">
    <w:abstractNumId w:val="3"/>
  </w:num>
  <w:num w:numId="17">
    <w:abstractNumId w:val="19"/>
  </w:num>
  <w:num w:numId="18">
    <w:abstractNumId w:val="11"/>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D361D"/>
    <w:rsid w:val="01AE613B"/>
    <w:rsid w:val="03B94D1D"/>
    <w:rsid w:val="05CD7B8E"/>
    <w:rsid w:val="09E90B06"/>
    <w:rsid w:val="0A1242C8"/>
    <w:rsid w:val="0AF35A5F"/>
    <w:rsid w:val="0C2B7D6D"/>
    <w:rsid w:val="0E1533F7"/>
    <w:rsid w:val="1243182C"/>
    <w:rsid w:val="1322716E"/>
    <w:rsid w:val="144F20DC"/>
    <w:rsid w:val="1F926896"/>
    <w:rsid w:val="20333B53"/>
    <w:rsid w:val="26361D8E"/>
    <w:rsid w:val="2A8F1D81"/>
    <w:rsid w:val="30B11D49"/>
    <w:rsid w:val="331D361D"/>
    <w:rsid w:val="33CB3BF0"/>
    <w:rsid w:val="397376D5"/>
    <w:rsid w:val="3AAD5FDD"/>
    <w:rsid w:val="3ACA7622"/>
    <w:rsid w:val="3FEA034C"/>
    <w:rsid w:val="45262500"/>
    <w:rsid w:val="45D40C5E"/>
    <w:rsid w:val="49594F0A"/>
    <w:rsid w:val="54D60970"/>
    <w:rsid w:val="55754959"/>
    <w:rsid w:val="595145E0"/>
    <w:rsid w:val="59FF1000"/>
    <w:rsid w:val="5AE91BF3"/>
    <w:rsid w:val="5ED26D1A"/>
    <w:rsid w:val="6A681371"/>
    <w:rsid w:val="6B1707B0"/>
    <w:rsid w:val="71B7768A"/>
    <w:rsid w:val="725A3740"/>
    <w:rsid w:val="73882E80"/>
    <w:rsid w:val="75BF5B46"/>
    <w:rsid w:val="77574C34"/>
    <w:rsid w:val="784124FD"/>
    <w:rsid w:val="7C6013F6"/>
    <w:rsid w:val="7EF43F31"/>
    <w:rsid w:val="7FB2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880" w:firstLineChars="200"/>
      <w:jc w:val="both"/>
    </w:pPr>
    <w:rPr>
      <w:rFonts w:ascii="Calibri" w:hAnsi="Calibri" w:eastAsia="宋体" w:cs="Times New Roman"/>
      <w:kern w:val="2"/>
      <w:sz w:val="24"/>
      <w:szCs w:val="22"/>
      <w:lang w:val="en-US" w:eastAsia="zh-CN" w:bidi="ar-SA"/>
    </w:rPr>
  </w:style>
  <w:style w:type="paragraph" w:styleId="3">
    <w:name w:val="heading 1"/>
    <w:basedOn w:val="1"/>
    <w:next w:val="1"/>
    <w:link w:val="15"/>
    <w:qFormat/>
    <w:uiPriority w:val="0"/>
    <w:pPr>
      <w:keepNext/>
      <w:keepLines/>
      <w:spacing w:before="340" w:after="330" w:line="480" w:lineRule="auto"/>
      <w:ind w:firstLine="0" w:firstLineChars="0"/>
      <w:jc w:val="center"/>
      <w:outlineLvl w:val="0"/>
    </w:pPr>
    <w:rPr>
      <w:rFonts w:ascii="Calibri" w:hAnsi="Calibri" w:eastAsia="宋体" w:cs="Times New Roman"/>
      <w:b/>
      <w:bCs/>
      <w:kern w:val="44"/>
      <w:sz w:val="32"/>
      <w:szCs w:val="44"/>
    </w:rPr>
  </w:style>
  <w:style w:type="paragraph" w:styleId="4">
    <w:name w:val="heading 2"/>
    <w:basedOn w:val="1"/>
    <w:next w:val="1"/>
    <w:link w:val="16"/>
    <w:unhideWhenUsed/>
    <w:qFormat/>
    <w:uiPriority w:val="0"/>
    <w:pPr>
      <w:keepNext/>
      <w:keepLines/>
      <w:spacing w:before="50" w:beforeLines="50" w:after="50" w:afterLines="50" w:line="560" w:lineRule="exact"/>
      <w:ind w:firstLine="0" w:firstLineChars="0"/>
      <w:jc w:val="left"/>
      <w:outlineLvl w:val="1"/>
    </w:pPr>
    <w:rPr>
      <w:rFonts w:ascii="Arial" w:hAnsi="Arial" w:eastAsia="宋体" w:cstheme="majorBidi"/>
      <w:sz w:val="30"/>
      <w:szCs w:val="22"/>
    </w:rPr>
  </w:style>
  <w:style w:type="paragraph" w:styleId="5">
    <w:name w:val="heading 3"/>
    <w:basedOn w:val="1"/>
    <w:next w:val="1"/>
    <w:link w:val="17"/>
    <w:unhideWhenUsed/>
    <w:qFormat/>
    <w:uiPriority w:val="0"/>
    <w:pPr>
      <w:keepNext/>
      <w:keepLines/>
      <w:spacing w:before="260" w:after="260" w:line="240" w:lineRule="auto"/>
      <w:outlineLvl w:val="2"/>
    </w:pPr>
    <w:rPr>
      <w:rFonts w:ascii="Calibri" w:hAnsi="Calibri" w:eastAsia="宋体" w:cs="Times New Roman"/>
      <w:sz w:val="28"/>
      <w:szCs w:val="22"/>
    </w:rPr>
  </w:style>
  <w:style w:type="paragraph" w:styleId="6">
    <w:name w:val="heading 4"/>
    <w:basedOn w:val="1"/>
    <w:next w:val="1"/>
    <w:semiHidden/>
    <w:unhideWhenUsed/>
    <w:qFormat/>
    <w:uiPriority w:val="0"/>
    <w:pPr>
      <w:keepNext/>
      <w:keepLines/>
      <w:spacing w:before="280" w:after="290" w:line="240" w:lineRule="auto"/>
      <w:ind w:firstLine="643"/>
      <w:outlineLvl w:val="3"/>
    </w:pPr>
    <w:rPr>
      <w:rFonts w:ascii="Arial" w:hAnsi="Arial"/>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toc 1"/>
    <w:basedOn w:val="1"/>
    <w:next w:val="1"/>
    <w:qFormat/>
    <w:uiPriority w:val="0"/>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footnote text"/>
    <w:basedOn w:val="1"/>
    <w:qFormat/>
    <w:uiPriority w:val="0"/>
    <w:pPr>
      <w:snapToGrid w:val="0"/>
      <w:jc w:val="left"/>
    </w:pPr>
    <w:rPr>
      <w:sz w:val="18"/>
    </w:rPr>
  </w:style>
  <w:style w:type="paragraph" w:styleId="11">
    <w:name w:val="toc 2"/>
    <w:basedOn w:val="1"/>
    <w:next w:val="1"/>
    <w:qFormat/>
    <w:uiPriority w:val="0"/>
    <w:pPr>
      <w:ind w:left="420" w:leftChars="200"/>
    </w:pPr>
  </w:style>
  <w:style w:type="table" w:styleId="1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标题 1 字符"/>
    <w:link w:val="3"/>
    <w:qFormat/>
    <w:uiPriority w:val="0"/>
    <w:rPr>
      <w:rFonts w:ascii="Calibri" w:hAnsi="Calibri" w:eastAsia="宋体" w:cs="Times New Roman"/>
      <w:b/>
      <w:bCs/>
      <w:kern w:val="44"/>
      <w:sz w:val="32"/>
      <w:szCs w:val="44"/>
    </w:rPr>
  </w:style>
  <w:style w:type="character" w:customStyle="1" w:styleId="16">
    <w:name w:val="标题 2 字符"/>
    <w:link w:val="4"/>
    <w:qFormat/>
    <w:uiPriority w:val="0"/>
    <w:rPr>
      <w:rFonts w:ascii="Arial" w:hAnsi="Arial" w:eastAsia="宋体" w:cstheme="majorBidi"/>
      <w:sz w:val="30"/>
      <w:szCs w:val="22"/>
    </w:rPr>
  </w:style>
  <w:style w:type="character" w:customStyle="1" w:styleId="17">
    <w:name w:val="标题 3 字符"/>
    <w:link w:val="5"/>
    <w:qFormat/>
    <w:uiPriority w:val="0"/>
    <w:rPr>
      <w:rFonts w:ascii="Calibri" w:hAnsi="Calibri" w:eastAsia="宋体" w:cs="Times New Roman"/>
      <w:sz w:val="28"/>
      <w:szCs w:val="22"/>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 w:type="paragraph" w:customStyle="1" w:styleId="20">
    <w:name w:val="WPSOffice手动目录 3"/>
    <w:qFormat/>
    <w:uiPriority w:val="0"/>
    <w:pPr>
      <w:ind w:leftChars="400"/>
    </w:pPr>
    <w:rPr>
      <w:rFonts w:ascii="Times New Roman" w:hAnsi="Times New Roman" w:eastAsia="宋体" w:cs="Times New Roman"/>
      <w:sz w:val="20"/>
      <w:szCs w:val="20"/>
    </w:rPr>
  </w:style>
  <w:style w:type="paragraph" w:customStyle="1" w:styleId="21">
    <w:name w:val="列表段落"/>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2"/>
      <w:lang w:val="en-US" w:eastAsia="zh-CN" w:bidi="ar"/>
    </w:rPr>
  </w:style>
  <w:style w:type="character" w:customStyle="1" w:styleId="22">
    <w:name w:val="font01"/>
    <w:basedOn w:val="14"/>
    <w:qFormat/>
    <w:uiPriority w:val="0"/>
    <w:rPr>
      <w:rFonts w:hint="eastAsia" w:ascii="宋体" w:hAnsi="宋体" w:eastAsia="宋体" w:cs="宋体"/>
      <w:color w:val="FF0000"/>
      <w:sz w:val="24"/>
      <w:szCs w:val="24"/>
      <w:u w:val="none"/>
    </w:rPr>
  </w:style>
  <w:style w:type="character" w:customStyle="1" w:styleId="23">
    <w:name w:val="font21"/>
    <w:basedOn w:val="14"/>
    <w:qFormat/>
    <w:uiPriority w:val="0"/>
    <w:rPr>
      <w:rFonts w:hint="eastAsia" w:ascii="宋体" w:hAnsi="宋体" w:eastAsia="宋体" w:cs="宋体"/>
      <w:color w:val="000000"/>
      <w:sz w:val="24"/>
      <w:szCs w:val="24"/>
      <w:u w:val="none"/>
    </w:rPr>
  </w:style>
  <w:style w:type="paragraph" w:customStyle="1" w:styleId="24">
    <w:name w:val="序号"/>
    <w:basedOn w:val="1"/>
    <w:qFormat/>
    <w:uiPriority w:val="0"/>
    <w:pPr>
      <w:widowControl/>
      <w:ind w:firstLine="0" w:firstLineChars="0"/>
      <w:jc w:val="center"/>
      <w:textAlignment w:val="center"/>
    </w:pPr>
    <w:rPr>
      <w:rFonts w:hint="eastAsia" w:ascii="宋体" w:hAnsi="宋体" w:cs="宋体"/>
      <w:color w:val="000000"/>
      <w:kern w:val="0"/>
      <w:szCs w:val="24"/>
      <w:u w:val="none"/>
      <w:lang w:bidi="ar"/>
    </w:rPr>
  </w:style>
  <w:style w:type="character" w:customStyle="1" w:styleId="25">
    <w:name w:val="font11"/>
    <w:basedOn w:val="14"/>
    <w:qFormat/>
    <w:uiPriority w:val="0"/>
    <w:rPr>
      <w:rFonts w:hint="default" w:ascii="Times New Roman" w:hAnsi="Times New Roman" w:cs="Times New Roman"/>
      <w:color w:val="000000"/>
      <w:sz w:val="24"/>
      <w:szCs w:val="24"/>
      <w:u w:val="none"/>
    </w:rPr>
  </w:style>
  <w:style w:type="paragraph" w:customStyle="1" w:styleId="26">
    <w:name w:val="表格"/>
    <w:basedOn w:val="1"/>
    <w:qFormat/>
    <w:uiPriority w:val="0"/>
    <w:pPr>
      <w:widowControl/>
      <w:ind w:firstLine="0" w:firstLineChars="0"/>
      <w:jc w:val="left"/>
      <w:textAlignment w:val="center"/>
    </w:pPr>
    <w:rPr>
      <w:rFonts w:ascii="Times New Roman" w:hAnsi="Times New Roman"/>
      <w:color w:val="000000"/>
      <w:kern w:val="0"/>
      <w:szCs w:val="24"/>
      <w:u w:val="none"/>
      <w:lang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GIF"/><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2022-05-11T06:48:00Z</dcterms:created>
  <dc:creator>偏爱</dc:creator>
  <cp:lastModifiedBy>偏爱</cp:lastModifiedBy>
  <dcterms:modified xsi:type="dcterms:W3CDTF">2022-06-09T01:20:42Z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F5029C0D1E2B4E8E9287E0A8DC2F8BFD</vt:lpwstr>
  </property>
</Properties>
</file>