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b/>
          <w:bCs/>
          <w:sz w:val="56"/>
          <w:szCs w:val="56"/>
          <w:lang w:eastAsia="zh-CN"/>
        </w:rPr>
      </w:pPr>
    </w:p>
    <w:p>
      <w:pPr>
        <w:ind w:firstLine="1124"/>
        <w:jc w:val="center"/>
        <w:rPr>
          <w:b/>
          <w:bCs/>
          <w:sz w:val="56"/>
          <w:szCs w:val="56"/>
          <w:lang w:eastAsia="zh-CN"/>
        </w:rPr>
      </w:pPr>
    </w:p>
    <w:p>
      <w:pPr>
        <w:ind w:firstLine="1124"/>
        <w:jc w:val="center"/>
        <w:rPr>
          <w:b/>
          <w:bCs/>
          <w:sz w:val="56"/>
          <w:szCs w:val="56"/>
          <w:lang w:eastAsia="zh-CN"/>
        </w:rPr>
      </w:pPr>
    </w:p>
    <w:p>
      <w:pPr>
        <w:ind w:firstLine="1124"/>
        <w:jc w:val="center"/>
        <w:rPr>
          <w:b/>
          <w:bCs/>
          <w:sz w:val="56"/>
          <w:szCs w:val="56"/>
          <w:lang w:eastAsia="zh-CN"/>
        </w:rPr>
      </w:pPr>
    </w:p>
    <w:p>
      <w:pPr>
        <w:ind w:firstLine="1124"/>
        <w:jc w:val="center"/>
        <w:rPr>
          <w:b/>
          <w:bCs/>
          <w:sz w:val="56"/>
          <w:szCs w:val="56"/>
          <w:lang w:eastAsia="zh-CN"/>
        </w:rPr>
      </w:pPr>
      <w:r>
        <w:rPr>
          <w:rFonts w:hint="eastAsia"/>
          <w:b/>
          <w:bCs/>
          <w:sz w:val="56"/>
          <w:szCs w:val="56"/>
          <w:lang w:eastAsia="zh-CN"/>
        </w:rPr>
        <w:t>重庆人文科技学院</w:t>
      </w:r>
    </w:p>
    <w:p>
      <w:pPr>
        <w:ind w:firstLine="964"/>
        <w:jc w:val="center"/>
        <w:rPr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基于全民美育的插花设计实践虚拟仿真实验</w:t>
      </w:r>
    </w:p>
    <w:p>
      <w:pPr>
        <w:pStyle w:val="3"/>
        <w:rPr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报价明细</w:t>
      </w:r>
    </w:p>
    <w:p>
      <w:pPr>
        <w:ind w:firstLine="480"/>
        <w:jc w:val="center"/>
        <w:rPr>
          <w:lang w:eastAsia="zh-CN"/>
        </w:rPr>
      </w:pPr>
      <w:r>
        <w:rPr>
          <w:rFonts w:hint="eastAsia" w:ascii="宋体" w:hAnsi="宋体"/>
          <w:bCs/>
          <w:color w:val="000000"/>
          <w:lang w:eastAsia="zh-CN"/>
        </w:rPr>
        <w:t>基于全民美育的插花设计实践虚拟仿真实验</w:t>
      </w:r>
    </w:p>
    <w:tbl>
      <w:tblPr>
        <w:tblStyle w:val="7"/>
        <w:tblW w:w="5211" w:type="pct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311"/>
        <w:gridCol w:w="4511"/>
        <w:gridCol w:w="1048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2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37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39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建设内容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2539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589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328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情景化管理平台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基于互联网能够使用的，峰值使用人次可达1</w:t>
            </w:r>
            <w:r>
              <w:rPr>
                <w:lang w:eastAsia="zh-CN"/>
              </w:rPr>
              <w:t>00人</w:t>
            </w: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；后台能进行成绩管理、数据提取的；教师对于平台上的资源能进行简单编辑、发展</w:t>
            </w:r>
            <w:r>
              <w:rPr>
                <w:rFonts w:hint="eastAsia"/>
                <w:lang w:eastAsia="zh-CN"/>
              </w:rPr>
              <w:t>和补充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bookmarkStart w:id="8" w:name="_GoBack"/>
            <w:bookmarkEnd w:id="8"/>
            <w:r>
              <w:rPr>
                <w:rFonts w:hint="eastAsia"/>
              </w:rPr>
              <w:t>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328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3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数据库管理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插花的最终设计能够有储存的数据库，并且后续能开放展示，在网络上能进行评价互动。</w:t>
            </w:r>
          </w:p>
          <w:p>
            <w:pPr>
              <w:spacing w:line="240" w:lineRule="auto"/>
              <w:ind w:firstLine="0" w:firstLineChars="0"/>
              <w:rPr>
                <w:lang w:eastAsia="zh-CN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328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3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外部资源导入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学生能够将自己制作的花材和花器模型以及插花场景导入，进行插花整个流程制作。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32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37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庭园、室内插花场景及设备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场景1：室内公共空间场景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场景2：家居空间场景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center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场景3：城市庭院场景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场景4：乡村庭院场景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2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7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实验所需的工具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1.插花工具：剪刀、剑山、花泥、除刺器、订书机、胶带、细铁丝、几架、石头、人物摆件三维模型制作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1套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2.花材三维模型制作（6类花材每类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种常用基础花材），可以根据需要对花材进行修剪和弯曲等处理，</w:t>
            </w:r>
            <w:r>
              <w:rPr>
                <w:rFonts w:hint="eastAsia" w:ascii="宋体" w:hAnsi="宋体" w:cs="宋体"/>
                <w:lang w:eastAsia="zh-CN"/>
              </w:rPr>
              <w:t>可以对选择的花材进行“选择”“移动”“旋转（3</w:t>
            </w:r>
            <w:r>
              <w:rPr>
                <w:rFonts w:ascii="宋体" w:hAnsi="宋体" w:cs="宋体"/>
                <w:lang w:eastAsia="zh-CN"/>
              </w:rPr>
              <w:t>60</w:t>
            </w:r>
            <w:r>
              <w:rPr>
                <w:rFonts w:hint="eastAsia" w:ascii="宋体" w:hAnsi="宋体" w:cs="宋体"/>
                <w:lang w:eastAsia="zh-CN"/>
              </w:rPr>
              <w:t>度）”“缩放”“删除”等调整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1套</w:t>
            </w:r>
          </w:p>
        </w:tc>
        <w:tc>
          <w:tcPr>
            <w:tcW w:w="804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3.花器三维模型制作（基础花器模型瓶、盘、碗、缸、篮），可以修改花器颜色，调整大小，3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度旋转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1套</w:t>
            </w:r>
          </w:p>
        </w:tc>
        <w:tc>
          <w:tcPr>
            <w:tcW w:w="804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28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37" w:type="pct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</w:p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实训互动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1.课程思政导入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both"/>
              <w:rPr>
                <w:lang w:eastAsia="zh-CN"/>
              </w:rPr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2.插花作品展示东西方艺术分类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both"/>
            </w:pPr>
            <w:r>
              <w:rPr>
                <w:lang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3.花器的选择和介绍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  <w:jc w:val="both"/>
            </w:pPr>
            <w:r>
              <w:rPr>
                <w:lang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4.通过不同构型插花作品掌握插花艺术造型和构图原理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5.通过调色盘互动掌握插花的配色原理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6.视频展示插花作品与装饰空间的搭配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7.题目考核知识点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8.确定插花场景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9.确定插花花器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lang w:eastAsia="zh-CN"/>
              </w:rPr>
              <w:t>10.确定插花位置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11.对花材进行修剪或者改变角度使之符合需要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12.按照确定好的点位插花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13.对插好的作品存档，存档选择中可以对花材进行保存，也可以对之前的存档进行打开和删除操作，文件存档包含了“上传存档”和“下载存档”。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8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</w:p>
        </w:tc>
        <w:tc>
          <w:tcPr>
            <w:tcW w:w="737" w:type="pct"/>
            <w:vMerge w:val="continue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</w:pP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14.花材统计</w:t>
            </w:r>
          </w:p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通过花材统计功能，统计该造型所用“花材数量、种类”，提交后可在成品展示库展示。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1个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480"/>
            </w:pPr>
            <w:r>
              <w:rPr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328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3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</w:pPr>
            <w:r>
              <w:t>UI界面</w:t>
            </w:r>
          </w:p>
        </w:tc>
        <w:tc>
          <w:tcPr>
            <w:tcW w:w="253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虚拟仿真软件界面的UI设计及互动功能制作</w:t>
            </w:r>
          </w:p>
        </w:tc>
        <w:tc>
          <w:tcPr>
            <w:tcW w:w="58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195" w:type="pct"/>
            <w:gridSpan w:val="4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right"/>
              <w:rPr>
                <w:lang w:eastAsia="zh-CN"/>
              </w:rPr>
            </w:pPr>
            <w:bookmarkStart w:id="0" w:name="_Toc20046"/>
            <w:r>
              <w:rPr>
                <w:rFonts w:hint="eastAsia"/>
                <w:lang w:eastAsia="zh-CN"/>
              </w:rPr>
              <w:t>合计：</w:t>
            </w:r>
          </w:p>
        </w:tc>
        <w:tc>
          <w:tcPr>
            <w:tcW w:w="804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45</w:t>
            </w:r>
          </w:p>
        </w:tc>
      </w:tr>
    </w:tbl>
    <w:p>
      <w:pPr>
        <w:pStyle w:val="3"/>
        <w:rPr>
          <w:lang w:eastAsia="zh-CN"/>
        </w:rPr>
      </w:pPr>
      <w:bookmarkStart w:id="1" w:name="_Toc31091"/>
      <w:r>
        <w:rPr>
          <w:rFonts w:hint="eastAsia"/>
          <w:lang w:eastAsia="zh-CN"/>
        </w:rPr>
        <w:t>建设成果</w:t>
      </w:r>
      <w:bookmarkEnd w:id="0"/>
      <w:bookmarkEnd w:id="1"/>
    </w:p>
    <w:p>
      <w:pPr>
        <w:widowControl w:val="0"/>
        <w:ind w:firstLine="480"/>
        <w:rPr>
          <w:lang w:eastAsia="zh-CN"/>
        </w:rPr>
      </w:pPr>
      <w:r>
        <w:rPr>
          <w:lang w:eastAsia="zh-CN"/>
        </w:rPr>
        <w:t>响应国家</w:t>
      </w:r>
      <w:r>
        <w:rPr>
          <w:rFonts w:hint="eastAsia"/>
          <w:lang w:eastAsia="zh-CN"/>
        </w:rPr>
        <w:t>课堂思政</w:t>
      </w:r>
      <w:r>
        <w:rPr>
          <w:lang w:eastAsia="zh-CN"/>
        </w:rPr>
        <w:t>的大政方针</w:t>
      </w:r>
      <w:r>
        <w:rPr>
          <w:rFonts w:hint="eastAsia"/>
          <w:lang w:eastAsia="zh-CN"/>
        </w:rPr>
        <w:t>，推进国家“专业育人”发展。通过本项目的建设，利于培养园林、风景园林方面复合型人才。</w:t>
      </w:r>
    </w:p>
    <w:p>
      <w:pPr>
        <w:pStyle w:val="4"/>
        <w:numPr>
          <w:ilvl w:val="0"/>
          <w:numId w:val="1"/>
        </w:numPr>
        <w:tabs>
          <w:tab w:val="left" w:pos="360"/>
          <w:tab w:val="clear" w:pos="312"/>
        </w:tabs>
        <w:rPr>
          <w:lang w:eastAsia="zh-CN"/>
        </w:rPr>
      </w:pPr>
      <w:bookmarkStart w:id="2" w:name="_Toc30702"/>
      <w:bookmarkStart w:id="3" w:name="_Toc4485"/>
      <w:r>
        <w:rPr>
          <w:rFonts w:hint="eastAsia"/>
          <w:lang w:eastAsia="zh-CN"/>
        </w:rPr>
        <w:t>教学应用方面</w:t>
      </w:r>
      <w:bookmarkEnd w:id="2"/>
      <w:bookmarkEnd w:id="3"/>
    </w:p>
    <w:p>
      <w:pPr>
        <w:widowControl w:val="0"/>
        <w:numPr>
          <w:ilvl w:val="0"/>
          <w:numId w:val="2"/>
        </w:num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>满足学生日常实验需求，解决实际实验中高投入、高消耗的“三高三难”问题，通过虚实结合配套线下日常教学，弥补教学中的不足，提升学生的实践能力；</w:t>
      </w:r>
    </w:p>
    <w:p>
      <w:pPr>
        <w:widowControl w:val="0"/>
        <w:numPr>
          <w:ilvl w:val="0"/>
          <w:numId w:val="2"/>
        </w:num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>为艺术设计等相关专业提供课程教学服务；</w:t>
      </w:r>
    </w:p>
    <w:p>
      <w:pPr>
        <w:widowControl w:val="0"/>
        <w:numPr>
          <w:ilvl w:val="0"/>
          <w:numId w:val="2"/>
        </w:numPr>
        <w:ind w:firstLine="480"/>
        <w:jc w:val="both"/>
        <w:rPr>
          <w:lang w:eastAsia="zh-CN"/>
        </w:rPr>
      </w:pPr>
      <w:r>
        <w:rPr>
          <w:rFonts w:hint="eastAsia"/>
          <w:lang w:eastAsia="zh-CN"/>
        </w:rPr>
        <w:t>为插花相关的员工培训提供服务，减少教学培训成本；</w:t>
      </w:r>
    </w:p>
    <w:p>
      <w:pPr>
        <w:numPr>
          <w:ilvl w:val="0"/>
          <w:numId w:val="2"/>
        </w:numPr>
        <w:ind w:firstLine="480"/>
        <w:rPr>
          <w:lang w:eastAsia="zh-CN"/>
        </w:rPr>
      </w:pPr>
      <w:r>
        <w:rPr>
          <w:rFonts w:hint="eastAsia"/>
          <w:lang w:eastAsia="zh-CN"/>
        </w:rPr>
        <w:t>辅助园艺疗法的实践；</w:t>
      </w:r>
    </w:p>
    <w:p>
      <w:pPr>
        <w:numPr>
          <w:ilvl w:val="0"/>
          <w:numId w:val="2"/>
        </w:numPr>
        <w:ind w:firstLine="480"/>
        <w:rPr>
          <w:lang w:eastAsia="zh-CN"/>
        </w:rPr>
      </w:pPr>
      <w:r>
        <w:rPr>
          <w:rFonts w:hint="eastAsia"/>
          <w:lang w:eastAsia="zh-CN"/>
        </w:rPr>
        <w:t>用于非专业人群学习插花。</w:t>
      </w:r>
    </w:p>
    <w:p>
      <w:pPr>
        <w:pStyle w:val="4"/>
        <w:numPr>
          <w:ilvl w:val="0"/>
          <w:numId w:val="1"/>
        </w:numPr>
        <w:tabs>
          <w:tab w:val="left" w:pos="360"/>
          <w:tab w:val="clear" w:pos="312"/>
        </w:tabs>
        <w:rPr>
          <w:lang w:eastAsia="zh-CN"/>
        </w:rPr>
      </w:pPr>
      <w:bookmarkStart w:id="4" w:name="_Toc25435"/>
      <w:bookmarkStart w:id="5" w:name="_Toc5494"/>
      <w:r>
        <w:rPr>
          <w:rFonts w:hint="eastAsia"/>
          <w:lang w:eastAsia="zh-CN"/>
        </w:rPr>
        <w:t>师资建设方面</w:t>
      </w:r>
      <w:bookmarkEnd w:id="4"/>
      <w:bookmarkEnd w:id="5"/>
    </w:p>
    <w:p>
      <w:pPr>
        <w:ind w:firstLine="480"/>
        <w:rPr>
          <w:lang w:eastAsia="zh-CN"/>
        </w:rPr>
      </w:pPr>
      <w:r>
        <w:rPr>
          <w:lang w:eastAsia="zh-CN"/>
        </w:rPr>
        <w:t>教师队伍是发展教育的第一资源</w:t>
      </w:r>
      <w:r>
        <w:rPr>
          <w:rFonts w:hint="eastAsia"/>
          <w:lang w:eastAsia="zh-CN"/>
        </w:rPr>
        <w:t>，提升教师的教学能力和实践能力是深化新时代职业教育“双师型”教师队伍建设的必要要求。老师在深度参与虚拟仿真项目建设的过程中，提升了专业技能的同时也加深了对虚拟仿真技术的了解、掌握和运用。</w:t>
      </w:r>
    </w:p>
    <w:p>
      <w:pPr>
        <w:pStyle w:val="4"/>
        <w:numPr>
          <w:ilvl w:val="0"/>
          <w:numId w:val="1"/>
        </w:numPr>
        <w:tabs>
          <w:tab w:val="left" w:pos="360"/>
          <w:tab w:val="clear" w:pos="312"/>
        </w:tabs>
        <w:rPr>
          <w:lang w:eastAsia="zh-CN"/>
        </w:rPr>
      </w:pPr>
      <w:bookmarkStart w:id="6" w:name="_Toc18900"/>
      <w:bookmarkStart w:id="7" w:name="_Toc13030"/>
      <w:r>
        <w:rPr>
          <w:rFonts w:hint="eastAsia"/>
          <w:lang w:eastAsia="zh-CN"/>
        </w:rPr>
        <w:t>教学成果方面</w:t>
      </w:r>
      <w:bookmarkEnd w:id="6"/>
      <w:bookmarkEnd w:id="7"/>
    </w:p>
    <w:p>
      <w:pPr>
        <w:widowControl w:val="0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软件的著作权属于学校 ，利于教学成果的转化；</w:t>
      </w:r>
    </w:p>
    <w:p>
      <w:pPr>
        <w:widowControl w:val="0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项目成果可用于申报市级、国家级一流课程申报；</w:t>
      </w:r>
    </w:p>
    <w:p>
      <w:pPr>
        <w:widowControl w:val="0"/>
        <w:numPr>
          <w:ilvl w:val="0"/>
          <w:numId w:val="3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可以作为教师其他课程申报的支撑材料。</w:t>
      </w:r>
    </w:p>
    <w:p>
      <w:pPr>
        <w:ind w:firstLine="0" w:firstLineChars="0"/>
        <w:jc w:val="both"/>
        <w:rPr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售后服务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虚拟仿真建设专家级指导服务；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虚拟仿真教学资源开发培训服务（市内知名专家）；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虚拟仿真市级、国家级申报服务；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虚拟仿真教学项目配套教材出版服务；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虚拟仿真教学成果应用及推广；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虚拟仿真各级平台接入技术服务：国家级平台（ilab-x实验空间），市级平台（重庆高校虚拟仿真实验实训项目共享平台），校级平台及元渲染平台技术对接服务；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项目开发源文件交付及三年免费质保期，包含系统安装、调试及更新；</w:t>
      </w:r>
    </w:p>
    <w:p>
      <w:pPr>
        <w:numPr>
          <w:ilvl w:val="0"/>
          <w:numId w:val="4"/>
        </w:numPr>
        <w:ind w:left="0" w:firstLine="480"/>
        <w:rPr>
          <w:lang w:eastAsia="zh-CN"/>
        </w:rPr>
      </w:pPr>
      <w:r>
        <w:rPr>
          <w:rFonts w:hint="eastAsia"/>
          <w:lang w:eastAsia="zh-CN"/>
        </w:rPr>
        <w:t>协助完成项目开发成果申请软件著作权，著作权成果归属重庆人文科技学院或课程负责人；</w:t>
      </w:r>
    </w:p>
    <w:p>
      <w:pPr>
        <w:ind w:firstLine="480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CA8DA5"/>
    <w:multiLevelType w:val="singleLevel"/>
    <w:tmpl w:val="0FCA8DA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170429BB"/>
    <w:multiLevelType w:val="singleLevel"/>
    <w:tmpl w:val="170429BB"/>
    <w:lvl w:ilvl="0" w:tentative="0">
      <w:start w:val="1"/>
      <w:numFmt w:val="decimal"/>
      <w:suff w:val="nothing"/>
      <w:lvlText w:val="%1、"/>
      <w:lvlJc w:val="left"/>
      <w:pPr>
        <w:ind w:left="-400"/>
      </w:pPr>
    </w:lvl>
  </w:abstractNum>
  <w:abstractNum w:abstractNumId="2">
    <w:nsid w:val="48B59882"/>
    <w:multiLevelType w:val="singleLevel"/>
    <w:tmpl w:val="48B5988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611C9896"/>
    <w:multiLevelType w:val="singleLevel"/>
    <w:tmpl w:val="611C98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7A"/>
    <w:rsid w:val="00093E95"/>
    <w:rsid w:val="000D23FA"/>
    <w:rsid w:val="0036737A"/>
    <w:rsid w:val="004258FB"/>
    <w:rsid w:val="005659AE"/>
    <w:rsid w:val="00655CAD"/>
    <w:rsid w:val="007B4805"/>
    <w:rsid w:val="00DA59D2"/>
    <w:rsid w:val="00FB0252"/>
    <w:rsid w:val="376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1041" w:firstLineChars="200"/>
    </w:pPr>
    <w:rPr>
      <w:rFonts w:ascii="Arial" w:hAnsi="Arial" w:eastAsia="宋体" w:cs="Arial"/>
      <w:kern w:val="0"/>
      <w:sz w:val="24"/>
      <w:szCs w:val="24"/>
      <w:lang w:val="en-US" w:eastAsia="en-US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pageBreakBefore/>
      <w:spacing w:before="240" w:after="60" w:line="480" w:lineRule="auto"/>
      <w:ind w:firstLine="0" w:firstLineChars="0"/>
      <w:jc w:val="center"/>
      <w:outlineLvl w:val="0"/>
    </w:pPr>
    <w:rPr>
      <w:rFonts w:eastAsia="黑体"/>
      <w:b/>
      <w:bCs/>
      <w:kern w:val="32"/>
      <w:sz w:val="28"/>
      <w:szCs w:val="32"/>
    </w:rPr>
  </w:style>
  <w:style w:type="paragraph" w:styleId="4">
    <w:name w:val="heading 2"/>
    <w:basedOn w:val="1"/>
    <w:next w:val="1"/>
    <w:link w:val="10"/>
    <w:qFormat/>
    <w:uiPriority w:val="0"/>
    <w:pPr>
      <w:keepNext/>
      <w:spacing w:before="240" w:after="60"/>
      <w:ind w:firstLine="0" w:firstLineChars="0"/>
      <w:outlineLvl w:val="1"/>
    </w:pPr>
    <w:rPr>
      <w:b/>
      <w:bCs/>
      <w:i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11"/>
    <w:semiHidden/>
    <w:unhideWhenUsed/>
    <w:uiPriority w:val="99"/>
    <w:pPr>
      <w:snapToGrid w:val="0"/>
    </w:pPr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3"/>
    <w:qFormat/>
    <w:uiPriority w:val="0"/>
    <w:rPr>
      <w:rFonts w:ascii="Arial" w:hAnsi="Arial" w:eastAsia="黑体" w:cs="Arial"/>
      <w:b/>
      <w:bCs/>
      <w:kern w:val="32"/>
      <w:sz w:val="28"/>
      <w:szCs w:val="32"/>
      <w:lang w:eastAsia="en-US"/>
    </w:rPr>
  </w:style>
  <w:style w:type="character" w:customStyle="1" w:styleId="10">
    <w:name w:val="标题 2 字符"/>
    <w:basedOn w:val="8"/>
    <w:link w:val="4"/>
    <w:qFormat/>
    <w:uiPriority w:val="0"/>
    <w:rPr>
      <w:rFonts w:ascii="Arial" w:hAnsi="Arial" w:eastAsia="宋体" w:cs="Arial"/>
      <w:b/>
      <w:bCs/>
      <w:iCs/>
      <w:kern w:val="0"/>
      <w:sz w:val="28"/>
      <w:szCs w:val="28"/>
      <w:lang w:eastAsia="en-US"/>
    </w:rPr>
  </w:style>
  <w:style w:type="character" w:customStyle="1" w:styleId="11">
    <w:name w:val="脚注文本 字符"/>
    <w:basedOn w:val="8"/>
    <w:link w:val="2"/>
    <w:semiHidden/>
    <w:uiPriority w:val="99"/>
    <w:rPr>
      <w:rFonts w:ascii="Arial" w:hAnsi="Arial" w:eastAsia="宋体" w:cs="Arial"/>
      <w:kern w:val="0"/>
      <w:sz w:val="18"/>
      <w:szCs w:val="18"/>
      <w:lang w:eastAsia="en-US"/>
    </w:rPr>
  </w:style>
  <w:style w:type="character" w:customStyle="1" w:styleId="12">
    <w:name w:val="页眉 字符"/>
    <w:basedOn w:val="8"/>
    <w:link w:val="6"/>
    <w:uiPriority w:val="99"/>
    <w:rPr>
      <w:rFonts w:ascii="Arial" w:hAnsi="Arial" w:eastAsia="宋体" w:cs="Arial"/>
      <w:kern w:val="0"/>
      <w:sz w:val="18"/>
      <w:szCs w:val="18"/>
      <w:lang w:eastAsia="en-US"/>
    </w:rPr>
  </w:style>
  <w:style w:type="character" w:customStyle="1" w:styleId="13">
    <w:name w:val="页脚 字符"/>
    <w:basedOn w:val="8"/>
    <w:link w:val="5"/>
    <w:uiPriority w:val="99"/>
    <w:rPr>
      <w:rFonts w:ascii="Arial" w:hAnsi="Arial" w:eastAsia="宋体" w:cs="Arial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257</Words>
  <Characters>1465</Characters>
  <Lines>12</Lines>
  <Paragraphs>3</Paragraphs>
  <TotalTime>11</TotalTime>
  <ScaleCrop>false</ScaleCrop>
  <LinksUpToDate>false</LinksUpToDate>
  <CharactersWithSpaces>1719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2022-06-17T02:54:00Z</dcterms:created>
  <dc:creator>kz</dc:creator>
  <cp:lastModifiedBy>虚拟仿真部</cp:lastModifiedBy>
  <dcterms:modified xsi:type="dcterms:W3CDTF">2022-06-20T05:51:54Z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6BBD1C4DB68F4BC8A9FFA9676A672018</vt:lpwstr>
  </property>
</Properties>
</file>