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Geziael Thiago Paes Farias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Exercício 01 - Particionamento de equivalência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com valor de R$ 20,00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com valor de R$ 100,00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cadastrado com 20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cadastrado com 45 dias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cadastrar 50 itens por vez.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cadastrar 200 itens por vez.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Inválido.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Exercício 02 - Valor limite</w:t>
      </w:r>
    </w:p>
    <w:tbl>
      <w:tblPr>
        <w:tblStyle w:val="Table2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R$18,00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R$99,99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cadastrar 99 itens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cadastrar 101 itens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Inválido.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Exercício 03 - Tabela de decisão</w:t>
      </w:r>
    </w:p>
    <w:tbl>
      <w:tblPr>
        <w:tblStyle w:val="Table3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de decisão “Produtos iguais já cadastrados há mais de 30 dias devem ser renovados”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Produtos iguais cadastrados há mais de 30 dias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Ação = 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 ser renovado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precisa ser renovado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  <w:t xml:space="preserve">Sim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de decisão “Permitir cadastro máximo de 100 itens por vez”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Tentou cadastrar produtos acima de 100 itens por vez?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Ação = 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o cadastro?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permitir cadastro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