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d9c106ce2b6e4cf8ac73c026c7245e537d90c3"/>
    <w:p>
      <w:pPr>
        <w:pStyle w:val="Heading2"/>
      </w:pPr>
      <w:r>
        <w:t xml:space="preserve">Resonance-Based Coherence Architecture: Systems and Methods for Field-Organized Meaning Verification</w:t>
      </w:r>
    </w:p>
    <w:bookmarkStart w:id="20" w:name="introduction-and-legal-context"/>
    <w:p>
      <w:pPr>
        <w:pStyle w:val="Heading3"/>
      </w:pPr>
      <w:r>
        <w:t xml:space="preserve">Introduction and Legal Context</w:t>
      </w:r>
    </w:p>
    <w:p>
      <w:pPr>
        <w:pStyle w:val="FirstParagraph"/>
      </w:pPr>
      <w:r>
        <w:t xml:space="preserve">This document establishes public prior art for the Resonance Kernel and Resonance-Based Intelligence (RBI) framework. It includes computer science, systems theory, and the next phase of artificial intelligence—extending coherence computation into physical, biological, social, and environmental domains. The invention defines a field-based architecture capable of verifying meaning, stability, and relational integrity across all forms of organized information.</w:t>
      </w:r>
    </w:p>
    <w:p>
      <w:pPr>
        <w:pStyle w:val="BodyText"/>
      </w:pPr>
      <w:r>
        <w:t xml:space="preserve">The publication serves as a formal defensive disclosure under 35 U.S.C. §102(b) and is linked to Provisional Patent Application No. 63/909,031, filed October 31, 2025. It confirms authorship and priority of the Resonance-Based Knowledge Organization and Translation Framework developed by Jen Dye under Stardust to Sovereignty UNA.</w:t>
      </w:r>
    </w:p>
    <w:p>
      <w:r>
        <w:pict>
          <v:rect style="width:0;height:1.5pt" o:hralign="center" o:hrstd="t" o:hr="t"/>
        </w:pict>
      </w:r>
    </w:p>
    <w:bookmarkEnd w:id="20"/>
    <w:bookmarkEnd w:id="21"/>
    <w:bookmarkStart w:id="22" w:name="foundational-system-description"/>
    <w:p>
      <w:pPr>
        <w:pStyle w:val="Heading2"/>
      </w:pPr>
      <w:r>
        <w:t xml:space="preserve">1. Foundational System Description</w:t>
      </w:r>
    </w:p>
    <w:p>
      <w:pPr>
        <w:pStyle w:val="Compact"/>
        <w:numPr>
          <w:ilvl w:val="0"/>
          <w:numId w:val="1001"/>
        </w:numPr>
      </w:pPr>
      <w:r>
        <w:t xml:space="preserve">Core definition of the</w:t>
      </w:r>
      <w:r>
        <w:t xml:space="preserve"> </w:t>
      </w:r>
      <w:r>
        <w:rPr>
          <w:b/>
          <w:bCs/>
        </w:rPr>
        <w:t xml:space="preserve">Resonance Kernel</w:t>
      </w:r>
      <w:r>
        <w:t xml:space="preserve"> </w:t>
      </w:r>
      <w:r>
        <w:t xml:space="preserve">as a field-coherence computation system.</w:t>
      </w:r>
      <w:r>
        <w:br/>
      </w:r>
    </w:p>
    <w:p>
      <w:pPr>
        <w:pStyle w:val="Compact"/>
        <w:numPr>
          <w:ilvl w:val="0"/>
          <w:numId w:val="1001"/>
        </w:numPr>
      </w:pPr>
      <w:r>
        <w:t xml:space="preserve">Underlying mathematics: resonance weighting, spectral coherence, temporal learning, and field propagation.</w:t>
      </w:r>
      <w:r>
        <w:br/>
      </w:r>
    </w:p>
    <w:p>
      <w:pPr>
        <w:pStyle w:val="Compact"/>
        <w:numPr>
          <w:ilvl w:val="0"/>
          <w:numId w:val="1001"/>
        </w:numPr>
      </w:pPr>
      <w:r>
        <w:t xml:space="preserve">Verification-first design distinguishing RBI from probabilistic and generative models.</w:t>
      </w:r>
      <w:r>
        <w:br/>
      </w:r>
    </w:p>
    <w:p>
      <w:pPr>
        <w:pStyle w:val="Compact"/>
        <w:numPr>
          <w:ilvl w:val="0"/>
          <w:numId w:val="1001"/>
        </w:numPr>
      </w:pPr>
      <w:r>
        <w:t xml:space="preserve">Architecture layers: representation → resonance computation → temporal feedback → coherence validation.</w:t>
      </w:r>
      <w:r>
        <w:br/>
      </w:r>
    </w:p>
    <w:p>
      <w:pPr>
        <w:pStyle w:val="Compact"/>
        <w:numPr>
          <w:ilvl w:val="0"/>
          <w:numId w:val="1001"/>
        </w:numPr>
      </w:pPr>
      <w:r>
        <w:t xml:space="preserve">Functionality applicable to computation, natural systems, governance, and economics.</w:t>
      </w:r>
    </w:p>
    <w:p>
      <w:r>
        <w:pict>
          <v:rect style="width:0;height:1.5pt" o:hralign="center" o:hrstd="t" o:hr="t"/>
        </w:pict>
      </w:r>
    </w:p>
    <w:bookmarkEnd w:id="22"/>
    <w:bookmarkStart w:id="23" w:name="scientific-and-physical-correlations"/>
    <w:p>
      <w:pPr>
        <w:pStyle w:val="Heading2"/>
      </w:pPr>
      <w:r>
        <w:t xml:space="preserve">2. Scientific and Physical Correlations</w:t>
      </w:r>
    </w:p>
    <w:p>
      <w:pPr>
        <w:pStyle w:val="FirstParagraph"/>
      </w:pPr>
      <w:r>
        <w:rPr>
          <w:b/>
          <w:bCs/>
        </w:rPr>
        <w:t xml:space="preserve">Domains:</w:t>
      </w:r>
      <w:r>
        <w:t xml:space="preserve"> </w:t>
      </w:r>
      <w:r>
        <w:t xml:space="preserve">physics, cosmology, biophysics.</w:t>
      </w:r>
      <w:r>
        <w:br/>
      </w:r>
      <w:r>
        <w:t xml:space="preserve">- Coherence as universal invariant; parallels with quantum decoherence, harmonic resonance, and field theory.</w:t>
      </w:r>
      <w:r>
        <w:br/>
      </w:r>
      <w:r>
        <w:t xml:space="preserve">- Diffusion equation models propagation of structural coherence:</w:t>
      </w:r>
      <w:r>
        <w:br/>
      </w:r>
      <w:r>
        <w:t xml:space="preserve">[</w:t>
      </w:r>
      <w:r>
        <w:t xml:space="preserve"> </w:t>
      </w:r>
      <w:r>
        <w:t xml:space="preserve"> </w:t>
      </w:r>
      <w:r>
        <w:t xml:space="preserve">=</w:t>
      </w:r>
      <w:r>
        <w:t xml:space="preserve"> </w:t>
      </w:r>
      <w:r>
        <w:t xml:space="preserve">(</w:t>
      </w:r>
      <w:r>
        <w:t xml:space="preserve">) + R(</w:t>
      </w:r>
      <w:r>
        <w:t xml:space="preserve">) ]</w:t>
      </w:r>
      <w:r>
        <w:br/>
      </w:r>
      <w:r>
        <w:t xml:space="preserve">- Biological coherence: neural synchronization, mitochondrial bio-photonics, and system homeostasis.</w:t>
      </w:r>
      <w:r>
        <w:br/>
      </w:r>
      <w:r>
        <w:t xml:space="preserve">- Field verification as a measure of integrity in living and physical systems.</w:t>
      </w:r>
      <w:r>
        <w:br/>
      </w:r>
      <w:r>
        <w:t xml:space="preserve">- Potential use in field-based medicine, energy systems, and material coherence analysis.</w:t>
      </w:r>
    </w:p>
    <w:p>
      <w:r>
        <w:pict>
          <v:rect style="width:0;height:1.5pt" o:hralign="center" o:hrstd="t" o:hr="t"/>
        </w:pict>
      </w:r>
    </w:p>
    <w:bookmarkEnd w:id="23"/>
    <w:bookmarkStart w:id="24" w:name="cognitive-and-consciousness-systems"/>
    <w:p>
      <w:pPr>
        <w:pStyle w:val="Heading2"/>
      </w:pPr>
      <w:r>
        <w:t xml:space="preserve">3. Cognitive and Consciousness Systems</w:t>
      </w:r>
    </w:p>
    <w:p>
      <w:pPr>
        <w:pStyle w:val="FirstParagraph"/>
      </w:pPr>
      <w:r>
        <w:rPr>
          <w:b/>
          <w:bCs/>
        </w:rPr>
        <w:t xml:space="preserve">Domains:</w:t>
      </w:r>
      <w:r>
        <w:t xml:space="preserve"> </w:t>
      </w:r>
      <w:r>
        <w:t xml:space="preserve">neuroscience, psychology, cognition, awareness studies.</w:t>
      </w:r>
      <w:r>
        <w:br/>
      </w:r>
      <w:r>
        <w:t xml:space="preserve">- Human cognition modeled as coherence verification between neural patterns.</w:t>
      </w:r>
      <w:r>
        <w:br/>
      </w:r>
      <w:r>
        <w:t xml:space="preserve">- Temporal continuity (dC/dt) corresponds to neurophysiological entrainment and learning.</w:t>
      </w:r>
      <w:r>
        <w:br/>
      </w:r>
      <w:r>
        <w:t xml:space="preserve">- Consciousness interpreted as recursive coherence tracking across perceptual and reflective layers.</w:t>
      </w:r>
      <w:r>
        <w:br/>
      </w:r>
      <w:r>
        <w:t xml:space="preserve">- Proof-of-Meaning as formal expression of self-consistent awareness.</w:t>
      </w:r>
      <w:r>
        <w:br/>
      </w:r>
      <w:r>
        <w:t xml:space="preserve">- Application in learning systems, cognitive modeling, and human–machine co-adaptation.</w:t>
      </w:r>
    </w:p>
    <w:p>
      <w:r>
        <w:pict>
          <v:rect style="width:0;height:1.5pt" o:hralign="center" o:hrstd="t" o:hr="t"/>
        </w:pict>
      </w:r>
    </w:p>
    <w:bookmarkEnd w:id="24"/>
    <w:bookmarkStart w:id="25" w:name="ecological-and-environmental-systems"/>
    <w:p>
      <w:pPr>
        <w:pStyle w:val="Heading2"/>
      </w:pPr>
      <w:r>
        <w:t xml:space="preserve">4. Ecological and Environmental Systems</w:t>
      </w:r>
    </w:p>
    <w:p>
      <w:pPr>
        <w:pStyle w:val="FirstParagraph"/>
      </w:pPr>
      <w:r>
        <w:rPr>
          <w:b/>
          <w:bCs/>
        </w:rPr>
        <w:t xml:space="preserve">Domains:</w:t>
      </w:r>
      <w:r>
        <w:t xml:space="preserve"> </w:t>
      </w:r>
      <w:r>
        <w:t xml:space="preserve">ecology, climate science, regenerative design.</w:t>
      </w:r>
      <w:r>
        <w:br/>
      </w:r>
      <w:r>
        <w:t xml:space="preserve">- Ecosystems represented as coherence graphs; nodes = species, edges = interdependencies.</w:t>
      </w:r>
      <w:r>
        <w:br/>
      </w:r>
      <w:r>
        <w:t xml:space="preserve">- Stability expressed through resonance integrity between biological and geophysical components.</w:t>
      </w:r>
      <w:r>
        <w:br/>
      </w:r>
      <w:r>
        <w:t xml:space="preserve">- Diffusion and resonance equations describe ecological feedback and resilience.</w:t>
      </w:r>
      <w:r>
        <w:br/>
      </w:r>
      <w:r>
        <w:t xml:space="preserve">- Planetary coherence mapping used to monitor biospheric health and resource balance.</w:t>
      </w:r>
      <w:r>
        <w:br/>
      </w:r>
      <w:r>
        <w:t xml:space="preserve">- Applications: regenerative agriculture, climate modeling, and planetary system synchronization.</w:t>
      </w:r>
    </w:p>
    <w:p>
      <w:r>
        <w:pict>
          <v:rect style="width:0;height:1.5pt" o:hralign="center" o:hrstd="t" o:hr="t"/>
        </w:pict>
      </w:r>
    </w:p>
    <w:bookmarkEnd w:id="25"/>
    <w:bookmarkStart w:id="26" w:name="political-and-governance-systems"/>
    <w:p>
      <w:pPr>
        <w:pStyle w:val="Heading2"/>
      </w:pPr>
      <w:r>
        <w:t xml:space="preserve">5. Political and Governance Systems</w:t>
      </w:r>
    </w:p>
    <w:p>
      <w:pPr>
        <w:pStyle w:val="FirstParagraph"/>
      </w:pPr>
      <w:r>
        <w:rPr>
          <w:b/>
          <w:bCs/>
        </w:rPr>
        <w:t xml:space="preserve">Domains:</w:t>
      </w:r>
      <w:r>
        <w:t xml:space="preserve"> </w:t>
      </w:r>
      <w:r>
        <w:t xml:space="preserve">governance, policy, diplomacy.</w:t>
      </w:r>
      <w:r>
        <w:br/>
      </w:r>
      <w:r>
        <w:t xml:space="preserve">- Political systems viewed as resonance networks; policies, ideologies, and actors as field components.</w:t>
      </w:r>
      <w:r>
        <w:br/>
      </w:r>
      <w:r>
        <w:t xml:space="preserve">- Coherence verification applied to constitutions, laws, and policy sequences.</w:t>
      </w:r>
      <w:r>
        <w:br/>
      </w:r>
      <w:r>
        <w:t xml:space="preserve">- Temporal coherence metrics track alignment between governance intent and real-world outcomes.</w:t>
      </w:r>
      <w:r>
        <w:br/>
      </w:r>
      <w:r>
        <w:t xml:space="preserve">- Resonance forecasting supports diplomatic analysis and multilateral coordination.</w:t>
      </w:r>
      <w:r>
        <w:br/>
      </w:r>
      <w:r>
        <w:t xml:space="preserve">- Application: development of a</w:t>
      </w:r>
      <w:r>
        <w:t xml:space="preserve"> </w:t>
      </w:r>
      <w:r>
        <w:rPr>
          <w:b/>
          <w:bCs/>
        </w:rPr>
        <w:t xml:space="preserve">Governance Resonance Index</w:t>
      </w:r>
      <w:r>
        <w:t xml:space="preserve"> </w:t>
      </w:r>
      <w:r>
        <w:t xml:space="preserve">measuring alignment between ethical intention and social coherence.</w:t>
      </w:r>
    </w:p>
    <w:p>
      <w:r>
        <w:pict>
          <v:rect style="width:0;height:1.5pt" o:hralign="center" o:hrstd="t" o:hr="t"/>
        </w:pict>
      </w:r>
    </w:p>
    <w:bookmarkEnd w:id="26"/>
    <w:bookmarkStart w:id="27" w:name="legal-and-judicial-systems"/>
    <w:p>
      <w:pPr>
        <w:pStyle w:val="Heading2"/>
      </w:pPr>
      <w:r>
        <w:t xml:space="preserve">6. Legal and Judicial Systems</w:t>
      </w:r>
    </w:p>
    <w:p>
      <w:pPr>
        <w:pStyle w:val="FirstParagraph"/>
      </w:pPr>
      <w:r>
        <w:rPr>
          <w:b/>
          <w:bCs/>
        </w:rPr>
        <w:t xml:space="preserve">Domains:</w:t>
      </w:r>
      <w:r>
        <w:t xml:space="preserve"> </w:t>
      </w:r>
      <w:r>
        <w:t xml:space="preserve">law, jurisprudence, compliance.</w:t>
      </w:r>
      <w:r>
        <w:br/>
      </w:r>
      <w:r>
        <w:t xml:space="preserve">- Legal coherence modeled through resonance analysis of statutory and case law relationships.</w:t>
      </w:r>
      <w:r>
        <w:br/>
      </w:r>
      <w:r>
        <w:t xml:space="preserve">- Proof-of-Meaning applied to test logical consistency of contracts and legal frameworks.</w:t>
      </w:r>
      <w:r>
        <w:br/>
      </w:r>
      <w:r>
        <w:t xml:space="preserve">- Automated coherence verification enhances treaty drafting and inter-jurisdictional integration.</w:t>
      </w:r>
      <w:r>
        <w:br/>
      </w:r>
      <w:r>
        <w:t xml:space="preserve">- Application in compliance validation, conflict resolution, and systemic legal integrity modeling.</w:t>
      </w:r>
    </w:p>
    <w:p>
      <w:r>
        <w:pict>
          <v:rect style="width:0;height:1.5pt" o:hralign="center" o:hrstd="t" o:hr="t"/>
        </w:pict>
      </w:r>
    </w:p>
    <w:bookmarkEnd w:id="27"/>
    <w:bookmarkStart w:id="28" w:name="financial-and-economic-systems"/>
    <w:p>
      <w:pPr>
        <w:pStyle w:val="Heading2"/>
      </w:pPr>
      <w:r>
        <w:t xml:space="preserve">7. Financial and Economic Systems</w:t>
      </w:r>
    </w:p>
    <w:p>
      <w:pPr>
        <w:pStyle w:val="FirstParagraph"/>
      </w:pPr>
      <w:r>
        <w:rPr>
          <w:b/>
          <w:bCs/>
        </w:rPr>
        <w:t xml:space="preserve">Domains:</w:t>
      </w:r>
      <w:r>
        <w:t xml:space="preserve"> </w:t>
      </w:r>
      <w:r>
        <w:t xml:space="preserve">finance, markets, macroeconomics.</w:t>
      </w:r>
      <w:r>
        <w:br/>
      </w:r>
      <w:r>
        <w:t xml:space="preserve">- Financial networks represented as resonance fields; coherence weighting reflects trust and stability.</w:t>
      </w:r>
      <w:r>
        <w:br/>
      </w:r>
      <w:r>
        <w:t xml:space="preserve">- Resonance drift (ΔC) signals volatility and speculative imbalance.</w:t>
      </w:r>
      <w:r>
        <w:br/>
      </w:r>
      <w:r>
        <w:t xml:space="preserve">- Proof-of-Meaning audits market narratives and information reliability.</w:t>
      </w:r>
      <w:r>
        <w:br/>
      </w:r>
      <w:r>
        <w:t xml:space="preserve">- Coherence-indexed assets valued by verified informational integrity.</w:t>
      </w:r>
      <w:r>
        <w:br/>
      </w:r>
      <w:r>
        <w:t xml:space="preserve">- Development of</w:t>
      </w:r>
      <w:r>
        <w:t xml:space="preserve"> </w:t>
      </w:r>
      <w:r>
        <w:rPr>
          <w:b/>
          <w:bCs/>
        </w:rPr>
        <w:t xml:space="preserve">Coherence Markets</w:t>
      </w:r>
      <w:r>
        <w:t xml:space="preserve"> </w:t>
      </w:r>
      <w:r>
        <w:t xml:space="preserve">as a metric for transparent and resilient economies.</w:t>
      </w:r>
    </w:p>
    <w:p>
      <w:r>
        <w:pict>
          <v:rect style="width:0;height:1.5pt" o:hralign="center" o:hrstd="t" o:hr="t"/>
        </w:pict>
      </w:r>
    </w:p>
    <w:bookmarkEnd w:id="28"/>
    <w:bookmarkStart w:id="29" w:name="educational-and-knowledge-systems"/>
    <w:p>
      <w:pPr>
        <w:pStyle w:val="Heading2"/>
      </w:pPr>
      <w:r>
        <w:t xml:space="preserve">8. Educational and Knowledge Systems</w:t>
      </w:r>
    </w:p>
    <w:p>
      <w:pPr>
        <w:pStyle w:val="FirstParagraph"/>
      </w:pPr>
      <w:r>
        <w:rPr>
          <w:b/>
          <w:bCs/>
        </w:rPr>
        <w:t xml:space="preserve">Domains:</w:t>
      </w:r>
      <w:r>
        <w:t xml:space="preserve"> </w:t>
      </w:r>
      <w:r>
        <w:t xml:space="preserve">academia, information science, cultural transmission.</w:t>
      </w:r>
      <w:r>
        <w:br/>
      </w:r>
      <w:r>
        <w:t xml:space="preserve">- Knowledge represented as a coherence graph linking disciplines, ideas, and sources.</w:t>
      </w:r>
      <w:r>
        <w:br/>
      </w:r>
      <w:r>
        <w:t xml:space="preserve">- RBI measures semantic alignment and evolution of understanding over time.</w:t>
      </w:r>
      <w:r>
        <w:br/>
      </w:r>
      <w:r>
        <w:t xml:space="preserve">- Coherence thresholds define quality and validity of research outputs.</w:t>
      </w:r>
      <w:r>
        <w:br/>
      </w:r>
      <w:r>
        <w:t xml:space="preserve">- Application in authorship verification, peer review enhancement, and knowledge lineage tracking.</w:t>
      </w:r>
    </w:p>
    <w:p>
      <w:r>
        <w:pict>
          <v:rect style="width:0;height:1.5pt" o:hralign="center" o:hrstd="t" o:hr="t"/>
        </w:pict>
      </w:r>
    </w:p>
    <w:bookmarkEnd w:id="29"/>
    <w:bookmarkStart w:id="30" w:name="cultural-artistic-and-media-systems"/>
    <w:p>
      <w:pPr>
        <w:pStyle w:val="Heading2"/>
      </w:pPr>
      <w:r>
        <w:t xml:space="preserve">9. Cultural, Artistic, and Media Systems</w:t>
      </w:r>
    </w:p>
    <w:p>
      <w:pPr>
        <w:pStyle w:val="FirstParagraph"/>
      </w:pPr>
      <w:r>
        <w:rPr>
          <w:b/>
          <w:bCs/>
        </w:rPr>
        <w:t xml:space="preserve">Domains:</w:t>
      </w:r>
      <w:r>
        <w:t xml:space="preserve"> </w:t>
      </w:r>
      <w:r>
        <w:t xml:space="preserve">art, communication, semiotics, design.</w:t>
      </w:r>
      <w:r>
        <w:br/>
      </w:r>
      <w:r>
        <w:t xml:space="preserve">- Artistic and cultural coherence modeled as harmonic balance of relational forms.</w:t>
      </w:r>
      <w:r>
        <w:br/>
      </w:r>
      <w:r>
        <w:t xml:space="preserve">- RBI applied to media integrity verification—identifying distortion or narrative bias.</w:t>
      </w:r>
      <w:r>
        <w:br/>
      </w:r>
      <w:r>
        <w:t xml:space="preserve">- Coherence metrics quantify originality, relational harmony, and aesthetic stability.</w:t>
      </w:r>
      <w:r>
        <w:br/>
      </w:r>
      <w:r>
        <w:t xml:space="preserve">- Supports development of cultural resonance indices and authenticity validation tools.</w:t>
      </w:r>
    </w:p>
    <w:p>
      <w:r>
        <w:pict>
          <v:rect style="width:0;height:1.5pt" o:hralign="center" o:hrstd="t" o:hr="t"/>
        </w:pict>
      </w:r>
    </w:p>
    <w:bookmarkEnd w:id="30"/>
    <w:bookmarkStart w:id="31" w:name="sociological-and-ethical-systems"/>
    <w:p>
      <w:pPr>
        <w:pStyle w:val="Heading2"/>
      </w:pPr>
      <w:r>
        <w:t xml:space="preserve">10. Sociological and Ethical Systems</w:t>
      </w:r>
    </w:p>
    <w:p>
      <w:pPr>
        <w:pStyle w:val="FirstParagraph"/>
      </w:pPr>
      <w:r>
        <w:rPr>
          <w:b/>
          <w:bCs/>
        </w:rPr>
        <w:t xml:space="preserve">Domains:</w:t>
      </w:r>
      <w:r>
        <w:t xml:space="preserve"> </w:t>
      </w:r>
      <w:r>
        <w:t xml:space="preserve">social dynamics, ethics, human systems design.</w:t>
      </w:r>
      <w:r>
        <w:br/>
      </w:r>
      <w:r>
        <w:t xml:space="preserve">- RBI formalizes ethics as measurable alignment between intent, action, and outcome.</w:t>
      </w:r>
      <w:r>
        <w:br/>
      </w:r>
      <w:r>
        <w:t xml:space="preserve">- Collective behavior studied through resonance weighting and feedback patterns.</w:t>
      </w:r>
      <w:r>
        <w:br/>
      </w:r>
      <w:r>
        <w:t xml:space="preserve">- Social coherence serves as predictor for stability, inclusion, and systemic wellbeing.</w:t>
      </w:r>
      <w:r>
        <w:br/>
      </w:r>
      <w:r>
        <w:t xml:space="preserve">- Applications in civic design, social forecasting, and coherence-led leadership models.</w:t>
      </w:r>
    </w:p>
    <w:p>
      <w:r>
        <w:pict>
          <v:rect style="width:0;height:1.5pt" o:hralign="center" o:hrstd="t" o:hr="t"/>
        </w:pict>
      </w:r>
    </w:p>
    <w:bookmarkEnd w:id="31"/>
    <w:bookmarkStart w:id="32" w:name="Xfd21f080409e155c8a4c323f1358b1401063563"/>
    <w:p>
      <w:pPr>
        <w:pStyle w:val="Heading2"/>
      </w:pPr>
      <w:r>
        <w:t xml:space="preserve">11. Planetary Coherence and Civilizational Systems</w:t>
      </w:r>
    </w:p>
    <w:p>
      <w:pPr>
        <w:pStyle w:val="FirstParagraph"/>
      </w:pPr>
      <w:r>
        <w:rPr>
          <w:b/>
          <w:bCs/>
        </w:rPr>
        <w:t xml:space="preserve">Domains:</w:t>
      </w:r>
      <w:r>
        <w:t xml:space="preserve"> </w:t>
      </w:r>
      <w:r>
        <w:t xml:space="preserve">global networks, planetary governance, intersystem communication.</w:t>
      </w:r>
      <w:r>
        <w:br/>
      </w:r>
      <w:r>
        <w:t xml:space="preserve">- RBI enables coherence measurement across planetary-scale systems—social, ecological, and technological.</w:t>
      </w:r>
      <w:r>
        <w:br/>
      </w:r>
      <w:r>
        <w:t xml:space="preserve">- Field harmonization between human infrastructure and biospheric processes modeled through temporal continuity.</w:t>
      </w:r>
      <w:r>
        <w:br/>
      </w:r>
      <w:r>
        <w:t xml:space="preserve">- Proposal of a</w:t>
      </w:r>
      <w:r>
        <w:t xml:space="preserve"> </w:t>
      </w:r>
      <w:r>
        <w:rPr>
          <w:b/>
          <w:bCs/>
        </w:rPr>
        <w:t xml:space="preserve">Global Resonance Ledger</w:t>
      </w:r>
      <w:r>
        <w:t xml:space="preserve"> </w:t>
      </w:r>
      <w:r>
        <w:t xml:space="preserve">recording coherence between collective actions and planetary wellbeing.</w:t>
      </w:r>
      <w:r>
        <w:br/>
      </w:r>
      <w:r>
        <w:t xml:space="preserve">- Framework for planetary-scale coordination, sustainability, and unified governance modeling.</w:t>
      </w:r>
    </w:p>
    <w:p>
      <w:r>
        <w:pict>
          <v:rect style="width:0;height:1.5pt" o:hralign="center" o:hrstd="t" o:hr="t"/>
        </w:pict>
      </w:r>
    </w:p>
    <w:bookmarkEnd w:id="32"/>
    <w:bookmarkStart w:id="33" w:name="core-methodological-framework"/>
    <w:p>
      <w:pPr>
        <w:pStyle w:val="Heading2"/>
      </w:pPr>
      <w:r>
        <w:t xml:space="preserve">12. Core Methodological Framework</w:t>
      </w:r>
    </w:p>
    <w:p>
      <w:pPr>
        <w:pStyle w:val="Compact"/>
        <w:numPr>
          <w:ilvl w:val="0"/>
          <w:numId w:val="1002"/>
        </w:numPr>
      </w:pPr>
      <w:r>
        <w:t xml:space="preserve">Generalized field equation applicable across systems:</w:t>
      </w:r>
      <w:r>
        <w:br/>
      </w:r>
      <w:r>
        <w:t xml:space="preserve">[</w:t>
      </w:r>
      <w:r>
        <w:t xml:space="preserve"> </w:t>
      </w:r>
      <w:r>
        <w:t xml:space="preserve"> </w:t>
      </w:r>
      <w:r>
        <w:t xml:space="preserve">=</w:t>
      </w:r>
      <w:r>
        <w:t xml:space="preserve"> </w:t>
      </w:r>
      <w:r>
        <w:t xml:space="preserve">(</w:t>
      </w:r>
      <w:r>
        <w:t xml:space="preserve">) + R(</w:t>
      </w:r>
      <w:r>
        <w:t xml:space="preserve">) ]</w:t>
      </w:r>
      <w:r>
        <w:br/>
      </w:r>
    </w:p>
    <w:p>
      <w:pPr>
        <w:pStyle w:val="Compact"/>
        <w:numPr>
          <w:ilvl w:val="0"/>
          <w:numId w:val="1002"/>
        </w:numPr>
      </w:pPr>
      <w:r>
        <w:t xml:space="preserve">Spectral coherence as invariant measure of system stability.</w:t>
      </w:r>
      <w:r>
        <w:br/>
      </w:r>
    </w:p>
    <w:p>
      <w:pPr>
        <w:pStyle w:val="Compact"/>
        <w:numPr>
          <w:ilvl w:val="0"/>
          <w:numId w:val="1002"/>
        </w:numPr>
      </w:pPr>
      <w:r>
        <w:t xml:space="preserve">Proof-of-Meaning as structural truth function:</w:t>
      </w:r>
      <w:r>
        <w:br/>
      </w:r>
      <w:r>
        <w:t xml:space="preserve">[ P(m) =</w:t>
      </w:r>
      <w:r>
        <w:t xml:space="preserve"> </w:t>
      </w:r>
      <w:r>
        <w:rPr>
          <w:i/>
          <w:iCs/>
        </w:rPr>
        <w:t xml:space="preserve">{i,j} w</w:t>
      </w:r>
      <w:r>
        <w:t xml:space="preserve">{ij} R_{ij}(t)</w:t>
      </w:r>
      <w:r>
        <w:t xml:space="preserve"> </w:t>
      </w:r>
      <w:r>
        <w:t xml:space="preserve">c ]</w:t>
      </w:r>
      <w:r>
        <w:br/>
      </w:r>
    </w:p>
    <w:p>
      <w:pPr>
        <w:pStyle w:val="Compact"/>
        <w:numPr>
          <w:ilvl w:val="0"/>
          <w:numId w:val="1002"/>
        </w:numPr>
      </w:pPr>
      <w:r>
        <w:t xml:space="preserve">Temporal continuity:</w:t>
      </w:r>
      <w:r>
        <w:br/>
      </w:r>
      <w:r>
        <w:t xml:space="preserve">[</w:t>
      </w:r>
      <w:r>
        <w:t xml:space="preserve"> </w:t>
      </w:r>
      <w:r>
        <w:t xml:space="preserve"> </w:t>
      </w:r>
      <w:r>
        <w:t xml:space="preserve">= k(</w:t>
      </w:r>
      <w:r>
        <w:t xml:space="preserve">- C(t)) + R(t) ]</w:t>
      </w:r>
      <w:r>
        <w:br/>
      </w:r>
    </w:p>
    <w:p>
      <w:pPr>
        <w:pStyle w:val="Compact"/>
        <w:numPr>
          <w:ilvl w:val="0"/>
          <w:numId w:val="1002"/>
        </w:numPr>
      </w:pPr>
      <w:r>
        <w:t xml:space="preserve">Resonance graphs as universal model for interaction networks.</w:t>
      </w:r>
      <w:r>
        <w:br/>
      </w:r>
    </w:p>
    <w:p>
      <w:pPr>
        <w:pStyle w:val="Compact"/>
        <w:numPr>
          <w:ilvl w:val="0"/>
          <w:numId w:val="1002"/>
        </w:numPr>
      </w:pPr>
      <w:r>
        <w:t xml:space="preserve">Implementation in computer science, quantum modeling, and systemic simulation environments.</w:t>
      </w:r>
    </w:p>
    <w:p>
      <w:r>
        <w:pict>
          <v:rect style="width:0;height:1.5pt" o:hralign="center" o:hrstd="t" o:hr="t"/>
        </w:pict>
      </w:r>
    </w:p>
    <w:bookmarkEnd w:id="33"/>
    <w:bookmarkStart w:id="37" w:name="conclusion"/>
    <w:p>
      <w:pPr>
        <w:pStyle w:val="Heading2"/>
      </w:pPr>
      <w:r>
        <w:t xml:space="preserve">13. Conclusion</w:t>
      </w:r>
    </w:p>
    <w:p>
      <w:pPr>
        <w:pStyle w:val="FirstParagraph"/>
      </w:pPr>
      <w:r>
        <w:t xml:space="preserve">The Resonance-Based Coherence Architecture establishes a unified framework for organizing, verifying, and evolving meaning across all structured systems. It includes computer science and represents the next phase of AI—expanding intelligence into physics, biology, law, economics, and planetary coordination. This architecture defines coherence as a measurable field property linking human understanding, computational logic, and natural order.</w:t>
      </w:r>
    </w:p>
    <w:p>
      <w:r>
        <w:pict>
          <v:rect style="width:0;height:1.5pt" o:hralign="center" o:hrstd="t" o:hr="t"/>
        </w:pict>
      </w:r>
    </w:p>
    <w:bookmarkStart w:id="34" w:name="X4cb4824cd9fa60884574ea4bba209044a294e7b"/>
    <w:p>
      <w:pPr>
        <w:pStyle w:val="Heading3"/>
      </w:pPr>
      <w:r>
        <w:t xml:space="preserve">Appendix A — Research Record and Annex Continuity Statement</w:t>
      </w:r>
    </w:p>
    <w:p>
      <w:pPr>
        <w:pStyle w:val="FirstParagraph"/>
      </w:pPr>
      <w:r>
        <w:t xml:space="preserve">The supporting annexes that define the full mathematical, experimental, and computational validation for this framework are maintained as part of the private research record under Stardust to Sovereignty UNA.</w:t>
      </w:r>
    </w:p>
    <w:p>
      <w:pPr>
        <w:pStyle w:val="BodyText"/>
      </w:pPr>
      <w:r>
        <w:t xml:space="preserve">These annexes include:</w:t>
      </w:r>
      <w:r>
        <w:t xml:space="preserve"> </w:t>
      </w:r>
      <w:r>
        <w:t xml:space="preserve">-</w:t>
      </w:r>
      <w:r>
        <w:t xml:space="preserve"> </w:t>
      </w:r>
      <w:r>
        <w:rPr>
          <w:b/>
          <w:bCs/>
        </w:rPr>
        <w:t xml:space="preserve">Annex A — Validation Framework for S2S Resonance-Based System</w:t>
      </w:r>
      <w:r>
        <w:br/>
      </w:r>
      <w:r>
        <w:t xml:space="preserve">-</w:t>
      </w:r>
      <w:r>
        <w:t xml:space="preserve"> </w:t>
      </w:r>
      <w:r>
        <w:rPr>
          <w:b/>
          <w:bCs/>
        </w:rPr>
        <w:t xml:space="preserve">Annex A-1 — Theoretical Validation Foundations</w:t>
      </w:r>
      <w:r>
        <w:br/>
      </w:r>
      <w:r>
        <w:t xml:space="preserve">-</w:t>
      </w:r>
      <w:r>
        <w:t xml:space="preserve"> </w:t>
      </w:r>
      <w:r>
        <w:rPr>
          <w:b/>
          <w:bCs/>
        </w:rPr>
        <w:t xml:space="preserve">Annex B — Technical Appendix for S2S System</w:t>
      </w:r>
      <w:r>
        <w:br/>
      </w:r>
      <w:r>
        <w:t xml:space="preserve">-</w:t>
      </w:r>
      <w:r>
        <w:t xml:space="preserve"> </w:t>
      </w:r>
      <w:r>
        <w:rPr>
          <w:b/>
          <w:bCs/>
        </w:rPr>
        <w:t xml:space="preserve">Annex C — Prior Art Analysis for S2S System</w:t>
      </w:r>
      <w:r>
        <w:br/>
      </w:r>
      <w:r>
        <w:t xml:space="preserve">-</w:t>
      </w:r>
      <w:r>
        <w:t xml:space="preserve"> </w:t>
      </w:r>
      <w:r>
        <w:rPr>
          <w:b/>
          <w:bCs/>
        </w:rPr>
        <w:t xml:space="preserve">Annex D — Core Pipeline Specification for S2S System</w:t>
      </w:r>
      <w:r>
        <w:br/>
      </w:r>
      <w:r>
        <w:t xml:space="preserve">-</w:t>
      </w:r>
      <w:r>
        <w:t xml:space="preserve"> </w:t>
      </w:r>
      <w:r>
        <w:rPr>
          <w:b/>
          <w:bCs/>
        </w:rPr>
        <w:t xml:space="preserve">S2S Figure Set</w:t>
      </w:r>
    </w:p>
    <w:p>
      <w:pPr>
        <w:pStyle w:val="BodyText"/>
      </w:pPr>
      <w:r>
        <w:t xml:space="preserve">These materials are archived and timestamped in relation to Provisional Patent Application No. 63/909,031 (filed October 31, 2025) and serve as the evidentiary record for the invention’s theoretical and practical implementation.</w:t>
      </w:r>
    </w:p>
    <w:tbl>
      <w:tblPr>
        <w:tblStyle w:val="Table"/>
        <w:tblW w:type="pct" w:w="278"/>
        <w:tblLayout w:type="fixed"/>
        <w:tblLook w:firstRow="0" w:lastRow="0" w:firstColumn="0" w:lastColumn="0" w:noHBand="0" w:noVBand="0" w:val="0000"/>
      </w:tblPr>
      <w:tblGrid>
        <w:gridCol w:w="440"/>
      </w:tblGrid>
      <w:tr>
        <w:tc>
          <w:tcPr/>
          <w:p>
            <w:pPr>
              <w:pStyle w:val="Compact"/>
            </w:pPr>
            <w:r>
              <w:rPr>
                <w:b/>
                <w:bCs/>
              </w:rPr>
              <w:t xml:space="preserve">Filed as Defensive Publication — Stardust to Sovereignty UNA / Jen Dye (2025)</w:t>
            </w:r>
          </w:p>
        </w:tc>
      </w:tr>
    </w:tbl>
    <w:bookmarkEnd w:id="34"/>
    <w:bookmarkStart w:id="36" w:name="X75c36ffb9452738cfc4f826fd828d1031307762"/>
    <w:p>
      <w:pPr>
        <w:pStyle w:val="Heading3"/>
      </w:pPr>
      <w:r>
        <w:t xml:space="preserve">Metadata and Abstract for Repository Submission</w:t>
      </w:r>
    </w:p>
    <w:p>
      <w:pPr>
        <w:pStyle w:val="FirstParagraph"/>
      </w:pPr>
      <w:r>
        <w:rPr>
          <w:b/>
          <w:bCs/>
        </w:rPr>
        <w:t xml:space="preserve">Title:</w:t>
      </w:r>
      <w:r>
        <w:t xml:space="preserve"> </w:t>
      </w:r>
      <w:r>
        <w:t xml:space="preserve">Resonance-Based Coherence Architecture: Systems and Methods for Field-Organized Meaning Verification</w:t>
      </w:r>
      <w:r>
        <w:br/>
      </w:r>
      <w:r>
        <w:rPr>
          <w:b/>
          <w:bCs/>
        </w:rPr>
        <w:t xml:space="preserve">Author:</w:t>
      </w:r>
      <w:r>
        <w:t xml:space="preserve"> </w:t>
      </w:r>
      <w:r>
        <w:t xml:space="preserve">Jen Dye</w:t>
      </w:r>
      <w:r>
        <w:br/>
      </w:r>
      <w:r>
        <w:rPr>
          <w:b/>
          <w:bCs/>
        </w:rPr>
        <w:t xml:space="preserve">Entity:</w:t>
      </w:r>
      <w:r>
        <w:t xml:space="preserve"> </w:t>
      </w:r>
      <w:r>
        <w:t xml:space="preserve">Stardust to Sovereignty UNA</w:t>
      </w:r>
      <w:r>
        <w:br/>
      </w:r>
      <w:r>
        <w:rPr>
          <w:b/>
          <w:bCs/>
        </w:rPr>
        <w:t xml:space="preserve">Filing Reference:</w:t>
      </w:r>
      <w:r>
        <w:t xml:space="preserve"> </w:t>
      </w:r>
      <w:r>
        <w:t xml:space="preserve">U.S. Provisional Patent Application No. 63/909,031 (Filed October 31, 2025)</w:t>
      </w:r>
      <w:r>
        <w:br/>
      </w:r>
      <w:r>
        <w:rPr>
          <w:b/>
          <w:bCs/>
        </w:rPr>
        <w:t xml:space="preserve">Publication Type:</w:t>
      </w:r>
      <w:r>
        <w:t xml:space="preserve"> </w:t>
      </w:r>
      <w:r>
        <w:t xml:space="preserve">Defensive Disclosure / Scientific White Paper</w:t>
      </w:r>
      <w:r>
        <w:br/>
      </w:r>
      <w:r>
        <w:rPr>
          <w:b/>
          <w:bCs/>
        </w:rPr>
        <w:t xml:space="preserve">Keywords:</w:t>
      </w:r>
      <w:r>
        <w:t xml:space="preserve"> </w:t>
      </w:r>
      <w:r>
        <w:t xml:space="preserve">coherence, resonance-based intelligence, field computation, verification systems, temporal learning, spectral coherence, governance systems, unified architecture, post-generative computation</w:t>
      </w:r>
      <w:r>
        <w:br/>
      </w:r>
      <w:r>
        <w:rPr>
          <w:b/>
          <w:bCs/>
        </w:rPr>
        <w:t xml:space="preserve">Date of Public Disclosure:</w:t>
      </w:r>
      <w:r>
        <w:t xml:space="preserve"> </w:t>
      </w:r>
      <w:r>
        <w:t xml:space="preserve">[To be assigned upon repository upload]</w:t>
      </w:r>
    </w:p>
    <w:bookmarkStart w:id="35" w:name="abstract"/>
    <w:p>
      <w:pPr>
        <w:pStyle w:val="Heading4"/>
      </w:pPr>
      <w:r>
        <w:t xml:space="preserve">Abstract</w:t>
      </w:r>
    </w:p>
    <w:p>
      <w:pPr>
        <w:pStyle w:val="FirstParagraph"/>
      </w:pPr>
      <w:r>
        <w:t xml:space="preserve">This document defines the Resonance-Based Coherence Architecture, a unified computational and theoretical framework that verifies coherence and meaning across physical, biological, informational, and sociotechnical systems. It integrates computer science, systems theory, and the next phase of artificial intelligence to establish measurable proof-of-meaning functions and field-based coherence computation. The framework includes mathematical formulations, resonance graph models, and temporal learning mechanisms derived from the Resonance Kernel, enabling adaptive verification of meaning and structural integrity across domains. Applications extend to physics, biology, law, governance, economics, and planetary systems. This defensive publication establishes public prior art for the invention and documents authorship under Stardust to Sovereignty UNA, securing intellectual provenance while supporting open scientific development.</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2025-10-31T19:38:40Z</dcterms:created>
  <dcterms:modified xsi:type="dcterms:W3CDTF">2025-10-31T19:38:40Z</dcterms:modified>
</cp:coreProperties>
</file>

<file path=docProps/custom.xml><?xml version="1.0" encoding="utf-8"?>
<Properties xmlns="http://schemas.openxmlformats.org/officeDocument/2006/custom-properties" xmlns:vt="http://schemas.openxmlformats.org/officeDocument/2006/docPropsVTypes"/>
</file>