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7479d8462fc7519c085de3ae13f3276bf43842"/>
    <w:p>
      <w:pPr>
        <w:pStyle w:val="Heading2"/>
      </w:pPr>
      <w:r>
        <w:t xml:space="preserve">Resonance Kernel – Test Specification Addendum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Supplementary Technical Directive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Jen Dye / Stardust to Sovereignty UNA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Define explicit test parameters, data inputs, and success metrics for early-stage simulation of the Resonance Kernel.</w:t>
      </w:r>
      <w:r>
        <w:br/>
      </w:r>
      <w:r>
        <w:rPr>
          <w:b/>
          <w:bCs/>
        </w:rPr>
        <w:t xml:space="preserve">Companion Documents:</w:t>
      </w:r>
      <w:r>
        <w:t xml:space="preserve"> </w:t>
      </w:r>
      <w:r>
        <w:t xml:space="preserve">Technical Specification Dossier, Validation &amp; Theoretical Foundations Report, Developer Brief (Experimental Simulation Protocols).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1. Objective</w:t>
      </w:r>
    </w:p>
    <w:p>
      <w:pPr>
        <w:pStyle w:val="FirstParagraph"/>
      </w:pPr>
      <w:r>
        <w:t xml:space="preserve">Provide clear, reproducible test cases for verifying the mathematical and functional behavior of the Resonance Kernel.</w:t>
      </w:r>
      <w:r>
        <w:br/>
      </w:r>
      <w:r>
        <w:t xml:space="preserve">Each test validates one or more aspects of resonance coherence: stability, proof-of-meaning, temporal recovery, and field propagation.</w:t>
      </w:r>
    </w:p>
    <w:p>
      <w:r>
        <w:pict>
          <v:rect style="width:0;height:1.5pt" o:hralign="center" o:hrstd="t" o:hr="t"/>
        </w:pict>
      </w:r>
    </w:p>
    <w:bookmarkEnd w:id="20"/>
    <w:bookmarkStart w:id="21" w:name="simulation-environment"/>
    <w:p>
      <w:pPr>
        <w:pStyle w:val="Heading3"/>
      </w:pPr>
      <w:r>
        <w:t xml:space="preserve">2. Simulation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Python (NumPy, SciPy, NetworkX) or Julia.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Synthetic relational graphs (1,000–10,000 nodes).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Local or cloud computational notebook (Jupyter or VSCode).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Libraries:</w:t>
      </w:r>
      <w:r>
        <w:t xml:space="preserve"> </w:t>
      </w:r>
      <w:r>
        <w:t xml:space="preserve">Graph analytics, eigenvalue solvers, differential equation solvers, visualization (Matplotlib or Plotly).</w:t>
      </w:r>
    </w:p>
    <w:p>
      <w:r>
        <w:pict>
          <v:rect style="width:0;height:1.5pt" o:hralign="center" o:hrstd="t" o:hr="t"/>
        </w:pict>
      </w:r>
    </w:p>
    <w:bookmarkEnd w:id="21"/>
    <w:bookmarkStart w:id="26" w:name="core-tests"/>
    <w:p>
      <w:pPr>
        <w:pStyle w:val="Heading3"/>
      </w:pPr>
      <w:r>
        <w:t xml:space="preserve">3. Core Tests</w:t>
      </w:r>
    </w:p>
    <w:bookmarkStart w:id="22" w:name="test-1-temporal-coherence-stability"/>
    <w:p>
      <w:pPr>
        <w:pStyle w:val="Heading4"/>
      </w:pPr>
      <w:r>
        <w:t xml:space="preserve">Test 1 — Temporal Coherence Stability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Confirm the system maintains steady coherence over time.</w:t>
      </w:r>
      <w:r>
        <w:br/>
      </w:r>
      <w:r>
        <w:rPr>
          <w:b/>
          <w:bCs/>
        </w:rPr>
        <w:t xml:space="preserve">Input:</w:t>
      </w:r>
      <w:r>
        <w:t xml:space="preserve"> </w:t>
      </w:r>
      <w:r>
        <w:t xml:space="preserve">1,000-node synthetic graph with randomly weighted edges.</w:t>
      </w:r>
      <w:r>
        <w:br/>
      </w:r>
      <w:r>
        <w:rPr>
          <w:b/>
          <w:bCs/>
        </w:rPr>
        <w:t xml:space="preserve">Procedure:</w:t>
      </w:r>
      <w:r>
        <w:br/>
      </w:r>
      <w:r>
        <w:t xml:space="preserve">1. Initialize baseline coherence ( C(0) = 1.0 ).</w:t>
      </w:r>
      <w:r>
        <w:br/>
      </w:r>
      <w:r>
        <w:t xml:space="preserve">2. Simulate 500 temporal cycles using the equation (</w:t>
      </w:r>
      <w:r>
        <w:t xml:space="preserve"> </w:t>
      </w:r>
      <w:r>
        <w:t xml:space="preserve"> </w:t>
      </w:r>
      <w:r>
        <w:t xml:space="preserve">= k(Φ - C(t)) + R(t) ).</w:t>
      </w:r>
      <w:r>
        <w:br/>
      </w:r>
      <w:r>
        <w:rPr>
          <w:b/>
          <w:bCs/>
        </w:rPr>
        <w:t xml:space="preserve">Expected Outcome:</w:t>
      </w:r>
      <w:r>
        <w:t xml:space="preserve"> </w:t>
      </w:r>
      <w:r>
        <w:t xml:space="preserve">Coherence remains within ±10% of baseline.</w:t>
      </w:r>
      <w:r>
        <w:br/>
      </w:r>
      <w:r>
        <w:rPr>
          <w:b/>
          <w:bCs/>
        </w:rPr>
        <w:t xml:space="preserve">Success Metric:</w:t>
      </w:r>
      <w:r>
        <w:t xml:space="preserve"> </w:t>
      </w:r>
      <w:r>
        <w:t xml:space="preserve">Coherence Retention Rate (CRR) ≥ 0.90.</w:t>
      </w:r>
    </w:p>
    <w:p>
      <w:r>
        <w:pict>
          <v:rect style="width:0;height:1.5pt" o:hralign="center" o:hrstd="t" o:hr="t"/>
        </w:pict>
      </w:r>
    </w:p>
    <w:bookmarkEnd w:id="22"/>
    <w:bookmarkStart w:id="23" w:name="test-2-resonance-drift-and-recovery"/>
    <w:p>
      <w:pPr>
        <w:pStyle w:val="Heading4"/>
      </w:pPr>
      <w:r>
        <w:t xml:space="preserve">Test 2 — Resonance Drift and Recovery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Measure how coherence responds to perturbation.</w:t>
      </w:r>
      <w:r>
        <w:br/>
      </w:r>
      <w:r>
        <w:rPr>
          <w:b/>
          <w:bCs/>
        </w:rPr>
        <w:t xml:space="preserve">Input:</w:t>
      </w:r>
      <w:r>
        <w:t xml:space="preserve"> </w:t>
      </w:r>
      <w:r>
        <w:t xml:space="preserve">5,000-node resonance graph.</w:t>
      </w:r>
      <w:r>
        <w:br/>
      </w:r>
      <w:r>
        <w:rPr>
          <w:b/>
          <w:bCs/>
        </w:rPr>
        <w:t xml:space="preserve">Procedure:</w:t>
      </w:r>
      <w:r>
        <w:br/>
      </w:r>
      <w:r>
        <w:t xml:space="preserve">1. Introduce 10% random noise to node weights.</w:t>
      </w:r>
      <w:r>
        <w:br/>
      </w:r>
      <w:r>
        <w:t xml:space="preserve">2. Measure drift (ΔC) and recovery rate across 10 iterations.</w:t>
      </w:r>
      <w:r>
        <w:br/>
      </w:r>
      <w:r>
        <w:rPr>
          <w:b/>
          <w:bCs/>
        </w:rPr>
        <w:t xml:space="preserve">Expected Outcome:</w:t>
      </w:r>
      <w:r>
        <w:t xml:space="preserve"> </w:t>
      </w:r>
      <w:r>
        <w:t xml:space="preserve">System re-establishes coherence within 3–5 cycles.</w:t>
      </w:r>
      <w:r>
        <w:br/>
      </w:r>
      <w:r>
        <w:rPr>
          <w:b/>
          <w:bCs/>
        </w:rPr>
        <w:t xml:space="preserve">Success Metric:</w:t>
      </w:r>
      <w:r>
        <w:t xml:space="preserve"> </w:t>
      </w:r>
      <w:r>
        <w:t xml:space="preserve">ΔC ≤ 0.05, Recovery ≥ 90%.</w:t>
      </w:r>
    </w:p>
    <w:p>
      <w:r>
        <w:pict>
          <v:rect style="width:0;height:1.5pt" o:hralign="center" o:hrstd="t" o:hr="t"/>
        </w:pict>
      </w:r>
    </w:p>
    <w:bookmarkEnd w:id="23"/>
    <w:bookmarkStart w:id="24" w:name="test-3-proof-of-meaning-verification"/>
    <w:p>
      <w:pPr>
        <w:pStyle w:val="Heading4"/>
      </w:pPr>
      <w:r>
        <w:t xml:space="preserve">Test 3 — Proof-of-Meaning Verification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that relational structures meet the coherence threshold.</w:t>
      </w:r>
      <w:r>
        <w:br/>
      </w:r>
      <w:r>
        <w:rPr>
          <w:b/>
          <w:bCs/>
        </w:rPr>
        <w:t xml:space="preserve">Input:</w:t>
      </w:r>
      <w:r>
        <w:t xml:space="preserve"> </w:t>
      </w:r>
      <w:r>
        <w:t xml:space="preserve">Weighted semantic or conceptual graph.</w:t>
      </w:r>
      <w:r>
        <w:br/>
      </w:r>
      <w:r>
        <w:rPr>
          <w:b/>
          <w:bCs/>
        </w:rPr>
        <w:t xml:space="preserve">Procedure:</w:t>
      </w:r>
      <w:r>
        <w:br/>
      </w:r>
      <w:r>
        <w:t xml:space="preserve">1. Compute proof-of-meaning ( P(m) =</w:t>
      </w:r>
      <w:r>
        <w:t xml:space="preserve"> </w:t>
      </w:r>
      <w:r>
        <w:t xml:space="preserve">w_{ij}R_{ij}(t) ≥ c ).</w:t>
      </w:r>
      <w:r>
        <w:br/>
      </w:r>
      <w:r>
        <w:t xml:space="preserve">2. Evaluate verification ratio across 1,000 samples.</w:t>
      </w:r>
      <w:r>
        <w:br/>
      </w:r>
      <w:r>
        <w:rPr>
          <w:b/>
          <w:bCs/>
        </w:rPr>
        <w:t xml:space="preserve">Expected Outcome:</w:t>
      </w:r>
      <w:r>
        <w:t xml:space="preserve"> </w:t>
      </w:r>
      <w:r>
        <w:t xml:space="preserve">At least 95% of structures exceed coherence threshold.</w:t>
      </w:r>
      <w:r>
        <w:br/>
      </w:r>
      <w:r>
        <w:rPr>
          <w:b/>
          <w:bCs/>
        </w:rPr>
        <w:t xml:space="preserve">Success Metric:</w:t>
      </w:r>
      <w:r>
        <w:t xml:space="preserve"> </w:t>
      </w:r>
      <w:r>
        <w:t xml:space="preserve">Proof-of-Meaning Accuracy ≥ 0.95.</w:t>
      </w:r>
    </w:p>
    <w:p>
      <w:r>
        <w:pict>
          <v:rect style="width:0;height:1.5pt" o:hralign="center" o:hrstd="t" o:hr="t"/>
        </w:pict>
      </w:r>
    </w:p>
    <w:bookmarkEnd w:id="24"/>
    <w:bookmarkStart w:id="25" w:name="test-4-resonance-field-propagation"/>
    <w:p>
      <w:pPr>
        <w:pStyle w:val="Heading4"/>
      </w:pPr>
      <w:r>
        <w:t xml:space="preserve">Test 4 — Resonance Field Propagation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Visualize and measure the diffusion of coherence through networks.</w:t>
      </w:r>
      <w:r>
        <w:br/>
      </w:r>
      <w:r>
        <w:rPr>
          <w:b/>
          <w:bCs/>
        </w:rPr>
        <w:t xml:space="preserve">Input:</w:t>
      </w:r>
      <w:r>
        <w:t xml:space="preserve"> </w:t>
      </w:r>
      <w:r>
        <w:t xml:space="preserve">Graph initialized with partial coherence field (Ψ).</w:t>
      </w:r>
      <w:r>
        <w:br/>
      </w:r>
      <w:r>
        <w:rPr>
          <w:b/>
          <w:bCs/>
        </w:rPr>
        <w:t xml:space="preserve">Procedure:</w:t>
      </w:r>
      <w:r>
        <w:br/>
      </w:r>
      <w:r>
        <w:t xml:space="preserve">1. Simulate propagation using (</w:t>
      </w:r>
      <w:r>
        <w:t xml:space="preserve"> </w:t>
      </w:r>
      <w:r>
        <w:t xml:space="preserve"> </w:t>
      </w:r>
      <w:r>
        <w:t xml:space="preserve">= ∇·(κ∇Ψ) + R(Ψ) ).</w:t>
      </w:r>
      <w:r>
        <w:br/>
      </w:r>
      <w:r>
        <w:t xml:space="preserve">2. Record diffusion rate and equilibrium time.</w:t>
      </w:r>
      <w:r>
        <w:br/>
      </w:r>
      <w:r>
        <w:rPr>
          <w:b/>
          <w:bCs/>
        </w:rPr>
        <w:t xml:space="preserve">Expected Outcome:</w:t>
      </w:r>
      <w:r>
        <w:t xml:space="preserve"> </w:t>
      </w:r>
      <w:r>
        <w:t xml:space="preserve">Stable equilibrium reached without runaway amplification.</w:t>
      </w:r>
      <w:r>
        <w:br/>
      </w:r>
      <w:r>
        <w:rPr>
          <w:b/>
          <w:bCs/>
        </w:rPr>
        <w:t xml:space="preserve">Success Metric:</w:t>
      </w:r>
      <w:r>
        <w:t xml:space="preserve"> </w:t>
      </w:r>
      <w:r>
        <w:t xml:space="preserve">Field Stability Index ≥ 0.85; Equilibrium Time &lt; 10 iterations.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porting-requirements"/>
    <w:p>
      <w:pPr>
        <w:pStyle w:val="Heading3"/>
      </w:pPr>
      <w:r>
        <w:t xml:space="preserve">4. Reporting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 Format:</w:t>
      </w:r>
      <w:r>
        <w:t xml:space="preserve"> </w:t>
      </w:r>
      <w:r>
        <w:t xml:space="preserve">JSON or CSV with timestamps, CRR, ΔC, and stability metrics.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 Deliverables:</w:t>
      </w:r>
    </w:p>
    <w:p>
      <w:pPr>
        <w:pStyle w:val="Compact"/>
        <w:numPr>
          <w:ilvl w:val="1"/>
          <w:numId w:val="1003"/>
        </w:numPr>
      </w:pPr>
      <w:r>
        <w:t xml:space="preserve">Temporal coherence plot (C vs. t)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Spectral distribution before and after noise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Heatmap of resonance propagation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Each test should produce a short log file describing parameters, runtime, and results.</w:t>
      </w:r>
    </w:p>
    <w:p>
      <w:r>
        <w:pict>
          <v:rect style="width:0;height:1.5pt" o:hralign="center" o:hrstd="t" o:hr="t"/>
        </w:pict>
      </w:r>
    </w:p>
    <w:bookmarkEnd w:id="27"/>
    <w:bookmarkStart w:id="28" w:name="evaluation-criteria"/>
    <w:p>
      <w:pPr>
        <w:pStyle w:val="Heading3"/>
      </w:pPr>
      <w:r>
        <w:t xml:space="preserve">5. Evaluation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CRR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t xml:space="preserve">0.85–1.00</w:t>
            </w:r>
          </w:p>
        </w:tc>
        <w:tc>
          <w:tcPr/>
          <w:p>
            <w:pPr>
              <w:pStyle w:val="Compact"/>
            </w:pPr>
            <w:r>
              <w:t xml:space="preserve">Temporal cycle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ΔC</w:t>
            </w:r>
          </w:p>
        </w:tc>
        <w:tc>
          <w:tcPr/>
          <w:p>
            <w:pPr>
              <w:pStyle w:val="Compact"/>
            </w:pPr>
            <w:r>
              <w:t xml:space="preserve">≤ 0.05</w:t>
            </w:r>
          </w:p>
        </w:tc>
        <w:tc>
          <w:tcPr/>
          <w:p>
            <w:pPr>
              <w:pStyle w:val="Compact"/>
            </w:pPr>
            <w:r>
              <w:t xml:space="preserve">0.00–0.08</w:t>
            </w:r>
          </w:p>
        </w:tc>
        <w:tc>
          <w:tcPr/>
          <w:p>
            <w:pPr>
              <w:pStyle w:val="Compact"/>
            </w:pPr>
            <w:r>
              <w:t xml:space="preserve">Noise perturbation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Rate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85–100%</w:t>
            </w:r>
          </w:p>
        </w:tc>
        <w:tc>
          <w:tcPr/>
          <w:p>
            <w:pPr>
              <w:pStyle w:val="Compact"/>
            </w:pPr>
            <w:r>
              <w:t xml:space="preserve">Post-noise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Proof-of-Meaning Accuracy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90–100%</w:t>
            </w:r>
          </w:p>
        </w:tc>
        <w:tc>
          <w:tcPr/>
          <w:p>
            <w:pPr>
              <w:pStyle w:val="Compact"/>
            </w:pPr>
            <w:r>
              <w:t xml:space="preserve">Verification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Stability Index</w:t>
            </w:r>
          </w:p>
        </w:tc>
        <w:tc>
          <w:tcPr/>
          <w:p>
            <w:pPr>
              <w:pStyle w:val="Compact"/>
            </w:pPr>
            <w:r>
              <w:t xml:space="preserve">≥ 0.85</w:t>
            </w:r>
          </w:p>
        </w:tc>
        <w:tc>
          <w:tcPr/>
          <w:p>
            <w:pPr>
              <w:pStyle w:val="Compact"/>
            </w:pPr>
            <w:r>
              <w:t xml:space="preserve">0.80–1.00</w:t>
            </w:r>
          </w:p>
        </w:tc>
        <w:tc>
          <w:tcPr/>
          <w:p>
            <w:pPr>
              <w:pStyle w:val="Compact"/>
            </w:pPr>
            <w:r>
              <w:t xml:space="preserve">Spectral coherence plot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otes-and-next-steps"/>
    <w:p>
      <w:pPr>
        <w:pStyle w:val="Heading3"/>
      </w:pPr>
      <w:r>
        <w:t xml:space="preserve">6. Notes and Next Steps</w:t>
      </w:r>
    </w:p>
    <w:p>
      <w:pPr>
        <w:pStyle w:val="Compact"/>
        <w:numPr>
          <w:ilvl w:val="0"/>
          <w:numId w:val="1004"/>
        </w:numPr>
      </w:pPr>
      <w:r>
        <w:t xml:space="preserve">These specifications define</w:t>
      </w:r>
      <w:r>
        <w:t xml:space="preserve"> </w:t>
      </w:r>
      <w:r>
        <w:rPr>
          <w:b/>
          <w:bCs/>
        </w:rPr>
        <w:t xml:space="preserve">Phase 1 verification</w:t>
      </w:r>
      <w:r>
        <w:t xml:space="preserve"> </w:t>
      </w:r>
      <w:r>
        <w:t xml:space="preserve">and should not be altered without maintaining consistency with Annex A/A-1 definitions.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partner developer may expand on these tests once coherence validation is confirmed.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Results will feed into the next report:</w:t>
      </w:r>
      <w:r>
        <w:t xml:space="preserve"> </w:t>
      </w:r>
      <w:r>
        <w:rPr>
          <w:i/>
          <w:iCs/>
        </w:rPr>
        <w:t xml:space="preserve">Experimental Simulation Results and Interpretation (Annex F).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Jen Dye / Stardust to Sovereignty UNA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[To be assigned upon collaboration initiation]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gigi@stardusttosovereignty.com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2025-10-31T20:55:50Z</dcterms:created>
  <dcterms:modified xsi:type="dcterms:W3CDTF">2025-10-31T20:55:50Z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