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left"/>
      </w:pPr>
      <w:r>
        <w:rPr>
          <w:b/>
          <w:bCs/>
          <w:color w:val="C07E00"/>
          <w:spacing w:val="40"/>
          <w:sz w:val="22"/>
          <w:szCs w:val="22"/>
        </w:rPr>
        <w:t xml:space="preserve">UNIVERSIDAD AUTÓNOMA DEL PERÚ</w:t>
      </w:r>
    </w:p>
    <w:p>
      <w:pPr>
        <w:pBdr>
          <w:bottom w:val="single" w:color="C07E00" w:sz="18" w:space="10"/>
        </w:pBdr>
        <w:spacing w:after="40"/>
      </w:pPr>
    </w:p>
    <w:p>
      <w:pPr>
        <w:spacing w:after="120" w:before="260"/>
      </w:pPr>
      <w:r>
        <w:rPr>
          <w:b/>
          <w:bCs/>
          <w:color w:val="12233F"/>
          <w:sz w:val="56"/>
          <w:szCs w:val="56"/>
        </w:rPr>
        <w:t xml:space="preserve">Modelo de proyección</w:t>
      </w:r>
    </w:p>
    <w:p>
      <w:pPr>
        <w:spacing w:after="300"/>
      </w:pPr>
      <w:r>
        <w:rPr>
          <w:b/>
          <w:bCs/>
          <w:color w:val="12233F"/>
          <w:sz w:val="56"/>
          <w:szCs w:val="56"/>
        </w:rPr>
        <w:t xml:space="preserve">de matrícula semestral</w:t>
      </w:r>
    </w:p>
    <w:p>
      <w:pPr>
        <w:spacing w:after="80"/>
      </w:pPr>
      <w:r>
        <w:rPr>
          <w:color w:val="52514E"/>
          <w:sz w:val="26"/>
          <w:szCs w:val="26"/>
        </w:rPr>
        <w:t xml:space="preserve">Cadena de cohortes con rezagos múltiples, contracción</w:t>
      </w:r>
    </w:p>
    <w:p>
      <w:pPr>
        <w:spacing w:after="80"/>
      </w:pPr>
      <w:r>
        <w:rPr>
          <w:color w:val="52514E"/>
          <w:sz w:val="26"/>
          <w:szCs w:val="26"/>
        </w:rPr>
        <w:t xml:space="preserve">empírico-Bayes y escenarios estadísticamente validados</w:t>
      </w:r>
    </w:p>
    <w:p>
      <w:pPr>
        <w:spacing w:before="900"/>
      </w:pPr>
    </w:p>
    <w:p>
      <w:pPr>
        <w:spacing w:after="60"/>
      </w:pPr>
      <w:r>
        <w:rPr>
          <w:color w:val="52514E"/>
          <w:sz w:val="21"/>
          <w:szCs w:val="21"/>
        </w:rPr>
        <w:t xml:space="preserve">Especificación técnica, sustento econométrico y manual de uso</w:t>
      </w:r>
    </w:p>
    <w:p>
      <w:pPr>
        <w:spacing w:after="60"/>
      </w:pPr>
      <w:r>
        <w:rPr>
          <w:color w:val="898781"/>
          <w:sz w:val="20"/>
          <w:szCs w:val="20"/>
        </w:rPr>
        <w:t xml:space="preserve">Base histórica: 130 130 registros de matrícula · 40 933 estudiantes · 2023-I a 2026-II</w:t>
      </w:r>
    </w:p>
    <w:p>
      <w:pPr>
        <w:spacing w:after="60"/>
      </w:pPr>
      <w:r>
        <w:rPr>
          <w:color w:val="898781"/>
          <w:sz w:val="20"/>
          <w:szCs w:val="20"/>
        </w:rPr>
        <w:t xml:space="preserve">Dimensiones: semestre · sede · carrera · modalidad de estudios · ciclo · turno</w:t>
      </w:r>
    </w:p>
    <w:p>
      <w:pPr>
        <w:spacing w:after="60"/>
      </w:pPr>
      <w:r>
        <w:rPr>
          <w:color w:val="898781"/>
          <w:sz w:val="20"/>
          <w:szCs w:val="20"/>
        </w:rPr>
        <w:t xml:space="preserve">Entregables: modelo en HTML, plantilla de ingresantes en Excel y este documento</w:t>
      </w:r>
    </w:p>
    <w:p>
      <w:r>
        <w:br w:type="page"/>
      </w:r>
    </w:p>
    <w:p>
      <w:pPr>
        <w:pStyle w:val="Heading1"/>
        <w:spacing w:after="180" w:before="360"/>
      </w:pPr>
      <w:r>
        <w:rPr>
          <w:b/>
          <w:bCs/>
          <w:color w:val="12233F"/>
          <w:sz w:val="30"/>
          <w:szCs w:val="30"/>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2233F"/>
          <w:sz w:val="30"/>
          <w:szCs w:val="30"/>
        </w:rPr>
        <w:t xml:space="preserve">1. Resumen ejecutivo</w:t>
      </w:r>
    </w:p>
    <w:p>
      <w:pPr>
        <w:spacing w:after="120" w:before="0" w:line="276"/>
      </w:pPr>
      <w:r>
        <w:rPr>
          <w:sz w:val="21"/>
          <w:szCs w:val="21"/>
        </w:rPr>
        <w:t xml:space="preserve">Este documento describe el modelo que proyecta la matrícula semestral de la Universidad Autónoma del Perú por </w:t>
      </w:r>
      <w:r>
        <w:rPr>
          <w:b/>
          <w:bCs/>
          <w:sz w:val="21"/>
          <w:szCs w:val="21"/>
        </w:rPr>
        <w:t xml:space="preserve">semestre académico, sede, carrera, modalidad de estudios, ciclo de estudios y turno</w:t>
      </w:r>
      <w:r>
        <w:rPr>
          <w:sz w:val="21"/>
          <w:szCs w:val="21"/>
        </w:rPr>
        <w:t xml:space="preserve">, distinguiendo ingresantes de continuadores y ofreciendo tres escenarios contrastados.</w:t>
      </w:r>
    </w:p>
    <w:p>
      <w:pPr>
        <w:spacing w:after="120" w:before="0" w:line="276"/>
      </w:pPr>
      <w:r>
        <w:rPr>
          <w:color w:val="000000"/>
          <w:sz w:val="21"/>
          <w:szCs w:val="21"/>
        </w:rPr>
        <w:t xml:space="preserve">El modelo se entrega como un archivo HTML autocontenido que funciona sin conexión y sin instalación. Recibe como entrada un archivo Excel con los ingresantes previstos y devuelve la matrícula proyectada para el número de semestres que se le indique, exportable a Excel junto con todo su sustento.</w:t>
      </w:r>
    </w:p>
    <w:p>
      <w:pPr>
        <w:pStyle w:val="Heading2"/>
        <w:spacing w:after="140" w:before="300"/>
      </w:pPr>
      <w:r>
        <w:rPr>
          <w:b/>
          <w:bCs/>
          <w:color w:val="12233F"/>
          <w:sz w:val="25"/>
          <w:szCs w:val="25"/>
        </w:rPr>
        <w:t xml:space="preserve">1.1 Qué hace y qué no hace</w:t>
      </w:r>
    </w:p>
    <w:p>
      <w:pPr>
        <w:spacing w:after="120" w:before="0" w:line="276"/>
      </w:pPr>
      <w:r>
        <w:rPr>
          <w:color w:val="000000"/>
          <w:sz w:val="21"/>
          <w:szCs w:val="21"/>
        </w:rPr>
        <w:t xml:space="preserve">El modelo proyecta el comportamiento de los estudiantes que ya están en la universidad. No pronostica cuántos ingresarán: esa cifra la aporta el área de admisión a través del archivo de entrada. La proyección es, por tanto, condicional a ese supuesto de ingreso, y así debe leerse.</w:t>
      </w:r>
    </w:p>
    <w:p>
      <w:pPr>
        <w:spacing w:after="120" w:before="0" w:line="276"/>
      </w:pPr>
      <w:r>
        <w:rPr>
          <w:color w:val="000000"/>
          <w:sz w:val="21"/>
          <w:szCs w:val="21"/>
        </w:rPr>
        <w:t xml:space="preserve">Lo que el modelo sí resuelve, y que a mano resulta inabordable, es la propagación de esos ingresantes y del alumnado actual a lo largo de los semestres siguientes: quién se rematricula, en qué ciclo aparece, en qué turno lo hace, quién egresa y quién regresa tras una pausa.</w:t>
      </w:r>
    </w:p>
    <w:p>
      <w:pPr>
        <w:pStyle w:val="Heading2"/>
        <w:spacing w:after="140" w:before="300"/>
      </w:pPr>
      <w:r>
        <w:rPr>
          <w:b/>
          <w:bCs/>
          <w:color w:val="12233F"/>
          <w:sz w:val="25"/>
          <w:szCs w:val="25"/>
        </w:rPr>
        <w:t xml:space="preserve">1.2 La modalidad de estudios como dimensión del modelo</w:t>
      </w:r>
    </w:p>
    <w:p>
      <w:pPr>
        <w:spacing w:after="120" w:before="0" w:line="276"/>
      </w:pPr>
      <w:r>
        <w:rPr>
          <w:sz w:val="21"/>
          <w:szCs w:val="21"/>
        </w:rPr>
        <w:t xml:space="preserve">Las tres modalidades que ofrece la universidad —presencial, semipresencial y a distancia— no son una etiqueta administrativa: son </w:t>
      </w:r>
      <w:r>
        <w:rPr>
          <w:b/>
          <w:bCs/>
          <w:sz w:val="21"/>
          <w:szCs w:val="21"/>
        </w:rPr>
        <w:t xml:space="preserve">tres poblaciones con comportamientos distintos</w:t>
      </w:r>
      <w:r>
        <w:rPr>
          <w:sz w:val="21"/>
          <w:szCs w:val="21"/>
        </w:rPr>
        <w:t xml:space="preserve">. La diferencia más importante está en el primer ciclo, donde la continuación es del 70,7 % en la modalidad presencial y del 41,6 % en la modalidad a distancia: veintinueve puntos porcentuales.</w:t>
      </w:r>
    </w:p>
    <w:p>
      <w:pPr>
        <w:spacing w:after="120" w:before="0" w:line="276"/>
      </w:pPr>
      <w:r>
        <w:rPr>
          <w:sz w:val="21"/>
          <w:szCs w:val="21"/>
        </w:rPr>
        <w:t xml:space="preserve">Además, esa composición está en fuerte movimiento: la modalidad a distancia pasa del 4,8 % de la matrícula en 2023-I al </w:t>
      </w:r>
      <w:r>
        <w:rPr>
          <w:b/>
          <w:bCs/>
          <w:sz w:val="21"/>
          <w:szCs w:val="21"/>
        </w:rPr>
        <w:t xml:space="preserve">19,6 % en 2026-II</w:t>
      </w:r>
      <w:r>
        <w:rPr>
          <w:sz w:val="21"/>
          <w:szCs w:val="21"/>
        </w:rPr>
        <w:t xml:space="preserve">. Un modelo que promediara las tres modalidades aplicaría a una población cada vez más numerosa una retención que no le corresponde, y confundiría el cambio de composición con un deterioro genuino de la retención.</w:t>
      </w:r>
    </w:p>
    <w:p>
      <w:pPr>
        <w:spacing w:after="120" w:before="0" w:line="276"/>
      </w:pPr>
      <w:r>
        <w:rPr>
          <w:color w:val="000000"/>
          <w:sz w:val="21"/>
          <w:szCs w:val="21"/>
        </w:rPr>
        <w:t xml:space="preserve">Por eso la modalidad entra en el estado del modelo, junto a la sede, la carrera, el ciclo y el turno. El capítulo 6 documenta lo que aporta con un contraste de especificación: el mismo procedimiento, ejecutado sobre la misma base con y sin esa dimensión.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1,99 %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17,2 %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2,30 %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28,4 %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3,17 %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2,76 %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13,1 %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3,47 %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2,90 %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16,2 %</w:t>
            </w:r>
          </w:p>
        </w:tc>
      </w:tr>
    </w:tbl>
    <w:p>
      <w:pPr>
        <w:spacing w:after="220" w:before="80"/>
      </w:pPr>
      <w:r>
        <w:rPr>
          <w:b/>
          <w:bCs/>
          <w:color w:val="52514E"/>
          <w:sz w:val="17"/>
          <w:szCs w:val="17"/>
        </w:rPr>
        <w:t xml:space="preserve">Tabla 1. </w:t>
      </w:r>
      <w:r>
        <w:rPr>
          <w:color w:val="52514E"/>
          <w:sz w:val="17"/>
          <w:szCs w:val="17"/>
        </w:rPr>
        <w:t xml:space="preserve">Error fuera de muestra (EPAP) de las dos especificaciones, medido en los niveles de agregación que existen en ambas. En cada caso la ponderación de recencia se elige por validación cruzada dentro de la propia especificación. Apartado 6.5.</w:t>
      </w:r>
    </w:p>
    <w:p>
      <w:pPr>
        <w:pStyle w:val="Heading2"/>
        <w:spacing w:after="140" w:before="300"/>
      </w:pPr>
      <w:r>
        <w:rPr>
          <w:b/>
          <w:bCs/>
          <w:color w:val="12233F"/>
          <w:sz w:val="25"/>
          <w:szCs w:val="25"/>
        </w:rPr>
        <w:t xml:space="preserve">1.3 Resultados de la validación</w:t>
      </w:r>
    </w:p>
    <w:p>
      <w:pPr>
        <w:spacing w:after="120" w:before="0" w:line="276"/>
      </w:pPr>
      <w:r>
        <w:rPr>
          <w:color w:val="000000"/>
          <w:sz w:val="21"/>
          <w:szCs w:val="21"/>
        </w:rPr>
        <w:t xml:space="preserve">El modelo se validó fuera de muestra con backtesting de origen móvil: se reestima con la información disponible hasta un semestre de corte y se proyecta el resto, comparando con lo que efectivamente ocurrió.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300"/>
        <w:gridCol w:w="1300"/>
        <w:gridCol w:w="1300"/>
        <w:gridCol w:w="16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15,4 %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415</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30,8 %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40,3 %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41,5 %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699</w:t>
            </w:r>
          </w:p>
        </w:tc>
      </w:tr>
    </w:tbl>
    <w:p>
      <w:pPr>
        <w:spacing w:after="220" w:before="80"/>
      </w:pPr>
      <w:r>
        <w:rPr>
          <w:b/>
          <w:bCs/>
          <w:color w:val="52514E"/>
          <w:sz w:val="17"/>
          <w:szCs w:val="17"/>
        </w:rPr>
        <w:t xml:space="preserve">Tabla 2. </w:t>
      </w:r>
      <w:r>
        <w:rPr>
          <w:color w:val="52514E"/>
          <w:sz w:val="17"/>
          <w:szCs w:val="17"/>
        </w:rPr>
        <w:t xml:space="preserve">Error porcentual absoluto ponderado (EPAP) fuera de muestra, por nivel de agregación y horizonte en semestres. Tres orígenes de reestimación y seis comparaciones. La columna de celdas es el número de combinaciones no vacías en 2026-II.</w:t>
      </w:r>
    </w:p>
    <w:p>
      <w:pPr>
        <w:spacing w:after="120" w:before="0" w:line="276"/>
      </w:pPr>
      <w:r>
        <w:rPr>
          <w:color w:val="000000"/>
          <w:sz w:val="21"/>
          <w:szCs w:val="21"/>
        </w:rPr>
        <w:t xml:space="preserve">El error crece al desagregar porque las celdas se vuelven diminutas: en el cruce completo muchas tienen menos de diez estudiantes y una unidad de diferencia pesa mucho en términos relativos. Por eso el modelo acompaña cada celda de su intervalo de predicción, y no sólo del punto.</w:t>
      </w:r>
    </w:p>
    <w:p>
      <w:pPr>
        <w:pBdr>
          <w:left w:val="single" w:color="C07E00" w:sz="18" w:space="8"/>
        </w:pBdr>
        <w:shd w:fill="F2F1ED" w:val="clear"/>
        <w:spacing w:after="180" w:before="160" w:line="276"/>
        <w:ind w:left="160" w:right="160"/>
      </w:pPr>
      <w:r>
        <w:rPr>
          <w:b/>
          <w:bCs/>
          <w:sz w:val="21"/>
          <w:szCs w:val="21"/>
        </w:rPr>
        <w:t xml:space="preserve">Cómo leer esta tabla. </w:t>
      </w:r>
      <w:r>
        <w:rPr>
          <w:sz w:val="21"/>
          <w:szCs w:val="21"/>
        </w:rPr>
        <w:t xml:space="preserve">Los dos últimos niveles son más finos que los del cruce clásico sede × carrera × ciclo × turno, porque la modalidad parte cada celda en hasta tres. Un EPAP mayor en ellos no indica peor modelo: indica celdas más pequeñas. La comparación entre especificaciones sólo es legítima en niveles que existan en ambas, que es como está hecha la tabla del apartado 1.2.</w:t>
      </w:r>
    </w:p>
    <w:p>
      <w:pPr>
        <w:pStyle w:val="Heading2"/>
        <w:spacing w:after="140" w:before="300"/>
      </w:pPr>
      <w:r>
        <w:rPr>
          <w:b/>
          <w:bCs/>
          <w:color w:val="12233F"/>
          <w:sz w:val="25"/>
          <w:szCs w:val="25"/>
        </w:rPr>
        <w:t xml:space="preserve">1.4 Los tres escenarios</w:t>
      </w:r>
    </w:p>
    <w:p>
      <w:pPr>
        <w:spacing w:after="120" w:before="0" w:line="276"/>
      </w:pPr>
      <w:r>
        <w:rPr>
          <w:sz w:val="21"/>
          <w:szCs w:val="21"/>
        </w:rPr>
        <w:t xml:space="preserve">Los escenarios no son un ± arbitrario. Se construyen a partir de un componente de varianza estimado: el </w:t>
      </w:r>
      <w:r>
        <w:rPr>
          <w:b/>
          <w:bCs/>
          <w:sz w:val="21"/>
          <w:szCs w:val="21"/>
        </w:rPr>
        <w:t xml:space="preserve">choque de periodo</w:t>
      </w:r>
      <w:r>
        <w:rPr>
          <w:sz w:val="21"/>
          <w:szCs w:val="21"/>
        </w:rPr>
        <w:t xml:space="preserve">, es decir, la parte de la volatilidad de la tasa de continuación que afecta a todas las cohortes de un mismo semestre a la vez y que, por tanto, no se cancela al agregar. Ese componente es estadísticamente significativo (contraste de razón de verosimilitudes χ² = 65,9 con 6 g.l., p ≈ 2,8·10⁻¹²) y su desviación típica es de 0,068 en escala logit.</w:t>
      </w:r>
    </w:p>
    <w:p>
      <w:pPr>
        <w:spacing w:after="120" w:before="0" w:line="276"/>
      </w:pPr>
      <w:r>
        <w:rPr>
          <w:sz w:val="21"/>
          <w:szCs w:val="21"/>
        </w:rPr>
        <w:t xml:space="preserve">Esa desviación era de 0,103 antes de incorporar la modalidad. La diferencia no es un ajuste: es que </w:t>
      </w:r>
      <w:r>
        <w:rPr>
          <w:b/>
          <w:bCs/>
          <w:sz w:val="21"/>
          <w:szCs w:val="21"/>
        </w:rPr>
        <w:t xml:space="preserve">un tercio de lo que antes se contabilizaba como choque aleatorio era en realidad deriva de composición</w:t>
      </w:r>
      <w:r>
        <w:rPr>
          <w:sz w:val="21"/>
          <w:szCs w:val="21"/>
        </w:rPr>
        <w:t xml:space="preserve"> —el peso creciente de una modalidad con menor retención— y, una vez identificada, deja de ser incertidumbre para convertirse en estructura predecible. Los escenarios resultantes son más estrechos porque el modelo sabe más, no porque se haya decidido estrecharlos.</w:t>
      </w:r>
    </w:p>
    <w:p>
      <w:pPr>
        <w:pBdr>
          <w:left w:val="single" w:color="C07E00" w:sz="18" w:space="8"/>
        </w:pBdr>
        <w:shd w:fill="F2F1ED" w:val="clear"/>
        <w:spacing w:after="180" w:before="160" w:line="276"/>
        <w:ind w:left="160" w:right="160"/>
      </w:pPr>
      <w:r>
        <w:rPr>
          <w:b/>
          <w:bCs/>
          <w:sz w:val="21"/>
          <w:szCs w:val="21"/>
        </w:rPr>
        <w:t xml:space="preserve">Diferencia clave. </w:t>
      </w:r>
      <w:r>
        <w:rPr>
          <w:sz w:val="21"/>
          <w:szCs w:val="21"/>
        </w:rPr>
        <w:t xml:space="preserve">Un escenario y un intervalo de predicción responden a preguntas distintas. El escenario describe un estado del mundo coherente —si la retención se desplaza, se desplaza para todos— y por eso es aditivo: el total de cada escenario es exactamente la suma de sus celdas, lo que permite planificar aulas, turnos y docentes. El intervalo de predicción añade además el azar de realización de cada celda y responde a dónde caerá el dato observado. El modelo entrega ambos, claramente separados.</w:t>
      </w:r>
    </w:p>
    <w:p>
      <w:pPr>
        <w:pStyle w:val="Heading2"/>
        <w:spacing w:after="140" w:before="300"/>
      </w:pPr>
      <w:r>
        <w:rPr>
          <w:b/>
          <w:bCs/>
          <w:color w:val="12233F"/>
          <w:sz w:val="25"/>
          <w:szCs w:val="25"/>
        </w:rPr>
        <w:t xml:space="preserve">1.5 Cómo se valida la amplitud del intervalo</w:t>
      </w:r>
    </w:p>
    <w:p>
      <w:pPr>
        <w:spacing w:after="120" w:before="0" w:line="276"/>
      </w:pPr>
      <w:r>
        <w:rPr>
          <w:color w:val="000000"/>
          <w:sz w:val="21"/>
          <w:szCs w:val="21"/>
        </w:rPr>
        <w:t xml:space="preserve">La amplitud del intervalo no se ajustó a ojo. Se comprobó contra el backtesting qué proporción de los valores observados cae realmente dentro del intervalo nominal del 80 %.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600"/>
        <w:gridCol w:w="1626"/>
      </w:tblGrid>
      <w:tr>
        <w:trPr>
          <w:tblHeader/>
        </w:trPr>
        <w:tc>
          <w:tcPr>
            <w:tcW w:type="dxa" w:w="4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88,9 %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91,8 %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92,3 %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97,5 %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90,5 %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94,0 %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98,1 %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96,4 %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82,6 %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84,8 %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88,9 %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77,4 %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80,5 %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85,8 %</w:t>
            </w:r>
          </w:p>
        </w:tc>
      </w:tr>
    </w:tbl>
    <w:p>
      <w:pPr>
        <w:spacing w:after="220" w:before="80"/>
      </w:pPr>
      <w:r>
        <w:rPr>
          <w:b/>
          <w:bCs/>
          <w:color w:val="52514E"/>
          <w:sz w:val="17"/>
          <w:szCs w:val="17"/>
        </w:rPr>
        <w:t xml:space="preserve">Tabla 3. </w:t>
      </w:r>
      <w:r>
        <w:rPr>
          <w:color w:val="52514E"/>
          <w:sz w:val="17"/>
          <w:szCs w:val="17"/>
        </w:rPr>
        <w:t xml:space="preserve">Cobertura empírica del intervalo de predicción nominal del 80 %, medida fuera de muestra.</w:t>
      </w:r>
    </w:p>
    <w:p>
      <w:pPr>
        <w:spacing w:after="120" w:before="0" w:line="276"/>
      </w:pPr>
      <w:r>
        <w:rPr>
          <w:sz w:val="21"/>
          <w:szCs w:val="21"/>
        </w:rPr>
        <w:t xml:space="preserve">La cobertura media en los tres niveles desagregados es del 86,6 % frente a un nominal del 80 %. El factor de inflación de varianza calibrado resultó ser </w:t>
      </w:r>
      <w:r>
        <w:rPr>
          <w:b/>
          <w:bCs/>
          <w:sz w:val="21"/>
          <w:szCs w:val="21"/>
        </w:rPr>
        <w:t xml:space="preserve">κ = 1,0</w:t>
      </w:r>
      <w:r>
        <w:rPr>
          <w:sz w:val="21"/>
          <w:szCs w:val="21"/>
        </w:rPr>
        <w:t xml:space="preserve">: la descomposición teórica reproduce la dispersión realmente observada sin necesidad de ensanchar el intervalo a mano. Es el resultado más sólido de la validación, porque significa que la aritmética de la incertidumbre está bien planteada y no sostenida por un factor de corrección.</w:t>
      </w:r>
    </w:p>
    <w:p>
      <w:pPr>
        <w:spacing w:after="120" w:before="0" w:line="276"/>
      </w:pPr>
      <w:r>
        <w:rPr>
          <w:color w:val="000000"/>
          <w:sz w:val="21"/>
          <w:szCs w:val="21"/>
        </w:rPr>
        <w:t xml:space="preserve">En el cruce más fino —el que incluye modalidad y turno— la cobertura pasó del 68,5 % al 77,4 %, ya prácticamente en el nominal. Antes el intervalo se quedaba corto justamente donde la composición por modalidad hacía más daño; ahora la diferencia entre modalidades está en el punto central y no tiene que absorberla el margen.</w:t>
      </w:r>
    </w:p>
    <w:p>
      <w:pPr>
        <w:pStyle w:val="Heading2"/>
        <w:spacing w:after="140" w:before="300"/>
      </w:pPr>
      <w:r>
        <w:rPr>
          <w:b/>
          <w:bCs/>
          <w:color w:val="12233F"/>
          <w:sz w:val="25"/>
          <w:szCs w:val="25"/>
        </w:rPr>
        <w:t xml:space="preserve">1.6 Entregables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Archivo</w:t>
            </w:r>
          </w:p>
        </w:tc>
        <w:tc>
          <w:tcPr>
            <w:tcW w:type="dxa" w:w="6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modelo_proyeccion_matricula.html</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modelo. Archivo autocontenido de unos 380 KB: no requiere instalación, conexión ni servidor. Se abre con doble clic en cualquier navegador moderno.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plantilla_ingresantes.xlsx</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 de entrada con instrucciones, catálogos de sedes, carreras y modalidades, y una hoja precargada con el último ingreso observado como punto de partida editable.</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Este documento</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Especificación del modelo, sustento econométrico, resultados de validación y manual de uso.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Exportación del modelo</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Al pulsar «Exportar proyección», el modelo genera un Excel de siete hojas con la proyección detallada y todo su sustento: parámetros, validación y metodología.</w:t>
            </w:r>
          </w:p>
        </w:tc>
      </w:tr>
    </w:tbl>
    <w:p>
      <w:pPr>
        <w:spacing w:after="220" w:before="80"/>
      </w:pPr>
      <w:r>
        <w:rPr>
          <w:b/>
          <w:bCs/>
          <w:color w:val="52514E"/>
          <w:sz w:val="17"/>
          <w:szCs w:val="17"/>
        </w:rPr>
        <w:t xml:space="preserve">Tabla 4. </w:t>
      </w:r>
      <w:r>
        <w:rPr>
          <w:color w:val="52514E"/>
          <w:sz w:val="17"/>
          <w:szCs w:val="17"/>
        </w:rPr>
        <w:t xml:space="preserve">Entregables del encargo.</w:t>
      </w:r>
    </w:p>
    <w:p>
      <w:r>
        <w:br w:type="page"/>
      </w:r>
    </w:p>
    <w:p>
      <w:pPr>
        <w:pStyle w:val="Heading1"/>
        <w:spacing w:after="180" w:before="360"/>
      </w:pPr>
      <w:r>
        <w:rPr>
          <w:b/>
          <w:bCs/>
          <w:color w:val="12233F"/>
          <w:sz w:val="30"/>
          <w:szCs w:val="30"/>
        </w:rPr>
        <w:t xml:space="preserve">2. El encargo y el alcance</w:t>
      </w:r>
    </w:p>
    <w:p>
      <w:pPr>
        <w:pStyle w:val="Heading2"/>
        <w:spacing w:after="140" w:before="300"/>
      </w:pPr>
      <w:r>
        <w:rPr>
          <w:b/>
          <w:bCs/>
          <w:color w:val="12233F"/>
          <w:sz w:val="25"/>
          <w:szCs w:val="25"/>
        </w:rPr>
        <w:t xml:space="preserve">2.1 Definición del problema</w:t>
      </w:r>
    </w:p>
    <w:p>
      <w:pPr>
        <w:spacing w:after="120" w:before="0" w:line="276"/>
      </w:pPr>
      <w:r>
        <w:rPr>
          <w:color w:val="000000"/>
          <w:sz w:val="21"/>
          <w:szCs w:val="21"/>
        </w:rPr>
        <w:t xml:space="preserve">La matrícula de un semestre académico es la suma de dos poblaciones con dinámicas muy distintas:</w:t>
      </w:r>
    </w:p>
    <w:p>
      <w:pPr>
        <w:pStyle w:val="ListParagraph"/>
        <w:numPr>
          <w:ilvl w:val="0"/>
          <w:numId w:val="2"/>
        </w:numPr>
        <w:spacing w:after="90" w:line="276"/>
      </w:pPr>
      <w:r>
        <w:rPr>
          <w:b/>
          <w:bCs/>
          <w:sz w:val="21"/>
          <w:szCs w:val="21"/>
        </w:rPr>
        <w:t xml:space="preserve">Ingresantes. </w:t>
      </w:r>
      <w:r>
        <w:rPr>
          <w:sz w:val="21"/>
          <w:szCs w:val="21"/>
        </w:rPr>
        <w:t xml:space="preserve">Estudiantes que se matriculan por primera vez. Su volumen depende de la campaña de admisión, la oferta de vacantes y el mercado, no del comportamiento del alumnado existente. Es una variable de decisión y de entorno, y el modelo la toma como dato.</w:t>
      </w:r>
    </w:p>
    <w:p>
      <w:pPr>
        <w:pStyle w:val="ListParagraph"/>
        <w:numPr>
          <w:ilvl w:val="0"/>
          <w:numId w:val="2"/>
        </w:numPr>
        <w:spacing w:after="90" w:line="276"/>
      </w:pPr>
      <w:r>
        <w:rPr>
          <w:b/>
          <w:bCs/>
          <w:sz w:val="21"/>
          <w:szCs w:val="21"/>
        </w:rPr>
        <w:t xml:space="preserve">Continuadores. </w:t>
      </w:r>
      <w:r>
        <w:rPr>
          <w:sz w:val="21"/>
          <w:szCs w:val="21"/>
        </w:rPr>
        <w:t xml:space="preserve">Estudiantes ya matriculados que vuelven a matricularse. Su volumen depende del comportamiento observable de las cohortes actuales: retención, ritmo de avance, cambio de turno, egreso y reingreso. Es lo que el modelo estima y proyecta.</w:t>
      </w:r>
    </w:p>
    <w:p>
      <w:pPr>
        <w:spacing w:after="120" w:before="0" w:line="276"/>
      </w:pPr>
      <w:r>
        <w:rPr>
          <w:color w:val="000000"/>
          <w:sz w:val="21"/>
          <w:szCs w:val="21"/>
        </w:rPr>
        <w:t xml:space="preserve">El encargo consiste en proyectar el total —ingresantes más continuadores— desagregado por semestre académico, sede, carrera, modalidad de estudios, ciclo de estudios y turno, con tres escenarios estadísticamente validados y un horizonte configurable.</w:t>
      </w:r>
    </w:p>
    <w:p>
      <w:pPr>
        <w:pStyle w:val="Heading2"/>
        <w:spacing w:after="140" w:before="300"/>
      </w:pPr>
      <w:r>
        <w:rPr>
          <w:b/>
          <w:bCs/>
          <w:color w:val="12233F"/>
          <w:sz w:val="25"/>
          <w:szCs w:val="25"/>
        </w:rPr>
        <w:t xml:space="preserve">2.2 Dimensiones de la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7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Dimensión</w:t>
            </w:r>
          </w:p>
        </w:tc>
        <w:tc>
          <w:tcPr>
            <w:tcW w:type="dxa" w:w="1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Valores</w:t>
            </w:r>
          </w:p>
        </w:tc>
        <w:tc>
          <w:tcPr>
            <w:tcW w:type="dxa" w:w="5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Observaciones</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configurable</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Nomenclatura AAAA-I y AAAA-II. El primer semestre proyectable es 2027-I; el horizonte se elige entre 1 y 24 semestres.</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 + nuevas</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y Lima Norte. Ningún estudiante del histórico cambia de sede, así que la sede se conserva a lo largo de la proyección. Una sede recién abierta despliega su plan ciclo a ciclo (apartado 5.7).</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 nuevas</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Sólo un 0,4 % de los continuadores cambia de carrera, de modo que la carrera también se conserva. El archivo de entrada admite programas que no existen en el histórico.</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y A distancia. El 99,4 % de los continuadores la conserva, así que se trata como atributo fijo; pero condiciona la continuación, el avance y el turno (apartado 5.4).</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de estudios</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 a 11</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ciclo terminal depende del plan: 11 en Derecho y Psicología, 10 en el resto.</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Mañana, Tarde y Noche en Lima Sur; Diurno y Noche en Lima Norte. El turno sí cambia entre semestres y se modela explícitamente.</w:t>
            </w:r>
          </w:p>
        </w:tc>
      </w:tr>
    </w:tbl>
    <w:p>
      <w:pPr>
        <w:spacing w:after="220" w:before="80"/>
      </w:pPr>
      <w:r>
        <w:rPr>
          <w:b/>
          <w:bCs/>
          <w:color w:val="52514E"/>
          <w:sz w:val="17"/>
          <w:szCs w:val="17"/>
        </w:rPr>
        <w:t xml:space="preserve">Tabla 5. </w:t>
      </w:r>
      <w:r>
        <w:rPr>
          <w:color w:val="52514E"/>
          <w:sz w:val="17"/>
          <w:szCs w:val="17"/>
        </w:rPr>
        <w:t xml:space="preserve">Dimensiones de la proyección y su tratamiento en el modelo.</w:t>
      </w:r>
    </w:p>
    <w:p>
      <w:pPr>
        <w:pBdr>
          <w:left w:val="single" w:color="C07E00" w:sz="18" w:space="8"/>
        </w:pBdr>
        <w:shd w:fill="F2F1ED" w:val="clear"/>
        <w:spacing w:after="180" w:before="160" w:line="276"/>
        <w:ind w:left="160" w:right="160"/>
      </w:pPr>
      <w:r>
        <w:rPr>
          <w:b/>
          <w:bCs/>
          <w:sz w:val="21"/>
          <w:szCs w:val="21"/>
        </w:rPr>
        <w:t xml:space="preserve">Sobre el turno. </w:t>
      </w:r>
      <w:r>
        <w:rPr>
          <w:sz w:val="21"/>
          <w:szCs w:val="21"/>
        </w:rPr>
        <w:t xml:space="preserve">El archivo de entrada no declara el turno de los ingresantes, tal como pide el encargo: el reparto se estima matemáticamente. El apartado 6.7 explica cómo, y el apartado 4.5 por qué no puede darse por constante.</w:t>
      </w:r>
    </w:p>
    <w:p>
      <w:pPr>
        <w:pBdr>
          <w:left w:val="single" w:color="C07E00" w:sz="18" w:space="8"/>
        </w:pBdr>
        <w:shd w:fill="F2F1ED" w:val="clear"/>
        <w:spacing w:after="180" w:before="160" w:line="276"/>
        <w:ind w:left="160" w:right="160"/>
      </w:pPr>
      <w:r>
        <w:rPr>
          <w:b/>
          <w:bCs/>
          <w:sz w:val="21"/>
          <w:szCs w:val="21"/>
        </w:rPr>
        <w:t xml:space="preserve">Sobre la modalidad. </w:t>
      </w:r>
      <w:r>
        <w:rPr>
          <w:sz w:val="21"/>
          <w:szCs w:val="21"/>
        </w:rPr>
        <w:t xml:space="preserve">La plantilla de entrada sí incluye una columna de modalidad, y conviene rellenarla: es la diferencia entre proyectar una cohorte con su retención real y proyectarla con la media de las tres. Si se deja vacía, el modelo la estima con la composición histórica de esa sede y esa carrera, restringida a la oferta que realmente existe (apartado 6.8).</w:t>
      </w:r>
    </w:p>
    <w:p>
      <w:pPr>
        <w:pStyle w:val="Heading2"/>
        <w:spacing w:after="140" w:before="300"/>
      </w:pPr>
      <w:r>
        <w:rPr>
          <w:b/>
          <w:bCs/>
          <w:color w:val="12233F"/>
          <w:sz w:val="25"/>
          <w:szCs w:val="25"/>
        </w:rPr>
        <w:t xml:space="preserve">2.3 Por qué un modelo de cohortes y no una extrapolación de la serie</w:t>
      </w:r>
    </w:p>
    <w:p>
      <w:pPr>
        <w:spacing w:after="120" w:before="0" w:line="276"/>
      </w:pPr>
      <w:r>
        <w:rPr>
          <w:color w:val="000000"/>
          <w:sz w:val="21"/>
          <w:szCs w:val="21"/>
        </w:rPr>
        <w:t xml:space="preserve">La tentación inmediata ante una serie de matrícula es ajustar una tendencia y prolongarla. Sería un error en este caso, por tres razones.</w:t>
      </w:r>
    </w:p>
    <w:p>
      <w:pPr>
        <w:pStyle w:val="ListParagraph"/>
        <w:numPr>
          <w:ilvl w:val="0"/>
          <w:numId w:val="3"/>
        </w:numPr>
        <w:spacing w:after="90" w:line="276"/>
      </w:pPr>
      <w:r>
        <w:rPr>
          <w:b/>
          <w:bCs/>
          <w:sz w:val="21"/>
          <w:szCs w:val="21"/>
        </w:rPr>
        <w:t xml:space="preserve">La serie tiene estructura interna conocida. </w:t>
      </w:r>
      <w:r>
        <w:rPr>
          <w:sz w:val="21"/>
          <w:szCs w:val="21"/>
        </w:rPr>
        <w:t xml:space="preserve">La matrícula de 2028-I no es un punto de una serie: es lo que queda de las cohortes de 2027-II más lo que ingrese. Ignorar esa contabilidad desaprovecha información que está en los datos.</w:t>
      </w:r>
    </w:p>
    <w:p>
      <w:pPr>
        <w:pStyle w:val="ListParagraph"/>
        <w:numPr>
          <w:ilvl w:val="0"/>
          <w:numId w:val="3"/>
        </w:numPr>
        <w:spacing w:after="90" w:line="276"/>
      </w:pPr>
      <w:r>
        <w:rPr>
          <w:b/>
          <w:bCs/>
          <w:sz w:val="21"/>
          <w:szCs w:val="21"/>
        </w:rPr>
        <w:t xml:space="preserve">El encargo exige desagregación. </w:t>
      </w:r>
      <w:r>
        <w:rPr>
          <w:sz w:val="21"/>
          <w:szCs w:val="21"/>
        </w:rPr>
        <w:t xml:space="preserve">Una extrapolación del total no dice cuántos estudiantes habrá en el ciclo 4 de Ingeniería Civil en modalidad semipresencial y turno noche, que es justo lo que se necesita para programar aulas y docentes.</w:t>
      </w:r>
    </w:p>
    <w:p>
      <w:pPr>
        <w:pStyle w:val="ListParagraph"/>
        <w:numPr>
          <w:ilvl w:val="0"/>
          <w:numId w:val="3"/>
        </w:numPr>
        <w:spacing w:after="90" w:line="276"/>
      </w:pPr>
      <w:r>
        <w:rPr>
          <w:b/>
          <w:bCs/>
          <w:sz w:val="21"/>
          <w:szCs w:val="21"/>
        </w:rPr>
        <w:t xml:space="preserve">El ingreso es exógeno. </w:t>
      </w:r>
      <w:r>
        <w:rPr>
          <w:sz w:val="21"/>
          <w:szCs w:val="21"/>
        </w:rPr>
        <w:t xml:space="preserve">Una extrapolación mezcla el efecto de la admisión con el del comportamiento estudiantil. Separarlos permite responder a preguntas de política: qué pasa si la admisión cae un 10 %, si un programa nuevo arranca con 60 ingresantes o si la modalidad a distancia sigue ganando peso.</w:t>
      </w:r>
    </w:p>
    <w:p>
      <w:pPr>
        <w:spacing w:after="120" w:before="0" w:line="276"/>
      </w:pPr>
      <w:r>
        <w:rPr>
          <w:color w:val="000000"/>
          <w:sz w:val="21"/>
          <w:szCs w:val="21"/>
        </w:rPr>
        <w:t xml:space="preserve">El modelo de cohortes conserva esa contabilidad. Cada estudiante proyectado proviene de un estudiante observado o de un ingresante declarado, y el modelo sólo estima las probabilidades de transición entre estados.</w:t>
      </w:r>
    </w:p>
    <w:p>
      <w:r>
        <w:br w:type="page"/>
      </w:r>
    </w:p>
    <w:p>
      <w:pPr>
        <w:pStyle w:val="Heading1"/>
        <w:spacing w:after="180" w:before="360"/>
      </w:pPr>
      <w:r>
        <w:rPr>
          <w:b/>
          <w:bCs/>
          <w:color w:val="12233F"/>
          <w:sz w:val="30"/>
          <w:szCs w:val="30"/>
        </w:rPr>
        <w:t xml:space="preserve">3. La base histórica</w:t>
      </w:r>
    </w:p>
    <w:p>
      <w:pPr>
        <w:pStyle w:val="Heading2"/>
        <w:spacing w:after="140" w:before="300"/>
      </w:pPr>
      <w:r>
        <w:rPr>
          <w:b/>
          <w:bCs/>
          <w:color w:val="12233F"/>
          <w:sz w:val="25"/>
          <w:szCs w:val="25"/>
        </w:rPr>
        <w:t xml:space="preserve">3.1 Contenido y cobertura</w:t>
      </w:r>
    </w:p>
    <w:p>
      <w:pPr>
        <w:spacing w:after="120" w:before="0" w:line="276"/>
      </w:pPr>
      <w:r>
        <w:rPr>
          <w:sz w:val="21"/>
          <w:szCs w:val="21"/>
        </w:rPr>
        <w:t xml:space="preserve">La estimación se apoya en el archivo </w:t>
      </w:r>
      <w:r>
        <w:rPr>
          <w:rFonts w:ascii="Consolas" w:cs="Consolas" w:eastAsia="Consolas" w:hAnsi="Consolas"/>
          <w:sz w:val="19"/>
          <w:szCs w:val="19"/>
        </w:rPr>
        <w:t xml:space="preserve">historico_matriculados_con_fecha_de_matricula.xlsx</w:t>
      </w:r>
      <w:r>
        <w:rPr>
          <w:sz w:val="21"/>
          <w:szCs w:val="21"/>
        </w:rPr>
        <w:t xml:space="preserve">, con 130 130 registros de matrícula correspondientes a 40 933 estudiantes distintos a lo largo de ocho semestres académicos, de 2023-I a 2026-II.</w:t>
      </w:r>
    </w:p>
    <w:p>
      <w:pPr>
        <w:spacing w:after="120" w:before="0" w:line="276"/>
      </w:pPr>
      <w:r>
        <w:rPr>
          <w:sz w:val="21"/>
          <w:szCs w:val="21"/>
        </w:rPr>
        <w:t xml:space="preserve">La característica decisiva de esta base es que cada fila lleva el </w:t>
      </w:r>
      <w:r>
        <w:rPr>
          <w:b/>
          <w:bCs/>
          <w:sz w:val="21"/>
          <w:szCs w:val="21"/>
        </w:rPr>
        <w:t xml:space="preserve">código individual del estudiante</w:t>
      </w:r>
      <w:r>
        <w:rPr>
          <w:sz w:val="21"/>
          <w:szCs w:val="21"/>
        </w:rPr>
        <w:t xml:space="preserve"> (</w:t>
      </w:r>
      <w:r>
        <w:rPr>
          <w:rFonts w:ascii="Consolas" w:cs="Consolas" w:eastAsia="Consolas" w:hAnsi="Consolas"/>
          <w:sz w:val="19"/>
          <w:szCs w:val="19"/>
        </w:rPr>
        <w:t xml:space="preserve">cPerCodigo</w:t>
      </w:r>
      <w:r>
        <w:rPr>
          <w:sz w:val="21"/>
          <w:szCs w:val="21"/>
        </w:rPr>
        <w:t xml:space="preserve">). Eso permite reconstruir la trayectoria de cada persona y observar sus transiciones reales, en lugar de inferirlas de agregados. De ahí salen las 89 196 transiciones sobre las que se estima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250"/>
        <w:gridCol w:w="1250"/>
        <w:gridCol w:w="1250"/>
        <w:gridCol w:w="127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2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12 599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15 063</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17 498</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4 681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2 144</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4 697</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2 108</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5 352</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2 160</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7 918</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10 187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10 366</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12 427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12 146</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14 193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50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7 311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3 560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14 109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16 770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bl>
    <w:p>
      <w:pPr>
        <w:spacing w:after="220" w:before="80"/>
      </w:pPr>
      <w:r>
        <w:rPr>
          <w:b/>
          <w:bCs/>
          <w:color w:val="52514E"/>
          <w:sz w:val="17"/>
          <w:szCs w:val="17"/>
        </w:rPr>
        <w:t xml:space="preserve">Tabla 6. </w:t>
      </w:r>
      <w:r>
        <w:rPr>
          <w:color w:val="52514E"/>
          <w:sz w:val="17"/>
          <w:szCs w:val="17"/>
        </w:rPr>
        <w:t xml:space="preserve">Composición de la matrícula observada por semestre académico.</w:t>
      </w:r>
    </w:p>
    <w:p>
      <w:pPr>
        <w:spacing w:after="120" w:before="0" w:line="276"/>
      </w:pPr>
      <w:r>
        <w:rPr>
          <w:color w:val="000000"/>
          <w:sz w:val="21"/>
          <w:szCs w:val="21"/>
        </w:rPr>
        <w:t xml:space="preserve">Dos rasgos del cuadro condicionan el modelo. El primero es el crecimiento sostenido: la matrícula pasa de 12 599 a 20 330 estudiantes en cuatro años. El segundo es la estacionalidad marcada: el primer semestre de cada año recibe aproximadamente el doble de ingresantes que el segundo, lo que produce el patrón de dientes de sierra que se aprecia en la serie.</w:t>
      </w:r>
    </w:p>
    <w:p>
      <w:pPr>
        <w:pStyle w:val="Heading2"/>
        <w:spacing w:after="140" w:before="300"/>
      </w:pPr>
      <w:r>
        <w:rPr>
          <w:b/>
          <w:bCs/>
          <w:color w:val="12233F"/>
          <w:sz w:val="25"/>
          <w:szCs w:val="25"/>
        </w:rPr>
        <w:t xml:space="preserve">3.2 La composición por modalidad y su deriva</w:t>
      </w:r>
    </w:p>
    <w:p>
      <w:pPr>
        <w:spacing w:after="120" w:before="0" w:line="276"/>
      </w:pPr>
      <w:r>
        <w:rPr>
          <w:color w:val="000000"/>
          <w:sz w:val="21"/>
          <w:szCs w:val="21"/>
        </w:rPr>
        <w:t xml:space="preserve">El tercer rasgo estructural, y el que motivó la revisión del modelo, es el desplazamiento de la matrícula entre modalidades de estudio.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10 345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9 586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11 540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10 850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12 239</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11 240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14 176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13 117</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1 649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1 657</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2 059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2 023</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2 478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2 456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3 254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3 221</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605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1 088</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1 464</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1 662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2 781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2 657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3 990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3 992</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Participación</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82,1 %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77,7 %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76,6 %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74,6 %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69,9 %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64,5 %</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13,1 %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13,4 %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13,7 %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13,9 %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14,2 %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15,0 %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15,8 %</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11,4 %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15,9 %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18,6 %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19,6 %</w:t>
            </w:r>
          </w:p>
        </w:tc>
      </w:tr>
    </w:tbl>
    <w:p>
      <w:pPr>
        <w:spacing w:after="220" w:before="80"/>
      </w:pPr>
      <w:r>
        <w:rPr>
          <w:b/>
          <w:bCs/>
          <w:color w:val="52514E"/>
          <w:sz w:val="17"/>
          <w:szCs w:val="17"/>
        </w:rPr>
        <w:t xml:space="preserve">Tabla 7. </w:t>
      </w:r>
      <w:r>
        <w:rPr>
          <w:color w:val="52514E"/>
          <w:sz w:val="17"/>
          <w:szCs w:val="17"/>
        </w:rPr>
        <w:t xml:space="preserve">Matrícula por modalidad de estudios y participación sobre el total. La modalidad a distancia cuadruplica su peso en cuatro años; la presencial cede casi dieciocho puntos.</w:t>
      </w:r>
    </w:p>
    <w:p>
      <w:pPr>
        <w:spacing w:after="60" w:before="1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28775"/>
                    </a:xfrm>
                    <a:prstGeom prst="rect">
                      <a:avLst/>
                    </a:prstGeom>
                  </pic:spPr>
                </pic:pic>
              </a:graphicData>
            </a:graphic>
          </wp:inline>
        </w:drawing>
      </w:r>
    </w:p>
    <w:p>
      <w:pPr>
        <w:spacing w:after="220"/>
        <w:jc w:val="center"/>
      </w:pPr>
      <w:r>
        <w:rPr>
          <w:b/>
          <w:bCs/>
          <w:color w:val="52514E"/>
          <w:sz w:val="17"/>
          <w:szCs w:val="17"/>
        </w:rPr>
        <w:t xml:space="preserve">Figura 1. </w:t>
      </w:r>
      <w:r>
        <w:rPr>
          <w:color w:val="52514E"/>
          <w:sz w:val="17"/>
          <w:szCs w:val="17"/>
        </w:rPr>
        <w:t xml:space="preserve">Composición por modalidad, observada y proyectada, tal como la presenta el modelo en su pestaña de resumen.</w:t>
      </w:r>
    </w:p>
    <w:p>
      <w:pPr>
        <w:spacing w:after="120" w:before="0" w:line="276"/>
      </w:pPr>
      <w:r>
        <w:rPr>
          <w:sz w:val="21"/>
          <w:szCs w:val="21"/>
        </w:rPr>
        <w:t xml:space="preserve">Todas las modalidades crecen en términos absolutos —la presencial pasa de 10 345 a 13 117 estudiantes—, de modo que no se trata de una sustitución. Lo que cambia es el </w:t>
      </w:r>
      <w:r>
        <w:rPr>
          <w:b/>
          <w:bCs/>
          <w:sz w:val="21"/>
          <w:szCs w:val="21"/>
        </w:rPr>
        <w:t xml:space="preserve">reparto</w:t>
      </w:r>
      <w:r>
        <w:rPr>
          <w:sz w:val="21"/>
          <w:szCs w:val="21"/>
        </w:rPr>
        <w:t xml:space="preserve">, y ese reparto importa porque, como muestra el apartado 4.2, las tres poblaciones no se comportan igual.</w:t>
      </w:r>
    </w:p>
    <w:p>
      <w:pPr>
        <w:spacing w:after="120" w:before="0" w:line="276"/>
      </w:pPr>
      <w:r>
        <w:rPr>
          <w:color w:val="000000"/>
          <w:sz w:val="21"/>
          <w:szCs w:val="21"/>
        </w:rPr>
        <w:t xml:space="preserve">La oferta tampoco es uniforme: de las 150 combinaciones teóricas de sede, carrera y modalidad sólo existen 83. Siete carreras —Enfermería, Obstetricia, Farmacia y Bioquímica, Ingeniería Biomédica, Ciencias de la Comunicación y las dos de Tecnología Médica— se imparten únicamente en modalidad presencial, y la sede Lima Norte no ofrece la modalidad a distancia. El modelo respeta esa oferta y nunca coloca estudiantes en combinaciones inexistentes.</w:t>
      </w:r>
    </w:p>
    <w:p>
      <w:pPr>
        <w:pStyle w:val="Heading2"/>
        <w:spacing w:after="140" w:before="300"/>
      </w:pPr>
      <w:r>
        <w:rPr>
          <w:b/>
          <w:bCs/>
          <w:color w:val="12233F"/>
          <w:sz w:val="25"/>
          <w:szCs w:val="25"/>
        </w:rPr>
        <w:t xml:space="preserve">3.3 Calidad de los datos y decisiones de tratamiento</w:t>
      </w:r>
    </w:p>
    <w:p>
      <w:pPr>
        <w:pStyle w:val="Heading3"/>
        <w:spacing w:after="120" w:before="240"/>
      </w:pPr>
      <w:r>
        <w:rPr>
          <w:b/>
          <w:bCs/>
          <w:color w:val="52514E"/>
          <w:sz w:val="22"/>
          <w:szCs w:val="22"/>
        </w:rPr>
        <w:t xml:space="preserve">3.3.1 El campo «Desertor» no es utilizable como indicador prospectivo</w:t>
      </w:r>
    </w:p>
    <w:p>
      <w:pPr>
        <w:spacing w:after="120" w:before="0" w:line="276"/>
      </w:pPr>
      <w:r>
        <w:rPr>
          <w:color w:val="000000"/>
          <w:sz w:val="21"/>
          <w:szCs w:val="21"/>
        </w:rPr>
        <w:t xml:space="preserve">La base trae un campo que marca al estudiante como desertor. Contrastado con lo que después ocurre, resulta poco fiable: de los marcados como desertores, un 31,8 % sí vuelve a matricularse al semestre siguiente; y de los no marcados, un 4,7 % no vuelve.</w:t>
      </w:r>
    </w:p>
    <w:p>
      <w:pPr>
        <w:spacing w:after="120" w:before="0" w:line="276"/>
      </w:pPr>
      <w:r>
        <w:rPr>
          <w:color w:val="000000"/>
          <w:sz w:val="21"/>
          <w:szCs w:val="21"/>
        </w:rPr>
        <w:t xml:space="preserve">El modelo por tanto no usa ese campo. La continuación se mide directamente sobre los hechos: un estudiante continúa si aparece de nuevo en la base, y no continúa si no aparece. Es una definición observable y sin ambigüedad.</w:t>
      </w:r>
    </w:p>
    <w:p>
      <w:pPr>
        <w:pStyle w:val="Heading3"/>
        <w:spacing w:after="120" w:before="240"/>
      </w:pPr>
      <w:r>
        <w:rPr>
          <w:b/>
          <w:bCs/>
          <w:color w:val="52514E"/>
          <w:sz w:val="22"/>
          <w:szCs w:val="22"/>
        </w:rPr>
        <w:t xml:space="preserve">3.3.2 El semestre 2026-II estaba aún abierto</w:t>
      </w:r>
    </w:p>
    <w:p>
      <w:pPr>
        <w:spacing w:after="120" w:before="0" w:line="276"/>
      </w:pPr>
      <w:r>
        <w:rPr>
          <w:color w:val="000000"/>
          <w:sz w:val="21"/>
          <w:szCs w:val="21"/>
        </w:rPr>
        <w:t xml:space="preserve">La fecha máxima de matrícula registrada en 2026-II es el 10 de septiembre de 2026, y en los años anteriores la matrícula del segundo semestre seguía admitiendo altas hasta finales de septiembre. Es razonable concluir que 2026-II estaba todavía incompleto en el momento de la extracción.</w:t>
      </w:r>
    </w:p>
    <w:p>
      <w:pPr>
        <w:spacing w:after="120" w:before="0" w:line="276"/>
      </w:pPr>
      <w:r>
        <w:rPr>
          <w:color w:val="000000"/>
          <w:sz w:val="21"/>
          <w:szCs w:val="21"/>
        </w:rPr>
        <w:t xml:space="preserve">Esto tiene una consecuencia medible en la validación, que se documenta en el apartado 8.4: el sesgo aparente del modelo procede en su práctica totalidad de las proyecciones de ese semestre.</w:t>
      </w:r>
    </w:p>
    <w:p>
      <w:pPr>
        <w:pStyle w:val="Heading3"/>
        <w:spacing w:after="120" w:before="240"/>
      </w:pPr>
      <w:r>
        <w:rPr>
          <w:b/>
          <w:bCs/>
          <w:color w:val="52514E"/>
          <w:sz w:val="22"/>
          <w:szCs w:val="22"/>
        </w:rPr>
        <w:t xml:space="preserve">3.3.3 Registros duplicados</w:t>
      </w:r>
    </w:p>
    <w:p>
      <w:pPr>
        <w:spacing w:after="120" w:before="0" w:line="276"/>
      </w:pPr>
      <w:r>
        <w:rPr>
          <w:color w:val="000000"/>
          <w:sz w:val="21"/>
          <w:szCs w:val="21"/>
        </w:rPr>
        <w:t xml:space="preserve">Se detectó un único par estudiante-semestre duplicado en 130 130 registros. Se conserva una sola observación por estudiante y semestre, que es la unidad de análisis correcta para construir transiciones.</w:t>
      </w:r>
    </w:p>
    <w:p>
      <w:pPr>
        <w:pStyle w:val="Heading3"/>
        <w:spacing w:after="120" w:before="240"/>
      </w:pPr>
      <w:r>
        <w:rPr>
          <w:b/>
          <w:bCs/>
          <w:color w:val="52514E"/>
          <w:sz w:val="22"/>
          <w:szCs w:val="22"/>
        </w:rPr>
        <w:t xml:space="preserve">3.3.4 El etiquetado de turno de la modalidad a distancia en 2023-I</w:t>
      </w:r>
    </w:p>
    <w:p>
      <w:pPr>
        <w:spacing w:after="120" w:before="0" w:line="276"/>
      </w:pPr>
      <w:r>
        <w:rPr>
          <w:color w:val="000000"/>
          <w:sz w:val="21"/>
          <w:szCs w:val="21"/>
        </w:rPr>
        <w:t xml:space="preserve">Los 600 ingresantes a distancia de 2023-I figuran íntegramente en turno tarde, mientras que a partir de 2023-II esa misma modalidad aparece sistemáticamente en turno noche, por encima del 93 %. Es un cambio de convención de registro, no de comportamiento.</w:t>
      </w:r>
    </w:p>
    <w:p>
      <w:pPr>
        <w:spacing w:after="120" w:before="0" w:line="276"/>
      </w:pPr>
      <w:r>
        <w:rPr>
          <w:color w:val="000000"/>
          <w:sz w:val="21"/>
          <w:szCs w:val="21"/>
        </w:rPr>
        <w:t xml:space="preserve">El modelo no necesita corregirlo —la ponderación de recencia del apartado 6.6 hace que ese semestre pese poco— pero conviene tenerlo presente al comparar la composición por turno contra el inicio de la serie, como se hace en el apartado 4.5.</w:t>
      </w:r>
    </w:p>
    <w:p>
      <w:r>
        <w:br w:type="page"/>
      </w:r>
    </w:p>
    <w:p>
      <w:pPr>
        <w:pStyle w:val="Heading1"/>
        <w:spacing w:after="180" w:before="360"/>
      </w:pPr>
      <w:r>
        <w:rPr>
          <w:b/>
          <w:bCs/>
          <w:color w:val="12233F"/>
          <w:sz w:val="30"/>
          <w:szCs w:val="30"/>
        </w:rPr>
        <w:t xml:space="preserve">4. Hallazgos que condicionan la especificación</w:t>
      </w:r>
    </w:p>
    <w:p>
      <w:pPr>
        <w:spacing w:after="120" w:before="0" w:line="276"/>
      </w:pPr>
      <w:r>
        <w:rPr>
          <w:color w:val="000000"/>
          <w:sz w:val="21"/>
          <w:szCs w:val="21"/>
        </w:rPr>
        <w:t xml:space="preserve">Antes de especificar un modelo conviene mirar los datos. Siete hallazgos del análisis exploratorio determinaron decisiones concretas de diseño.</w:t>
      </w:r>
    </w:p>
    <w:p>
      <w:pPr>
        <w:pStyle w:val="Heading2"/>
        <w:spacing w:after="140" w:before="300"/>
      </w:pPr>
      <w:r>
        <w:rPr>
          <w:b/>
          <w:bCs/>
          <w:color w:val="12233F"/>
          <w:sz w:val="25"/>
          <w:szCs w:val="25"/>
        </w:rPr>
        <w:t xml:space="preserve">4.1 La retención depende fuertemente del ciclo</w:t>
      </w:r>
    </w:p>
    <w:p>
      <w:pPr>
        <w:spacing w:after="120" w:before="0" w:line="276"/>
      </w:pPr>
      <w:r>
        <w:rPr>
          <w:color w:val="000000"/>
          <w:sz w:val="21"/>
          <w:szCs w:val="21"/>
        </w:rPr>
        <w:t xml:space="preserve">La probabilidad de volver a matricularse al semestre siguiente no es un número único: va del 60,5 % en el primer ciclo al 92,7 % en el noveno.</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2. </w:t>
      </w:r>
      <w:r>
        <w:rPr>
          <w:color w:val="52514E"/>
          <w:sz w:val="17"/>
          <w:szCs w:val="17"/>
        </w:rPr>
        <w:t xml:space="preserve">Tasa de continuación por ciclo y distribución del avance de ciclo, tal como las muestra el modelo en su pestaña «Modelo y validación».</w:t>
      </w:r>
    </w:p>
    <w:p>
      <w:pPr>
        <w:spacing w:after="120" w:before="0" w:line="276"/>
      </w:pPr>
      <w:r>
        <w:rPr>
          <w:color w:val="000000"/>
          <w:sz w:val="21"/>
          <w:szCs w:val="21"/>
        </w:rPr>
        <w:t xml:space="preserve">El perfil es el clásico de la educación superior: la deserción se concentra en los primeros ciclos y se reduce a medida que el estudiante avanza y el coste de abandonar crece. Un modelo con una tasa única de retención repartiría mal la matrícula entre ciclos aunque acertase el total.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ciclo es la dimensión principal de la estimación de la continuación, por delante de la modalidad y de la carrera. Las celdas con poca evidencia toman prestada la estructura por ciclo, que es la que más señal contiene.</w:t>
      </w:r>
    </w:p>
    <w:p>
      <w:pPr>
        <w:pStyle w:val="Heading2"/>
        <w:spacing w:after="140" w:before="300"/>
      </w:pPr>
      <w:r>
        <w:rPr>
          <w:b/>
          <w:bCs/>
          <w:color w:val="12233F"/>
          <w:sz w:val="25"/>
          <w:szCs w:val="25"/>
        </w:rPr>
        <w:t xml:space="preserve">4.2 La modalidad de estudios parte la población en tres regímenes</w:t>
      </w:r>
    </w:p>
    <w:p>
      <w:pPr>
        <w:spacing w:after="120" w:before="0" w:line="276"/>
      </w:pPr>
      <w:r>
        <w:rPr>
          <w:color w:val="000000"/>
          <w:sz w:val="21"/>
          <w:szCs w:val="21"/>
        </w:rPr>
        <w:t xml:space="preserve">La segunda fuente de heterogeneidad, por detrás del ciclo y por delante de la carrera, es la modalidad de estudios. La diferencia se concentra en el primer ciclo y es de gran magnitud: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750"/>
        <w:gridCol w:w="1900"/>
        <w:gridCol w:w="177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 2026-II</w:t>
            </w:r>
          </w:p>
        </w:tc>
        <w:tc>
          <w:tcPr>
            <w:tcW w:type="dxa" w:w="17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 1</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ciclos 2 a 9</w:t>
            </w:r>
          </w:p>
        </w:tc>
        <w:tc>
          <w:tcPr>
            <w:tcW w:type="dxa" w:w="17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un ciclo</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13 117</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70,7 %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88,3 %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84,5 %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3 221</w:t>
            </w:r>
          </w:p>
        </w:tc>
        <w:tc>
          <w:tcPr>
            <w:tcW w:type="dxa" w:w="17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88,3 %</w:t>
            </w:r>
          </w:p>
        </w:tc>
        <w:tc>
          <w:tcPr>
            <w:tcW w:type="dxa" w:w="17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87,9 %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3 992</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41,6 %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84,0 %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90,4 %</w:t>
            </w:r>
          </w:p>
        </w:tc>
      </w:tr>
    </w:tbl>
    <w:p>
      <w:pPr>
        <w:spacing w:after="220" w:before="80"/>
      </w:pPr>
      <w:r>
        <w:rPr>
          <w:b/>
          <w:bCs/>
          <w:color w:val="52514E"/>
          <w:sz w:val="17"/>
          <w:szCs w:val="17"/>
        </w:rPr>
        <w:t xml:space="preserve">Tabla 8. </w:t>
      </w:r>
      <w:r>
        <w:rPr>
          <w:color w:val="52514E"/>
          <w:sz w:val="17"/>
          <w:szCs w:val="17"/>
        </w:rPr>
        <w:t xml:space="preserve">Comportamiento por modalidad de estudios. Tasas agrupadas de las transiciones observadas, con la ponderación de recencia del apartado 6.6 y sin contracción: describen los datos, no los parámetros con que proyecta el modelo. Sin ponderar, las del primer ciclo son 71,2 %, 56,1 % y 42,1 %, en el mismo orden. El anexo A.2 recoge las tasas contraídas que el modelo emplea realmente.</w:t>
      </w:r>
    </w:p>
    <w:p>
      <w:pPr>
        <w:spacing w:after="60" w:before="18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81275"/>
                    </a:xfrm>
                    <a:prstGeom prst="rect">
                      <a:avLst/>
                    </a:prstGeom>
                  </pic:spPr>
                </pic:pic>
              </a:graphicData>
            </a:graphic>
          </wp:inline>
        </w:drawing>
      </w:r>
    </w:p>
    <w:p>
      <w:pPr>
        <w:spacing w:after="220"/>
        <w:jc w:val="center"/>
      </w:pPr>
      <w:r>
        <w:rPr>
          <w:b/>
          <w:bCs/>
          <w:color w:val="52514E"/>
          <w:sz w:val="17"/>
          <w:szCs w:val="17"/>
        </w:rPr>
        <w:t xml:space="preserve">Figura 3. </w:t>
      </w:r>
      <w:r>
        <w:rPr>
          <w:color w:val="52514E"/>
          <w:sz w:val="17"/>
          <w:szCs w:val="17"/>
        </w:rPr>
        <w:t xml:space="preserve">La dimensión modalidad tal como la documenta el modelo: continuación por ciclo en cada modalidad y cuadro de comportamiento comparado.</w:t>
      </w:r>
    </w:p>
    <w:p>
      <w:pPr>
        <w:spacing w:after="120" w:before="0" w:line="276"/>
      </w:pPr>
      <w:r>
        <w:rPr>
          <w:sz w:val="21"/>
          <w:szCs w:val="21"/>
        </w:rPr>
        <w:t xml:space="preserve">El patrón es nítido y tiene una lectura sencilla: la brecha </w:t>
      </w:r>
      <w:r>
        <w:rPr>
          <w:b/>
          <w:bCs/>
          <w:sz w:val="21"/>
          <w:szCs w:val="21"/>
        </w:rPr>
        <w:t xml:space="preserve">se concentra en el arranque y se cierra en el cuarto ciclo</w:t>
      </w:r>
      <w:r>
        <w:rPr>
          <w:sz w:val="21"/>
          <w:szCs w:val="21"/>
        </w:rPr>
        <w:t xml:space="preserve">. La separación entre la modalidad presencial y la de a distancia es de 29 puntos en el ciclo 1, de 6 en el 2, de menos de 5 en el 3 y de medio punto en el 4. Quien supera el primer año a distancia se comporta después casi igual que un estudiante presencial —entre el ciclo 5 y el 9 la modalidad a distancia incluso retiene algo mejor—. Lo que distingue a las modalidades no presenciales es la barrera de entrada, no la permanencia.</w:t>
      </w:r>
    </w:p>
    <w:p>
      <w:pPr>
        <w:spacing w:after="120" w:before="0" w:line="276"/>
      </w:pPr>
      <w:r>
        <w:rPr>
          <w:color w:val="000000"/>
          <w:sz w:val="21"/>
          <w:szCs w:val="21"/>
        </w:rPr>
        <w:t xml:space="preserve">También difieren en el ritmo de avance: el 90,4 % de los continuadores a distancia avanza exactamente un ciclo, frente al 84,5 % de los presenciales, que repiten ciclo con mayor frecuencia (9,6 % frente a 5,1 %). Sobre seis semestres de proyección esa diferencia desplaza de forma apreciable la distribución por ciclos.</w:t>
      </w:r>
    </w:p>
    <w:p>
      <w:pPr>
        <w:spacing w:after="120" w:before="0" w:line="276"/>
      </w:pPr>
      <w:r>
        <w:rPr>
          <w:sz w:val="21"/>
          <w:szCs w:val="21"/>
        </w:rPr>
        <w:t xml:space="preserve">La modalidad es, en cambio, </w:t>
      </w:r>
      <w:r>
        <w:rPr>
          <w:b/>
          <w:bCs/>
          <w:sz w:val="21"/>
          <w:szCs w:val="21"/>
        </w:rPr>
        <w:t xml:space="preserve">extraordinariamente estable a nivel individual</w:t>
      </w:r>
      <w:r>
        <w:rPr>
          <w:sz w:val="21"/>
          <w:szCs w:val="21"/>
        </w:rPr>
        <w:t xml:space="preserve">: el 99,44 % de los continuadores conserva su modalidad de un semestre al siguiente. Las tres tasas de permanencia son 99,35 % a distancia, 99,63 % presencial y 98,52 % semipresencial.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La modalidad entra en el estado del modelo como atributo conservado —igual que la sede y la carrera— y condiciona la continuación, el avance de ciclo y la transición de turno. No necesita matriz de transición propia. El apartado 5.4 desarrolla la especificación y el 6.5 mide cuánto aporta.</w:t>
      </w:r>
    </w:p>
    <w:p>
      <w:pPr>
        <w:pStyle w:val="Heading2"/>
        <w:spacing w:after="140" w:before="300"/>
      </w:pPr>
      <w:r>
        <w:rPr>
          <w:b/>
          <w:bCs/>
          <w:color w:val="12233F"/>
          <w:sz w:val="25"/>
          <w:szCs w:val="25"/>
        </w:rPr>
        <w:t xml:space="preserve">4.3 La caída de los últimos ciclos es egreso, no deserción</w:t>
      </w:r>
    </w:p>
    <w:p>
      <w:pPr>
        <w:spacing w:after="120" w:before="0" w:line="276"/>
      </w:pPr>
      <w:r>
        <w:rPr>
          <w:color w:val="000000"/>
          <w:sz w:val="21"/>
          <w:szCs w:val="21"/>
        </w:rPr>
        <w:t xml:space="preserve">La continuación se desploma en el ciclo 10 (47,1 %) y el 11 (16,3 %). Interpretarlo como deserción sería un error: esos estudiantes no abandonan, terminan la carrera.</w:t>
      </w:r>
    </w:p>
    <w:p>
      <w:pPr>
        <w:spacing w:after="120" w:before="0" w:line="276"/>
      </w:pPr>
      <w:r>
        <w:rPr>
          <w:color w:val="000000"/>
          <w:sz w:val="21"/>
          <w:szCs w:val="21"/>
        </w:rPr>
        <w:t xml:space="preserve">El comportamiento identifica además la duración del plan de cada carrera. En Derecho y Psicología la continuación del ciclo 10 sigue siendo alta (87,8 % y 93,6 %) y sólo cae en el 11: su plan tiene once ciclos. En el resto de carreras la caída ocurre en el ciclo 10, que es su ciclo terminal.</w:t>
      </w:r>
    </w:p>
    <w:p>
      <w:pPr>
        <w:spacing w:after="120" w:before="0" w:line="276"/>
      </w:pPr>
      <w:r>
        <w:rPr>
          <w:color w:val="000000"/>
          <w:sz w:val="21"/>
          <w:szCs w:val="21"/>
        </w:rPr>
        <w:t xml:space="preserve">Las carreras cuyo historial no alcanza todavía los ciclos superiores —programas de apertura reciente, y la modalidad a distancia, cuyo historial no pasa todavía del ciclo 7— están censuradas: no se puede inferir su duración de los datos. El modelo les asigna por defecto diez ciclos, valor que puede declararse explícitamente en el archivo de entrada.</w:t>
      </w:r>
    </w:p>
    <w:p>
      <w:pPr>
        <w:pStyle w:val="Heading2"/>
        <w:spacing w:after="140" w:before="300"/>
      </w:pPr>
      <w:r>
        <w:rPr>
          <w:b/>
          <w:bCs/>
          <w:color w:val="12233F"/>
          <w:sz w:val="25"/>
          <w:szCs w:val="25"/>
        </w:rPr>
        <w:t xml:space="preserve">4.4 Un 2,7 % de las matrículas son reingresos tras una pausa</w:t>
      </w:r>
    </w:p>
    <w:p>
      <w:pPr>
        <w:spacing w:after="120" w:before="0" w:line="276"/>
      </w:pPr>
      <w:r>
        <w:rPr>
          <w:color w:val="000000"/>
          <w:sz w:val="21"/>
          <w:szCs w:val="21"/>
        </w:rPr>
        <w:t xml:space="preserve">Modelar únicamente la transición de un semestre al siguiente trataría como desertor a todo estudiante que interrumpe sus estudios y regresa. El histórico muestra que eso no es marginal.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 entre matrículas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 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 semestres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3 semestres</w:t>
            </w:r>
          </w:p>
        </w:tc>
        <w:tc>
          <w:tcPr>
            <w:tcW w:type="dxa" w:w="1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4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Proporción de reapariciones</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96,25 %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0,70 %</w:t>
            </w:r>
          </w:p>
        </w:tc>
        <w:tc>
          <w:tcPr>
            <w:tcW w:type="dxa" w:w="1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r>
    </w:tbl>
    <w:p>
      <w:pPr>
        <w:spacing w:after="220" w:before="80"/>
      </w:pPr>
      <w:r>
        <w:rPr>
          <w:b/>
          <w:bCs/>
          <w:color w:val="52514E"/>
          <w:sz w:val="17"/>
          <w:szCs w:val="17"/>
        </w:rPr>
        <w:t xml:space="preserve">Tabla 9. </w:t>
      </w:r>
      <w:r>
        <w:rPr>
          <w:color w:val="52514E"/>
          <w:sz w:val="17"/>
          <w:szCs w:val="17"/>
        </w:rPr>
        <w:t xml:space="preserve">Distribución del rezago entre matrículas consecutivas del mismo estudiante. Los rezagos de 1 a 4 semestres recogen el 99,85 % de los flujos observados.</w:t>
      </w:r>
    </w:p>
    <w:p>
      <w:pPr>
        <w:spacing w:after="120" w:before="0" w:line="276"/>
      </w:pPr>
      <w:r>
        <w:rPr>
          <w:sz w:val="21"/>
          <w:szCs w:val="21"/>
        </w:rPr>
        <w:t xml:space="preserve">De los 40 933 estudiantes de la base, 3 017 interrumpen y regresan al menos una vez; son 3 344 matrículas, el 2,57 % del total. En estado estacionario, un modelo que los ignorase subestimaría la matrícula en ese orden de magnitud de forma sistemática. Por eso el modelo incorpora </w:t>
      </w:r>
      <w:r>
        <w:rPr>
          <w:b/>
          <w:bCs/>
          <w:sz w:val="21"/>
          <w:szCs w:val="21"/>
        </w:rPr>
        <w:t xml:space="preserve">rezagos múltiples</w:t>
      </w:r>
      <w:r>
        <w:rPr>
          <w:sz w:val="21"/>
          <w:szCs w:val="21"/>
        </w:rPr>
        <w:t xml:space="preserve"> de hasta cuatro semestres, que cubren el 99,85 % de los flujos.</w:t>
      </w:r>
    </w:p>
    <w:p>
      <w:pPr>
        <w:pStyle w:val="Heading2"/>
        <w:spacing w:after="140" w:before="300"/>
      </w:pPr>
      <w:r>
        <w:rPr>
          <w:b/>
          <w:bCs/>
          <w:color w:val="12233F"/>
          <w:sz w:val="25"/>
          <w:szCs w:val="25"/>
        </w:rPr>
        <w:t xml:space="preserve">4.5 El turno cambia, y su composición está en deriva</w:t>
      </w:r>
    </w:p>
    <w:p>
      <w:pPr>
        <w:spacing w:after="120" w:before="0" w:line="276"/>
      </w:pPr>
      <w:r>
        <w:rPr>
          <w:color w:val="000000"/>
          <w:sz w:val="21"/>
          <w:szCs w:val="21"/>
        </w:rPr>
        <w:t xml:space="preserve">Un 21,5 % de los continuadores cambia de turno de un semestre al siguiente. No es un atributo fijo del estudiante y no puede tratarse como tal.</w:t>
      </w:r>
    </w:p>
    <w:p>
      <w:pPr>
        <w:spacing w:after="60" w:before="18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905000"/>
                    </a:xfrm>
                    <a:prstGeom prst="rect">
                      <a:avLst/>
                    </a:prstGeom>
                  </pic:spPr>
                </pic:pic>
              </a:graphicData>
            </a:graphic>
          </wp:inline>
        </w:drawing>
      </w:r>
    </w:p>
    <w:p>
      <w:pPr>
        <w:spacing w:after="220"/>
        <w:jc w:val="center"/>
      </w:pPr>
      <w:r>
        <w:rPr>
          <w:b/>
          <w:bCs/>
          <w:color w:val="52514E"/>
          <w:sz w:val="17"/>
          <w:szCs w:val="17"/>
        </w:rPr>
        <w:t xml:space="preserve">Figura 4. </w:t>
      </w:r>
      <w:r>
        <w:rPr>
          <w:color w:val="52514E"/>
          <w:sz w:val="17"/>
          <w:szCs w:val="17"/>
        </w:rPr>
        <w:t xml:space="preserve">Matriz de transición de turno por sede y modalidad, y efectos de periodo estimados.</w:t>
      </w:r>
    </w:p>
    <w:p>
      <w:pPr>
        <w:spacing w:after="120" w:before="0" w:line="276"/>
      </w:pPr>
      <w:r>
        <w:rPr>
          <w:color w:val="000000"/>
          <w:sz w:val="21"/>
          <w:szCs w:val="21"/>
        </w:rPr>
        <w:t xml:space="preserve">La matriz muestra además que cada sede tiene su propio vocabulario de turnos: Lima Sur opera con Mañana, Tarde y Noche; Lima Norte, abierta en 2026, con Diurno y Noche. El modelo estima la transición de turno por sede, de modo que nunca traslada un estudiante a un turno que su sede no ofrece.</w:t>
      </w:r>
    </w:p>
    <w:p>
      <w:pPr>
        <w:spacing w:after="120" w:before="0" w:line="276"/>
      </w:pPr>
      <w:r>
        <w:rPr>
          <w:color w:val="000000"/>
          <w:sz w:val="21"/>
          <w:szCs w:val="21"/>
        </w:rPr>
        <w:t xml:space="preserve">Más relevante para la proyección es la deriva de la composición de los ingresantes. La participación del turno noche entre los que ingresan pasa del 22,5 % en 2023-I al 70,3 % en 2026-II.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200"/>
        <w:gridCol w:w="1200"/>
        <w:gridCol w:w="1200"/>
        <w:gridCol w:w="13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65,9 %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56,1 %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70,3 %</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Tarde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Diurno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12,4 %</w:t>
            </w:r>
          </w:p>
        </w:tc>
      </w:tr>
    </w:tbl>
    <w:p>
      <w:pPr>
        <w:spacing w:after="220" w:before="80"/>
      </w:pPr>
      <w:r>
        <w:rPr>
          <w:b/>
          <w:bCs/>
          <w:color w:val="52514E"/>
          <w:sz w:val="17"/>
          <w:szCs w:val="17"/>
        </w:rPr>
        <w:t xml:space="preserve">Tabla 10. </w:t>
      </w:r>
      <w:r>
        <w:rPr>
          <w:color w:val="52514E"/>
          <w:sz w:val="17"/>
          <w:szCs w:val="17"/>
        </w:rPr>
        <w:t xml:space="preserve">Composición por turno de los ingresantes. El turno Diurno aparece con la apertura de la sede Lima Norte en 2026-I.</w:t>
      </w:r>
    </w:p>
    <w:p>
      <w:pPr>
        <w:pStyle w:val="Heading3"/>
        <w:spacing w:after="120" w:before="240"/>
      </w:pPr>
      <w:r>
        <w:rPr>
          <w:b/>
          <w:bCs/>
          <w:color w:val="52514E"/>
          <w:sz w:val="22"/>
          <w:szCs w:val="22"/>
        </w:rPr>
        <w:t xml:space="preserve">4.5.1 Buena parte de esa deriva es composición por modalidad</w:t>
      </w:r>
    </w:p>
    <w:p>
      <w:pPr>
        <w:spacing w:after="120" w:before="0" w:line="276"/>
      </w:pPr>
      <w:r>
        <w:rPr>
          <w:color w:val="000000"/>
          <w:sz w:val="21"/>
          <w:szCs w:val="21"/>
        </w:rPr>
        <w:t xml:space="preserve">Conviene descomponer ese desplazamiento, porque no todo él es un cambio de preferencia. Dentro de cada modalidad, la participación del turno noche entre los ingresantes es muy distinta y mucho más estable: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1300"/>
        <w:gridCol w:w="1300"/>
        <w:gridCol w:w="172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Noche entre ingresantes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25,8 %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31,6 %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99,0 %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99,2 %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98,6 %</w:t>
            </w:r>
          </w:p>
        </w:tc>
      </w:tr>
    </w:tbl>
    <w:p>
      <w:pPr>
        <w:spacing w:after="220" w:before="80"/>
      </w:pPr>
      <w:r>
        <w:rPr>
          <w:b/>
          <w:bCs/>
          <w:color w:val="52514E"/>
          <w:sz w:val="17"/>
          <w:szCs w:val="17"/>
        </w:rPr>
        <w:t xml:space="preserve">Tabla 11. </w:t>
      </w:r>
      <w:r>
        <w:rPr>
          <w:color w:val="52514E"/>
          <w:sz w:val="17"/>
          <w:szCs w:val="17"/>
        </w:rPr>
        <w:t xml:space="preserve">Participación del turno noche entre los ingresantes de cada modalidad. Las modalidades no presenciales son casi íntegramente nocturnas; la presencial es mayoritariamente diurna.</w:t>
      </w:r>
    </w:p>
    <w:p>
      <w:pPr>
        <w:spacing w:after="120" w:before="0" w:line="276"/>
      </w:pPr>
      <w:r>
        <w:rPr>
          <w:sz w:val="21"/>
          <w:szCs w:val="21"/>
        </w:rPr>
        <w:t xml:space="preserve">Comparando dos semestres homólogos —2024-I y 2026-I, ambos primeros semestres— la participación del turno noche entre los ingresantes sube 10,7 puntos. Una descomposición al estilo de Oaxaca-Blinder atribuye </w:t>
      </w:r>
      <w:r>
        <w:rPr>
          <w:b/>
          <w:bCs/>
          <w:sz w:val="21"/>
          <w:szCs w:val="21"/>
        </w:rPr>
        <w:t xml:space="preserve">6,4 puntos al cambio de composición por modalidad</w:t>
      </w:r>
      <w:r>
        <w:rPr>
          <w:sz w:val="21"/>
          <w:szCs w:val="21"/>
        </w:rPr>
        <w:t xml:space="preserve"> y sólo 4,3 puntos a un desplazamiento genuino dentro de cada modalidad. Es decir: seis de cada diez puntos de la «migración al turno noche» son en realidad el crecimiento de la modalidad a distancia, que es nocturna por diseño.</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De aquí salen dos decisiones. Primera: la transición de turno y el reparto de turno de los ingresantes se estiman condicionando en la modalidad, no sólo en la sede (apartados 5.6 y 6.7). Segunda: se mantiene la ponderación exponencial de recencia del apartado 6.6, porque aún queda deriva intra-modalidad, pero ya no tiene que cargar sola con el efecto de composición, y su parámetro óptimo se desplaza en consecuencia.</w:t>
      </w:r>
    </w:p>
    <w:p>
      <w:pPr>
        <w:pStyle w:val="Heading2"/>
        <w:spacing w:after="140" w:before="300"/>
      </w:pPr>
      <w:r>
        <w:rPr>
          <w:b/>
          <w:bCs/>
          <w:color w:val="12233F"/>
          <w:sz w:val="25"/>
          <w:szCs w:val="25"/>
        </w:rPr>
        <w:t xml:space="preserve">4.6 Lima Norte abrió en 2026-I y todavía está desplegando su plan</w:t>
      </w:r>
    </w:p>
    <w:p>
      <w:pPr>
        <w:spacing w:after="120" w:before="0" w:line="276"/>
      </w:pPr>
      <w:r>
        <w:rPr>
          <w:color w:val="000000"/>
          <w:sz w:val="21"/>
          <w:szCs w:val="21"/>
        </w:rPr>
        <w:t xml:space="preserve">La sede Lima Norte aparece por primera vez en 2026-I y su distribución por ciclos no es la de una sede en régimen: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6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2</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 3 a 11</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1 930</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2026-II</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983</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1 289</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bl>
    <w:p>
      <w:pPr>
        <w:spacing w:after="220" w:before="80"/>
      </w:pPr>
      <w:r>
        <w:rPr>
          <w:b/>
          <w:bCs/>
          <w:color w:val="52514E"/>
          <w:sz w:val="17"/>
          <w:szCs w:val="17"/>
        </w:rPr>
        <w:t xml:space="preserve">Tabla 12. </w:t>
      </w:r>
      <w:r>
        <w:rPr>
          <w:color w:val="52514E"/>
          <w:sz w:val="17"/>
          <w:szCs w:val="17"/>
        </w:rPr>
        <w:t xml:space="preserve">Matrícula de Lima Norte por ciclo. La sede sólo puede ofrecer los ciclos que le ha dado tiempo a desplegar.</w:t>
      </w:r>
    </w:p>
    <w:p>
      <w:pPr>
        <w:spacing w:after="120" w:before="0" w:line="276"/>
      </w:pPr>
      <w:r>
        <w:rPr>
          <w:sz w:val="21"/>
          <w:szCs w:val="21"/>
        </w:rPr>
        <w:t xml:space="preserve">No es un dato incompleto: es el comportamiento de una sede que abre. En su primer semestre sólo existe el ciclo 1; en el segundo, el 1 y el 2. En 2027-I llegará hasta el 3, en 2027-II hasta el 4, y así hasta completar el plan. Lima Sur, en cambio, aparece con los once ciclos desde el primer registro de la base, porque es anterior a la ventana de datos.</w:t>
      </w:r>
    </w:p>
    <w:p>
      <w:pPr>
        <w:spacing w:after="120" w:before="0" w:line="276"/>
      </w:pPr>
      <w:r>
        <w:rPr>
          <w:color w:val="000000"/>
          <w:sz w:val="21"/>
          <w:szCs w:val="21"/>
        </w:rPr>
        <w:t xml:space="preserve">La sede nueva tampoco replica la oferta de la antigua: Lima Norte imparte 17 de las 25 carreras y no ofrece la modalidad a distancia. Ambas restricciones —de ciclo y de oferta— se aplican en la proyección.</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Sin un tope explícito la proyección colocaría estudiantes de Lima Norte en ciclos que la sede todavía no imparte, porque la matriz de avance permite saltos de +2 y +3 y el archivo de ingresantes puede declarar traslados a ciclos superiores. El apartado 5.7 desarrolla la restricción, que se aplica igual a cualquier sede que abra en el futuro.</w:t>
      </w:r>
    </w:p>
    <w:p>
      <w:pPr>
        <w:pStyle w:val="Heading2"/>
        <w:spacing w:after="140" w:before="300"/>
      </w:pPr>
      <w:r>
        <w:rPr>
          <w:b/>
          <w:bCs/>
          <w:color w:val="12233F"/>
          <w:sz w:val="25"/>
          <w:szCs w:val="25"/>
        </w:rPr>
        <w:t xml:space="preserve">4.7 La retención se mueve en bloque de un semestre a otro</w:t>
      </w:r>
    </w:p>
    <w:p>
      <w:pPr>
        <w:spacing w:after="120" w:before="0" w:line="276"/>
      </w:pPr>
      <w:r>
        <w:rPr>
          <w:color w:val="000000"/>
          <w:sz w:val="21"/>
          <w:szCs w:val="21"/>
        </w:rPr>
        <w:t xml:space="preserve">Al comparar la tasa agregada de continuación entre semestres se observa una variación que no puede atribuirse al azar muestral: va del 75,4 % al 80,6 %. Con decenas de miles de observaciones por semestre, el ruido binomial no explica un rango así.</w:t>
      </w:r>
    </w:p>
    <w:p>
      <w:pPr>
        <w:spacing w:after="120" w:before="0" w:line="276"/>
      </w:pPr>
      <w:r>
        <w:rPr>
          <w:color w:val="000000"/>
          <w:sz w:val="21"/>
          <w:szCs w:val="21"/>
        </w:rPr>
        <w:t xml:space="preserve">La descomposición confirma la intuición: de la varianza observada de la tasa entre semestres (2,69·10⁻⁴), sólo un 4,1 % es atribuible al muestreo y el 95,9 % restante corresponde a variación de proceso genuina.</w:t>
      </w:r>
    </w:p>
    <w:p>
      <w:pPr>
        <w:spacing w:after="120" w:before="0" w:line="276"/>
      </w:pPr>
      <w:r>
        <w:rPr>
          <w:sz w:val="21"/>
          <w:szCs w:val="21"/>
        </w:rPr>
        <w:t xml:space="preserve">Ahora bien, «variación de proceso» no equivale a «choque aleatorio». Una parte de ese movimiento es </w:t>
      </w:r>
      <w:r>
        <w:rPr>
          <w:b/>
          <w:bCs/>
          <w:sz w:val="21"/>
          <w:szCs w:val="21"/>
        </w:rPr>
        <w:t xml:space="preserve">predecible</w:t>
      </w:r>
      <w:r>
        <w:rPr>
          <w:sz w:val="21"/>
          <w:szCs w:val="21"/>
        </w:rPr>
        <w:t xml:space="preserve">: la estacionalidad entre semestres pares e impares, y el cambio de composición por modalidad. Separar los tres componentes —muestreo, parte predecible y choque genuino— es el objeto del capítulo 6, y determina la amplitud de los escenarios.</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componente sistémico que queda tras descontar ciclo, modalidad y estacionalidad —común a todas las cohortes de un mismo semestre— es el que gradúa los escenarios. Es la elección econométrica central del modelo y se desarrolla en el capítulo 7.</w:t>
      </w:r>
    </w:p>
    <w:p>
      <w:r>
        <w:br w:type="page"/>
      </w:r>
    </w:p>
    <w:p>
      <w:pPr>
        <w:pStyle w:val="Heading1"/>
        <w:spacing w:after="180" w:before="360"/>
      </w:pPr>
      <w:r>
        <w:rPr>
          <w:b/>
          <w:bCs/>
          <w:color w:val="12233F"/>
          <w:sz w:val="30"/>
          <w:szCs w:val="30"/>
        </w:rPr>
        <w:t xml:space="preserve">5. Especificación del modelo</w:t>
      </w:r>
    </w:p>
    <w:p>
      <w:pPr>
        <w:pStyle w:val="Heading2"/>
        <w:spacing w:after="140" w:before="300"/>
      </w:pPr>
      <w:r>
        <w:rPr>
          <w:b/>
          <w:bCs/>
          <w:color w:val="12233F"/>
          <w:sz w:val="25"/>
          <w:szCs w:val="25"/>
        </w:rPr>
        <w:t xml:space="preserve">5.1 La ecuación de recursión</w:t>
      </w:r>
    </w:p>
    <w:p>
      <w:pPr>
        <w:spacing w:after="120" w:before="0" w:line="276"/>
      </w:pPr>
      <w:r>
        <w:rPr>
          <w:color w:val="000000"/>
          <w:sz w:val="21"/>
          <w:szCs w:val="21"/>
        </w:rPr>
        <w:t xml:space="preserve">El modelo es una cadena de Markov de cohortes con rezagos múltiples. La matrícula de un semestre en un estado dado se obtiene sumando los ingresantes declarados y los flujos que llegan desde los estados de semestres anteriores:</w:t>
      </w:r>
    </w:p>
    <w:p>
      <w:pPr>
        <w:shd w:fill="F2F1ED" w:val="clear"/>
        <w:spacing w:after="0" w:before="140" w:line="260"/>
        <w:ind w:left="200" w:right="200"/>
      </w:pPr>
      <w:r>
        <w:rPr>
          <w:rFonts w:ascii="Consolas" w:cs="Consolas" w:eastAsia="Consolas" w:hAnsi="Consolas"/>
          <w:sz w:val="18"/>
          <w:szCs w:val="18"/>
        </w:rPr>
        <w:t xml:space="preserve">M(T, s, c, m, k, u) = N(T, s, c, m, k, u)</w:t>
      </w:r>
    </w:p>
    <w:p>
      <w:pPr>
        <w:shd w:fill="F2F1ED" w:val="clear"/>
        <w:spacing w:after="0" w:before="0" w:line="260"/>
        <w:ind w:left="200" w:right="200"/>
      </w:pPr>
      <w:r>
        <w:rPr>
          <w:rFonts w:ascii="Consolas" w:cs="Consolas" w:eastAsia="Consolas" w:hAnsi="Consolas"/>
          <w:sz w:val="18"/>
          <w:szCs w:val="18"/>
        </w:rPr>
        <w:t xml:space="preserve">                    + Σ       Σ     M(T−L, s, c, m, k′, u′) · φ_L(k′,u′ → k,u)</w:t>
      </w:r>
    </w:p>
    <w:p>
      <w:pPr>
        <w:shd w:fill="F2F1ED" w:val="clear"/>
        <w:spacing w:after="0" w:before="0" w:line="260"/>
        <w:ind w:left="200" w:right="200"/>
      </w:pPr>
      <w:r>
        <w:rPr>
          <w:rFonts w:ascii="Consolas" w:cs="Consolas" w:eastAsia="Consolas" w:hAnsi="Consolas"/>
          <w:sz w:val="18"/>
          <w:szCs w:val="18"/>
        </w:rPr>
        <w:t xml:space="preserve">                     L=1..4  k′,u′</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con  φ_L(k′,u′ → k,u) = q_L(s, c, m, k′, p′) · A(k′→k | c, m, k′) · U(u′→u | s, m, 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Símbolo</w:t>
            </w:r>
          </w:p>
        </w:tc>
        <w:tc>
          <w:tcPr>
            <w:tcW w:type="dxa" w:w="7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Significado</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M</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Matrícula proyectada.</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N</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 declarados en el archivo de entrada, repartidos por turno según el apartado 6.7 y, si no se declara, por modalidad según el 6.8.</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T</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de destino; p es su paridad (I o II).</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s, c, m</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carrera y modalidad de estudios. Los tres se conservan a lo largo del flujo: no aparecen primados.</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k, u</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y turno. Las primas indican el estado de origen.</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L</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Rezago en semestres entre la matrícula de origen y la de destino.</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q_L</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 de que la siguiente matrícula del estudiante ocurra exactamente L semestres después.</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A</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Distribución del salto de ciclo entre quienes se rematriculan.</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U</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de turno.</w:t>
            </w:r>
          </w:p>
        </w:tc>
      </w:tr>
    </w:tbl>
    <w:p>
      <w:pPr>
        <w:spacing w:after="220" w:before="80"/>
      </w:pPr>
      <w:r>
        <w:rPr>
          <w:b/>
          <w:bCs/>
          <w:color w:val="52514E"/>
          <w:sz w:val="17"/>
          <w:szCs w:val="17"/>
        </w:rPr>
        <w:t xml:space="preserve">Tabla 13. </w:t>
      </w:r>
      <w:r>
        <w:rPr>
          <w:color w:val="52514E"/>
          <w:sz w:val="17"/>
          <w:szCs w:val="17"/>
        </w:rPr>
        <w:t xml:space="preserve">Notación de la ecuación de recursión.</w:t>
      </w:r>
    </w:p>
    <w:p>
      <w:pPr>
        <w:spacing w:after="120" w:before="0" w:line="276"/>
      </w:pPr>
      <w:r>
        <w:rPr>
          <w:sz w:val="21"/>
          <w:szCs w:val="21"/>
        </w:rPr>
        <w:t xml:space="preserve">Las tres probabilidades condicionan en la modalidad, pero ninguna la </w:t>
      </w:r>
      <w:r>
        <w:rPr>
          <w:i/>
          <w:iCs/>
          <w:sz w:val="21"/>
          <w:szCs w:val="21"/>
        </w:rPr>
        <w:t xml:space="preserve">cambia</w:t>
      </w:r>
      <w:r>
        <w:rPr>
          <w:sz w:val="21"/>
          <w:szCs w:val="21"/>
        </w:rPr>
        <w:t xml:space="preserve">: la modalidad es un índice del estado, como la sede y la carrera. El apartado 5.4 justifica ese tratamiento.</w:t>
      </w:r>
    </w:p>
    <w:p>
      <w:pPr>
        <w:spacing w:after="60" w:before="180"/>
        <w:jc w:val="center"/>
      </w:pPr>
      <w:r>
        <w:drawing>
          <wp:inline distT="0" distB="0" distL="0" distR="0">
            <wp:extent cx="5715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52750"/>
                    </a:xfrm>
                    <a:prstGeom prst="rect">
                      <a:avLst/>
                    </a:prstGeom>
                  </pic:spPr>
                </pic:pic>
              </a:graphicData>
            </a:graphic>
          </wp:inline>
        </w:drawing>
      </w:r>
    </w:p>
    <w:p>
      <w:pPr>
        <w:spacing w:after="220"/>
        <w:jc w:val="center"/>
      </w:pPr>
      <w:r>
        <w:rPr>
          <w:b/>
          <w:bCs/>
          <w:color w:val="52514E"/>
          <w:sz w:val="17"/>
          <w:szCs w:val="17"/>
        </w:rPr>
        <w:t xml:space="preserve">Figura 5. </w:t>
      </w:r>
      <w:r>
        <w:rPr>
          <w:color w:val="52514E"/>
          <w:sz w:val="17"/>
          <w:szCs w:val="17"/>
        </w:rPr>
        <w:t xml:space="preserve">La ecuación y los parámetros del modelo, tal como los expone el propio HTML en su pestaña «Modelo y validación».</w:t>
      </w:r>
    </w:p>
    <w:p>
      <w:pPr>
        <w:pStyle w:val="Heading2"/>
        <w:spacing w:after="140" w:before="300"/>
      </w:pPr>
      <w:r>
        <w:rPr>
          <w:b/>
          <w:bCs/>
          <w:color w:val="12233F"/>
          <w:sz w:val="25"/>
          <w:szCs w:val="25"/>
        </w:rPr>
        <w:t xml:space="preserve">5.2 Por qué «siguiente matrícula» y no «semestre siguiente»</w:t>
      </w:r>
    </w:p>
    <w:p>
      <w:pPr>
        <w:spacing w:after="120" w:before="0" w:line="276"/>
      </w:pPr>
      <w:r>
        <w:rPr>
          <w:sz w:val="21"/>
          <w:szCs w:val="21"/>
        </w:rPr>
        <w:t xml:space="preserve">La definición de q_L es deliberada y merece detenerse en ella. No es «¿está matriculado en T−L y también en T?», sino «¿es T la </w:t>
      </w:r>
      <w:r>
        <w:rPr>
          <w:i/>
          <w:iCs/>
          <w:sz w:val="21"/>
          <w:szCs w:val="21"/>
        </w:rPr>
        <w:t xml:space="preserve">siguiente</w:t>
      </w:r>
      <w:r>
        <w:rPr>
          <w:sz w:val="21"/>
          <w:szCs w:val="21"/>
        </w:rPr>
        <w:t xml:space="preserve"> matrícula de quien estaba en T−L?».</w:t>
      </w:r>
    </w:p>
    <w:p>
      <w:pPr>
        <w:spacing w:after="120" w:before="0" w:line="276"/>
      </w:pPr>
      <w:r>
        <w:rPr>
          <w:color w:val="000000"/>
          <w:sz w:val="21"/>
          <w:szCs w:val="21"/>
        </w:rPr>
        <w:t xml:space="preserve">La diferencia importa para la corrección aritmética. Con la primera definición, un estudiante matriculado en tres semestres consecutivos sería contado dos veces al proyectar el tercero: una desde el primero con rezago 2 y otra desde el segundo con rezago 1. Con la definición adoptada, cada matrícula de origen genera como mucho una matrícula de destino —su siguiente aparición—, de modo que los sucesos son mutuamente excluyentes y la suma de probabilidades está acotada:</w:t>
      </w:r>
    </w:p>
    <w:p>
      <w:pPr>
        <w:shd w:fill="F2F1ED" w:val="clear"/>
        <w:spacing w:after="160" w:before="140" w:line="260"/>
        <w:ind w:left="200" w:right="200"/>
      </w:pPr>
      <w:r>
        <w:rPr>
          <w:rFonts w:ascii="Consolas" w:cs="Consolas" w:eastAsia="Consolas" w:hAnsi="Consolas"/>
          <w:sz w:val="18"/>
          <w:szCs w:val="18"/>
        </w:rPr>
        <w:t xml:space="preserve">q_1(s) + q_2(s) + q_3(s) + q_4(s) + q_no-vuelve(s) = 1</w:t>
      </w:r>
    </w:p>
    <w:p>
      <w:pPr>
        <w:spacing w:after="120" w:before="0" w:line="276"/>
      </w:pPr>
      <w:r>
        <w:rPr>
          <w:color w:val="000000"/>
          <w:sz w:val="21"/>
          <w:szCs w:val="21"/>
        </w:rPr>
        <w:t xml:space="preserve">El modelo queda así libre de doble conteo por construcción, no por ajuste posterior.</w:t>
      </w:r>
    </w:p>
    <w:p>
      <w:pPr>
        <w:pStyle w:val="Heading2"/>
        <w:spacing w:after="140" w:before="300"/>
      </w:pPr>
      <w:r>
        <w:rPr>
          <w:b/>
          <w:bCs/>
          <w:color w:val="12233F"/>
          <w:sz w:val="25"/>
          <w:szCs w:val="25"/>
        </w:rPr>
        <w:t xml:space="preserve">5.3 Censura por el borde de la ventana observada</w:t>
      </w:r>
    </w:p>
    <w:p>
      <w:pPr>
        <w:spacing w:after="120" w:before="0" w:line="276"/>
      </w:pPr>
      <w:r>
        <w:rPr>
          <w:color w:val="000000"/>
          <w:sz w:val="21"/>
          <w:szCs w:val="21"/>
        </w:rPr>
        <w:t xml:space="preserve">Un estudiante matriculado en 2026-I sólo puede observarse con rezago 1, porque 2026-II es el último semestre de la base. Incluirlo en el denominador de q₂, q₃ y q₄ sesgaría esas tasas a la baja de forma mecánica.</w:t>
      </w:r>
    </w:p>
    <w:p>
      <w:pPr>
        <w:spacing w:after="120" w:before="0" w:line="276"/>
      </w:pPr>
      <w:r>
        <w:rPr>
          <w:color w:val="000000"/>
          <w:sz w:val="21"/>
          <w:szCs w:val="21"/>
        </w:rPr>
        <w:t xml:space="preserve">El estimador controla esa censura: una matrícula de origen en el semestre t entra en el conjunto de riesgo del rezago L únicamente si t + L cae dentro de la ventana observada. El resultado es que q₂ se estima con seis semestres de origen, q₃ con cinco y q₄ con cuatro.</w:t>
      </w:r>
    </w:p>
    <w:p>
      <w:pPr>
        <w:pStyle w:val="Heading2"/>
        <w:spacing w:after="140" w:before="300"/>
      </w:pPr>
      <w:r>
        <w:rPr>
          <w:b/>
          <w:bCs/>
          <w:color w:val="12233F"/>
          <w:sz w:val="25"/>
          <w:szCs w:val="25"/>
        </w:rPr>
        <w:t xml:space="preserve">5.4 La modalidad de estudios como atributo conservado</w:t>
      </w:r>
    </w:p>
    <w:p>
      <w:pPr>
        <w:spacing w:after="120" w:before="0" w:line="276"/>
      </w:pPr>
      <w:r>
        <w:rPr>
          <w:color w:val="000000"/>
          <w:sz w:val="21"/>
          <w:szCs w:val="21"/>
        </w:rPr>
        <w:t xml:space="preserve">La modalidad plantea una pregunta de especificación que conviene resolver con los datos y no por analogía: ¿es un estado entre los que el estudiante transita, como el turno, o un atributo que lo acompaña, como la sede?</w:t>
      </w:r>
    </w:p>
    <w:p>
      <w:pPr>
        <w:spacing w:after="120" w:before="0" w:line="276"/>
      </w:pPr>
      <w:r>
        <w:rPr>
          <w:color w:val="000000"/>
          <w:sz w:val="21"/>
          <w:szCs w:val="21"/>
        </w:rPr>
        <w:t xml:space="preserve">La respuesta está en la matriz de transición observada sobre las 89 196 transiciones de la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700"/>
        <w:gridCol w:w="1700"/>
        <w:gridCol w:w="170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 origen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A distancia</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Presencial</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Semi Pres.</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Transiciones</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99,35 %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9 171</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0,21 %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99,63 %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0,17 %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67 418</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98,52 %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12 607</w:t>
            </w:r>
          </w:p>
        </w:tc>
      </w:tr>
    </w:tbl>
    <w:p>
      <w:pPr>
        <w:spacing w:after="220" w:before="80"/>
      </w:pPr>
      <w:r>
        <w:rPr>
          <w:b/>
          <w:bCs/>
          <w:color w:val="52514E"/>
          <w:sz w:val="17"/>
          <w:szCs w:val="17"/>
        </w:rPr>
        <w:t xml:space="preserve">Tabla 14. </w:t>
      </w:r>
      <w:r>
        <w:rPr>
          <w:color w:val="52514E"/>
          <w:sz w:val="17"/>
          <w:szCs w:val="17"/>
        </w:rPr>
        <w:t xml:space="preserve">Matriz de transición de modalidad entre matrículas consecutivas del mismo estudiante. La diagonal concentra el 99,44 % de los casos.</w:t>
      </w:r>
    </w:p>
    <w:p>
      <w:pPr>
        <w:spacing w:after="120" w:before="0" w:line="276"/>
      </w:pPr>
      <w:r>
        <w:rPr>
          <w:sz w:val="21"/>
          <w:szCs w:val="21"/>
        </w:rPr>
        <w:t xml:space="preserve">Con una diagonal del 99,44 % la respuesta es inequívoca: la modalidad se comporta como la sede (0 % de cambios) y como la carrera (0,43 %), no como el turno (21,5 % de cambios). El modelo la trata por tanto como </w:t>
      </w:r>
      <w:r>
        <w:rPr>
          <w:b/>
          <w:bCs/>
          <w:sz w:val="21"/>
          <w:szCs w:val="21"/>
        </w:rPr>
        <w:t xml:space="preserve">atributo fijo del estado</w:t>
      </w:r>
      <w:r>
        <w:rPr>
          <w:sz w:val="21"/>
          <w:szCs w:val="21"/>
        </w:rPr>
        <w:t xml:space="preserve"> y no estima matriz de transición para ella.</w:t>
      </w:r>
    </w:p>
    <w:p>
      <w:pPr>
        <w:spacing w:after="120" w:before="0" w:line="276"/>
      </w:pPr>
      <w:r>
        <w:rPr>
          <w:color w:val="000000"/>
          <w:sz w:val="21"/>
          <w:szCs w:val="21"/>
        </w:rPr>
        <w:t xml:space="preserve">Esa decisión tiene dos consecuencias favorables. La primera es de parsimonia: se evitan seis parámetros libres por celda que los datos no justifican. La segunda es de contabilidad: al no haber flujo entre modalidades, la matrícula proyectada de cada modalidad se puede leer directamente, sin que dependa de una matriz de traspasos que introduciría error donde no lo hay.</w:t>
      </w:r>
    </w:p>
    <w:p>
      <w:pPr>
        <w:spacing w:after="120" w:before="0" w:line="276"/>
      </w:pPr>
      <w:r>
        <w:rPr>
          <w:color w:val="000000"/>
          <w:sz w:val="21"/>
          <w:szCs w:val="21"/>
        </w:rPr>
        <w:t xml:space="preserve">Lo que sí hace el modelo es condicionar en la modalidad las tres probabilidades de la recursión:</w:t>
      </w:r>
    </w:p>
    <w:p>
      <w:pPr>
        <w:pStyle w:val="ListParagraph"/>
        <w:numPr>
          <w:ilvl w:val="0"/>
          <w:numId w:val="2"/>
        </w:numPr>
        <w:spacing w:after="90" w:line="276"/>
      </w:pPr>
      <w:r>
        <w:rPr>
          <w:b/>
          <w:bCs/>
          <w:sz w:val="21"/>
          <w:szCs w:val="21"/>
        </w:rPr>
        <w:t xml:space="preserve">Continuación q_L. </w:t>
      </w:r>
      <w:r>
        <w:rPr>
          <w:sz w:val="21"/>
          <w:szCs w:val="21"/>
        </w:rPr>
        <w:t xml:space="preserve">La modalidad es el tercer nivel de la escalera de contracción, entre el ciclo y la carrera (apartado 6.2.3). La brecha de 29 puntos en el primer ciclo es demasiado grande para promediarla.</w:t>
      </w:r>
    </w:p>
    <w:p>
      <w:pPr>
        <w:pStyle w:val="ListParagraph"/>
        <w:numPr>
          <w:ilvl w:val="0"/>
          <w:numId w:val="2"/>
        </w:numPr>
        <w:spacing w:after="90" w:line="276"/>
      </w:pPr>
      <w:r>
        <w:rPr>
          <w:b/>
          <w:bCs/>
          <w:sz w:val="21"/>
          <w:szCs w:val="21"/>
        </w:rPr>
        <w:t xml:space="preserve">Avance de ciclo A. </w:t>
      </w:r>
      <w:r>
        <w:rPr>
          <w:sz w:val="21"/>
          <w:szCs w:val="21"/>
        </w:rPr>
        <w:t xml:space="preserve">El estudiante a distancia avanza un ciclo con mayor frecuencia (90,4 %) y repite menos (5,1 %) que el presencial (84,5 % y 9,6 %).</w:t>
      </w:r>
    </w:p>
    <w:p>
      <w:pPr>
        <w:pStyle w:val="ListParagraph"/>
        <w:numPr>
          <w:ilvl w:val="0"/>
          <w:numId w:val="2"/>
        </w:numPr>
        <w:spacing w:after="90" w:line="276"/>
      </w:pPr>
      <w:r>
        <w:rPr>
          <w:b/>
          <w:bCs/>
          <w:sz w:val="21"/>
          <w:szCs w:val="21"/>
        </w:rPr>
        <w:t xml:space="preserve">Transición de turno U. </w:t>
      </w:r>
      <w:r>
        <w:rPr>
          <w:sz w:val="21"/>
          <w:szCs w:val="21"/>
        </w:rPr>
        <w:t xml:space="preserve">Es la más marcada de las tres: dentro de la misma sede, un estudiante presencial de turno noche pasa a mañana en un 10,1 % de los casos, mientras que uno a distancia lo hace en un 0,1 %. Apartado 5.6.</w:t>
      </w:r>
    </w:p>
    <w:p>
      <w:pPr>
        <w:pBdr>
          <w:left w:val="single" w:color="C07E00" w:sz="18" w:space="8"/>
        </w:pBdr>
        <w:shd w:fill="F2F1ED" w:val="clear"/>
        <w:spacing w:after="180" w:before="160" w:line="276"/>
        <w:ind w:left="160" w:right="160"/>
      </w:pPr>
      <w:r>
        <w:rPr>
          <w:b/>
          <w:bCs/>
          <w:sz w:val="21"/>
          <w:szCs w:val="21"/>
        </w:rPr>
        <w:t xml:space="preserve">Restricción de oferta. </w:t>
      </w:r>
      <w:r>
        <w:rPr>
          <w:sz w:val="21"/>
          <w:szCs w:val="21"/>
        </w:rPr>
        <w:t xml:space="preserve">El modelo conoce las 83 combinaciones de sede, carrera y modalidad que realmente existen, de las 150 teóricas. Nunca genera matrícula fuera de ellas: no coloca estudiantes a distancia en Lima Norte, que no ofrece esa modalidad, ni en Enfermería, que sólo se imparte de forma presencial. El archivo de entrada puede ampliar la oferta declarando combinaciones nuevas.</w:t>
      </w:r>
    </w:p>
    <w:p>
      <w:pPr>
        <w:pStyle w:val="Heading2"/>
        <w:spacing w:after="140" w:before="300"/>
      </w:pPr>
      <w:r>
        <w:rPr>
          <w:b/>
          <w:bCs/>
          <w:color w:val="12233F"/>
          <w:sz w:val="25"/>
          <w:szCs w:val="25"/>
        </w:rPr>
        <w:t xml:space="preserve">5.5 Avance de ciclo</w:t>
      </w:r>
    </w:p>
    <w:p>
      <w:pPr>
        <w:spacing w:after="120" w:before="0" w:line="276"/>
      </w:pPr>
      <w:r>
        <w:rPr>
          <w:color w:val="000000"/>
          <w:sz w:val="21"/>
          <w:szCs w:val="21"/>
        </w:rPr>
        <w:t xml:space="preserve">Entre quienes se rematriculan, la distribución del salto de ciclo es marcadamente concentrada pero no degenerada: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 o menos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0</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+2</w:t>
            </w:r>
          </w:p>
        </w:tc>
        <w:tc>
          <w:tcPr>
            <w:tcW w:type="dxa" w:w="1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+3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85,8 %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3,1 %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0,9 %</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Interpretación</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Retrocede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Repite ciclo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Avanza normal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Adelanta</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Convalida</w:t>
            </w:r>
          </w:p>
        </w:tc>
      </w:tr>
    </w:tbl>
    <w:p>
      <w:pPr>
        <w:spacing w:after="220" w:before="80"/>
      </w:pPr>
      <w:r>
        <w:rPr>
          <w:b/>
          <w:bCs/>
          <w:color w:val="52514E"/>
          <w:sz w:val="17"/>
          <w:szCs w:val="17"/>
        </w:rPr>
        <w:t xml:space="preserve">Tabla 15. </w:t>
      </w:r>
      <w:r>
        <w:rPr>
          <w:color w:val="52514E"/>
          <w:sz w:val="17"/>
          <w:szCs w:val="17"/>
        </w:rPr>
        <w:t xml:space="preserve">Distribución agregada del salto de ciclo entre continuadores.</w:t>
      </w:r>
    </w:p>
    <w:p>
      <w:pPr>
        <w:spacing w:after="120" w:before="0" w:line="276"/>
      </w:pPr>
      <w:r>
        <w:rPr>
          <w:color w:val="000000"/>
          <w:sz w:val="21"/>
          <w:szCs w:val="21"/>
        </w:rPr>
        <w:t xml:space="preserve">El 8,5 % que repite ciclo es el que hace que una proyección ingenua de «todos avanzan un ciclo» acumule error: al cabo de seis semestres desplaza la distribución de la matrícula por ciclos de forma apreciable.</w:t>
      </w:r>
    </w:p>
    <w:p>
      <w:pPr>
        <w:spacing w:after="120" w:before="0" w:line="276"/>
      </w:pPr>
      <w:r>
        <w:rPr>
          <w:color w:val="000000"/>
          <w:sz w:val="21"/>
          <w:szCs w:val="21"/>
        </w:rPr>
        <w:t xml:space="preserve">La distribución se estima por modalidad y ciclo, contraída hacia el perfil del ciclo, porque las tres modalidades avanzan a ritmos distintos: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6,0 %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89,2 %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84,6 %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5,9 %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3,9 %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bl>
    <w:p>
      <w:pPr>
        <w:spacing w:after="220" w:before="80"/>
      </w:pPr>
      <w:r>
        <w:rPr>
          <w:b/>
          <w:bCs/>
          <w:color w:val="52514E"/>
          <w:sz w:val="17"/>
          <w:szCs w:val="17"/>
        </w:rPr>
        <w:t xml:space="preserve">Tabla 16. </w:t>
      </w:r>
      <w:r>
        <w:rPr>
          <w:color w:val="52514E"/>
          <w:sz w:val="17"/>
          <w:szCs w:val="17"/>
        </w:rPr>
        <w:t xml:space="preserve">Distribución del salto de ciclo por modalidad tras la contracción, promediada sobre los ciclos 1 a 9. Las cifras del apartado 4.2, que agrupan los conteos observados de todos los ciclos, difieren ligeramente por esa doble razón.</w:t>
      </w:r>
    </w:p>
    <w:p>
      <w:pPr>
        <w:spacing w:after="120" w:before="0" w:line="276"/>
      </w:pPr>
      <w:r>
        <w:rPr>
          <w:color w:val="000000"/>
          <w:sz w:val="21"/>
          <w:szCs w:val="21"/>
        </w:rPr>
        <w:t xml:space="preserve">El ciclo de destino se acota al ciclo terminal del plan de la carrera. Un estudiante que estuviera en el ciclo 10 de un plan de diez ciclos y «avanzara» no puede aparecer en un ciclo 11 que no existe: permanece en el 10, que es lo que hace el rezagado real que aún arrastra cursos.</w:t>
      </w:r>
    </w:p>
    <w:p>
      <w:pPr>
        <w:pStyle w:val="Heading2"/>
        <w:spacing w:after="140" w:before="300"/>
      </w:pPr>
      <w:r>
        <w:rPr>
          <w:b/>
          <w:bCs/>
          <w:color w:val="12233F"/>
          <w:sz w:val="25"/>
          <w:szCs w:val="25"/>
        </w:rPr>
        <w:t xml:space="preserve">5.6 Transición de turno</w:t>
      </w:r>
    </w:p>
    <w:p>
      <w:pPr>
        <w:spacing w:after="120" w:before="0" w:line="276"/>
      </w:pPr>
      <w:r>
        <w:rPr>
          <w:color w:val="000000"/>
          <w:sz w:val="21"/>
          <w:szCs w:val="21"/>
        </w:rPr>
        <w:t xml:space="preserve">La matriz de transición de turno se estima por sede, modalidad y ciclo, contraída hacia la matriz de la sede. Estimarla por sede es imprescindible porque el catálogo de turnos difiere entre ambas; estimarla además por modalidad lo es porque el comportamiento dentro de una misma sede no se parece.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200"/>
        <w:gridCol w:w="1200"/>
        <w:gridCol w:w="1200"/>
        <w:gridCol w:w="1200"/>
        <w:gridCol w:w="1600"/>
      </w:tblGrid>
      <w:tr>
        <w:trPr>
          <w:tblHeader/>
        </w:trPr>
        <w:tc>
          <w:tcPr>
            <w:tcW w:type="dxa" w:w="2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 · modalidad · turno de origen</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Diurno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 efectivas</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Diurno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93,2 %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503</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88,9 %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239</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100,0 %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110</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Mañana</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73,9 %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19,8 %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8 643</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86,3 %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7 519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35,2 %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15,8 %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1 117</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8,3 %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3 209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27,1 %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362</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3 148</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0,2 %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87,6 %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170</w:t>
            </w:r>
          </w:p>
        </w:tc>
      </w:tr>
    </w:tbl>
    <w:p>
      <w:pPr>
        <w:spacing w:after="220" w:before="80"/>
      </w:pPr>
      <w:r>
        <w:rPr>
          <w:b/>
          <w:bCs/>
          <w:color w:val="52514E"/>
          <w:sz w:val="17"/>
          <w:szCs w:val="17"/>
        </w:rPr>
        <w:t xml:space="preserve">Tabla 17. </w:t>
      </w:r>
      <w:r>
        <w:rPr>
          <w:color w:val="52514E"/>
          <w:sz w:val="17"/>
          <w:szCs w:val="17"/>
        </w:rPr>
        <w:t xml:space="preserve">Matriz de transición de turno por sede, modalidad y turno de origen, ponderada por recencia. Las observaciones son el tamaño muestral efectivo tras la ponderación; se omiten las combinaciones con menos de 50.</w:t>
      </w:r>
    </w:p>
    <w:p>
      <w:pPr>
        <w:spacing w:after="120" w:before="0" w:line="276"/>
      </w:pPr>
      <w:r>
        <w:rPr>
          <w:sz w:val="21"/>
          <w:szCs w:val="21"/>
        </w:rPr>
        <w:t xml:space="preserve">La comparación que justifica la especificación está en las filas de Lima Sur con turno noche de origen. Un estudiante </w:t>
      </w:r>
      <w:r>
        <w:rPr>
          <w:b/>
          <w:bCs/>
          <w:sz w:val="21"/>
          <w:szCs w:val="21"/>
        </w:rPr>
        <w:t xml:space="preserve">presencial</w:t>
      </w:r>
      <w:r>
        <w:rPr>
          <w:sz w:val="21"/>
          <w:szCs w:val="21"/>
        </w:rPr>
        <w:t xml:space="preserve"> pasa al turno mañana en un 10,1 % de los casos; uno </w:t>
      </w:r>
      <w:r>
        <w:rPr>
          <w:b/>
          <w:bCs/>
          <w:sz w:val="21"/>
          <w:szCs w:val="21"/>
        </w:rPr>
        <w:t xml:space="preserve">semipresencial</w:t>
      </w:r>
      <w:r>
        <w:rPr>
          <w:sz w:val="21"/>
          <w:szCs w:val="21"/>
        </w:rPr>
        <w:t xml:space="preserve">, en un 0,6 %; uno </w:t>
      </w:r>
      <w:r>
        <w:rPr>
          <w:b/>
          <w:bCs/>
          <w:sz w:val="21"/>
          <w:szCs w:val="21"/>
        </w:rPr>
        <w:t xml:space="preserve">a distancia</w:t>
      </w:r>
      <w:r>
        <w:rPr>
          <w:sz w:val="21"/>
          <w:szCs w:val="21"/>
        </w:rPr>
        <w:t xml:space="preserve">, en un 0,1 %. Misma sede, mismo turno de partida, comportamientos que difieren en dos órdenes de magnitud. Una matriz estimada sólo por sede promediaría los tres y devolvería un flujo hacia el turno mañana que no le corresponde a dos de las tres poblaciones.</w:t>
      </w:r>
    </w:p>
    <w:p>
      <w:pPr>
        <w:spacing w:after="120" w:before="0" w:line="276"/>
      </w:pPr>
      <w:r>
        <w:rPr>
          <w:color w:val="000000"/>
          <w:sz w:val="21"/>
          <w:szCs w:val="21"/>
        </w:rPr>
        <w:t xml:space="preserve">Dos lecturas más conviene destacar. El turno noche es muy estable en todas las modalidades —entre el 86 % y el 94 % permanece—, mientras que el turno tarde es el más inestable: en la modalidad presencial sólo un 15,8 % permanece y la mayoría migra a mañana o noche. Es coherente con un turno en retirada, como confirma la caída de su participación entre los ingresantes.</w:t>
      </w:r>
    </w:p>
    <w:p>
      <w:pPr>
        <w:pStyle w:val="Heading2"/>
        <w:spacing w:after="140" w:before="300"/>
      </w:pPr>
      <w:r>
        <w:rPr>
          <w:b/>
          <w:bCs/>
          <w:color w:val="12233F"/>
          <w:sz w:val="25"/>
          <w:szCs w:val="25"/>
        </w:rPr>
        <w:t xml:space="preserve">5.7 Maduración de sede</w:t>
      </w:r>
    </w:p>
    <w:p>
      <w:pPr>
        <w:spacing w:after="120" w:before="0" w:line="276"/>
      </w:pPr>
      <w:r>
        <w:rPr>
          <w:color w:val="000000"/>
          <w:sz w:val="21"/>
          <w:szCs w:val="21"/>
        </w:rPr>
        <w:t xml:space="preserve">Una sede que acaba de abrir no puede tener estudiantes en cualquier ciclo: despliega su plan de estudios semestre a semestre. En el semestre de apertura sólo existe el ciclo 1; un semestre después, el 2; y así sucesivamente hasta completar el plan.</w:t>
      </w:r>
    </w:p>
    <w:p>
      <w:pPr>
        <w:spacing w:after="120" w:before="0" w:line="276"/>
      </w:pPr>
      <w:r>
        <w:rPr>
          <w:color w:val="000000"/>
          <w:sz w:val="21"/>
          <w:szCs w:val="21"/>
        </w:rPr>
        <w:t xml:space="preserve">El modelo impone ese tope como una restricción dura sobre el ciclo de destino, en paralelo al tope por duración del plan de la carrera:</w:t>
      </w:r>
    </w:p>
    <w:p>
      <w:pPr>
        <w:shd w:fill="F2F1ED" w:val="clear"/>
        <w:spacing w:after="0" w:before="140" w:line="260"/>
        <w:ind w:left="200" w:right="200"/>
      </w:pPr>
      <w:r>
        <w:rPr>
          <w:rFonts w:ascii="Consolas" w:cs="Consolas" w:eastAsia="Consolas" w:hAnsi="Consolas"/>
          <w:sz w:val="18"/>
          <w:szCs w:val="18"/>
        </w:rPr>
        <w:t xml:space="preserve">ciclo_destino = min( ciclo_origen + Δ ,  ciclos_plan(carrera) ,  tope_sede(s,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tope_sede(s, T) = max( 0 ,  ciclo_base(s) + semestres_transcurridos(s,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ciclo_base(s)  ciclo máximo de la sede en su semestre de apertura</w:t>
      </w:r>
    </w:p>
    <w:p>
      <w:pPr>
        <w:shd w:fill="F2F1ED" w:val="clear"/>
        <w:spacing w:after="160" w:before="0" w:line="260"/>
        <w:ind w:left="200" w:right="200"/>
      </w:pPr>
      <w:r>
        <w:rPr>
          <w:rFonts w:ascii="Consolas" w:cs="Consolas" w:eastAsia="Consolas" w:hAnsi="Consolas"/>
          <w:sz w:val="18"/>
          <w:szCs w:val="18"/>
        </w:rPr>
        <w:t xml:space="preserve">  semestres_transcurridos  distancia entre la apertura y el semestre T</w:t>
      </w:r>
    </w:p>
    <w:p>
      <w:pPr>
        <w:spacing w:after="120" w:before="0" w:line="276"/>
      </w:pPr>
      <w:r>
        <w:rPr>
          <w:color w:val="000000"/>
          <w:sz w:val="21"/>
          <w:szCs w:val="21"/>
        </w:rPr>
        <w:t xml:space="preserve">La restricción actúa en dos puntos. Sobre los continuadores, porque la matriz de avance permite saltos de +2 y +3 que llevarían a un estudiante a un ciclo inexistente. Y sobre los ingresantes, porque el archivo de entrada puede declarar traslados a ciclos superiores que la sede todavía no imparte; en ese caso el modelo lo avisa fila por fila y los reasigna al ciclo máximo disponible.</w:t>
      </w:r>
    </w:p>
    <w:p>
      <w:pPr>
        <w:pStyle w:val="Heading3"/>
        <w:spacing w:after="120" w:before="240"/>
      </w:pPr>
      <w:r>
        <w:rPr>
          <w:b/>
          <w:bCs/>
          <w:color w:val="52514E"/>
          <w:sz w:val="22"/>
          <w:szCs w:val="22"/>
        </w:rPr>
        <w:t xml:space="preserve">5.7.1 Cómo se detecta la apertura</w:t>
      </w:r>
    </w:p>
    <w:p>
      <w:pPr>
        <w:spacing w:after="120" w:before="0" w:line="276"/>
      </w:pPr>
      <w:r>
        <w:rPr>
          <w:color w:val="000000"/>
          <w:sz w:val="21"/>
          <w:szCs w:val="21"/>
        </w:rPr>
        <w:t xml:space="preserve">La apertura no se declara a mano: se infiere del propio histórico. Si el ciclo máximo del primer semestre observado de una sede es 1 o 2, la sede arrancó ahí. Si aparece con el plan completo desde su primer registro, es anterior a la ventana de datos y no recibe tope.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500"/>
        <w:gridCol w:w="3826"/>
      </w:tblGrid>
      <w:tr>
        <w:trPr>
          <w:tblHeader/>
        </w:trPr>
        <w:tc>
          <w:tcPr>
            <w:tcW w:type="dxa" w:w="2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Primer registro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 máx.</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Conclusión</w:t>
            </w:r>
          </w:p>
        </w:tc>
      </w:tr>
      <w:tr>
        <w:tc>
          <w:tcPr>
            <w:tcW w:type="dxa" w:w="2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2026-I</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Abrió en 2026-I: despliegue progresivo.</w:t>
            </w:r>
          </w:p>
        </w:tc>
      </w:tr>
      <w:tr>
        <w:tc>
          <w:tcPr>
            <w:tcW w:type="dxa" w:w="2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2023-I</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 completo desde el inicio de la base: sin tope.</w:t>
            </w:r>
          </w:p>
        </w:tc>
      </w:tr>
    </w:tbl>
    <w:p>
      <w:pPr>
        <w:spacing w:after="220" w:before="80"/>
      </w:pPr>
      <w:r>
        <w:rPr>
          <w:b/>
          <w:bCs/>
          <w:color w:val="52514E"/>
          <w:sz w:val="17"/>
          <w:szCs w:val="17"/>
        </w:rPr>
        <w:t xml:space="preserve">Tabla 18. </w:t>
      </w:r>
      <w:r>
        <w:rPr>
          <w:color w:val="52514E"/>
          <w:sz w:val="17"/>
          <w:szCs w:val="17"/>
        </w:rPr>
        <w:t xml:space="preserve">Detección automática de la apertura de sede sobre el histórico.</w:t>
      </w:r>
    </w:p>
    <w:p>
      <w:pPr>
        <w:spacing w:after="120" w:before="0" w:line="276"/>
      </w:pPr>
      <w:r>
        <w:rPr>
          <w:color w:val="000000"/>
          <w:sz w:val="21"/>
          <w:szCs w:val="21"/>
        </w:rPr>
        <w:t xml:space="preserve">Una sede que aparece por primera vez en el archivo de ingresantes se trata como una apertura en ese semestre, con el mismo mecanismo. No hace falta declararla ni configurar 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150"/>
        <w:gridCol w:w="1150"/>
        <w:gridCol w:w="1150"/>
        <w:gridCol w:w="11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 (abrió 2026-I)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(consolidada)</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nueva que abra en 2028-I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bl>
    <w:p>
      <w:pPr>
        <w:spacing w:after="220" w:before="80"/>
      </w:pPr>
      <w:r>
        <w:rPr>
          <w:b/>
          <w:bCs/>
          <w:color w:val="52514E"/>
          <w:sz w:val="17"/>
          <w:szCs w:val="17"/>
        </w:rPr>
        <w:t xml:space="preserve">Tabla 19. </w:t>
      </w:r>
      <w:r>
        <w:rPr>
          <w:color w:val="52514E"/>
          <w:sz w:val="17"/>
          <w:szCs w:val="17"/>
        </w:rPr>
        <w:t xml:space="preserve">Ciclo máximo ofertable por sede y semestre. La tercera fila es un ejemplo de sede declarada en el archivo de ingresantes.</w:t>
      </w:r>
    </w:p>
    <w:p>
      <w:pPr>
        <w:spacing w:after="60" w:before="180"/>
        <w:jc w:val="center"/>
      </w:pPr>
      <w:r>
        <w:drawing>
          <wp:inline distT="0" distB="0" distL="0" distR="0">
            <wp:extent cx="57150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33525"/>
                    </a:xfrm>
                    <a:prstGeom prst="rect">
                      <a:avLst/>
                    </a:prstGeom>
                  </pic:spPr>
                </pic:pic>
              </a:graphicData>
            </a:graphic>
          </wp:inline>
        </w:drawing>
      </w:r>
    </w:p>
    <w:p>
      <w:pPr>
        <w:spacing w:after="220"/>
        <w:jc w:val="center"/>
      </w:pPr>
      <w:r>
        <w:rPr>
          <w:b/>
          <w:bCs/>
          <w:color w:val="52514E"/>
          <w:sz w:val="17"/>
          <w:szCs w:val="17"/>
        </w:rPr>
        <w:t xml:space="preserve">Figura 6. </w:t>
      </w:r>
      <w:r>
        <w:rPr>
          <w:color w:val="52514E"/>
          <w:sz w:val="17"/>
          <w:szCs w:val="17"/>
        </w:rPr>
        <w:t xml:space="preserve">La restricción de maduración tal como la expone el modelo, con la apertura detectada de cada sede y su ciclo máximo por semestre.</w:t>
      </w:r>
    </w:p>
    <w:p>
      <w:pPr>
        <w:pBdr>
          <w:left w:val="single" w:color="C07E00" w:sz="18" w:space="8"/>
        </w:pBdr>
        <w:shd w:fill="F2F1ED" w:val="clear"/>
        <w:spacing w:after="180" w:before="160" w:line="276"/>
        <w:ind w:left="160" w:right="160"/>
      </w:pPr>
      <w:r>
        <w:rPr>
          <w:b/>
          <w:bCs/>
          <w:sz w:val="21"/>
          <w:szCs w:val="21"/>
        </w:rPr>
        <w:t xml:space="preserve">Qué ocurre en el tope. </w:t>
      </w:r>
      <w:r>
        <w:rPr>
          <w:sz w:val="21"/>
          <w:szCs w:val="21"/>
        </w:rPr>
        <w:t xml:space="preserve">Un estudiante que no puede avanzar porque la sede aún no imparte el siguiente ciclo se acumula en el ciclo máximo disponible, igual que el rezagado que arrastra cursos al final de su plan. Es el mismo tratamiento que recibe el tope por duración de la carrera y mantiene la contabilidad cerrada: ningún estudiante se pierde ni se duplica.</w:t>
      </w:r>
    </w:p>
    <w:p>
      <w:pPr>
        <w:pStyle w:val="Heading2"/>
        <w:spacing w:after="140" w:before="300"/>
      </w:pPr>
      <w:r>
        <w:rPr>
          <w:b/>
          <w:bCs/>
          <w:color w:val="12233F"/>
          <w:sz w:val="25"/>
          <w:szCs w:val="25"/>
        </w:rPr>
        <w:t xml:space="preserve">5.8 Lo que el modelo no mueve</w:t>
      </w:r>
    </w:p>
    <w:p>
      <w:pPr>
        <w:spacing w:after="120" w:before="0" w:line="276"/>
      </w:pPr>
      <w:r>
        <w:rPr>
          <w:color w:val="000000"/>
          <w:sz w:val="21"/>
          <w:szCs w:val="21"/>
        </w:rPr>
        <w:t xml:space="preserve">Tres dimensiones se mantienen constantes a lo largo de la proyección porque los datos así lo indican:</w:t>
      </w:r>
    </w:p>
    <w:p>
      <w:pPr>
        <w:pStyle w:val="ListParagraph"/>
        <w:numPr>
          <w:ilvl w:val="0"/>
          <w:numId w:val="2"/>
        </w:numPr>
        <w:spacing w:after="90" w:line="276"/>
      </w:pPr>
      <w:r>
        <w:rPr>
          <w:b/>
          <w:bCs/>
          <w:sz w:val="21"/>
          <w:szCs w:val="21"/>
        </w:rPr>
        <w:t xml:space="preserve">Sede. </w:t>
      </w:r>
      <w:r>
        <w:rPr>
          <w:sz w:val="21"/>
          <w:szCs w:val="21"/>
        </w:rPr>
        <w:t xml:space="preserve">Ningún estudiante del histórico cambia de sede. Se conserva.</w:t>
      </w:r>
    </w:p>
    <w:p>
      <w:pPr>
        <w:pStyle w:val="ListParagraph"/>
        <w:numPr>
          <w:ilvl w:val="0"/>
          <w:numId w:val="2"/>
        </w:numPr>
        <w:spacing w:after="90" w:line="276"/>
      </w:pPr>
      <w:r>
        <w:rPr>
          <w:b/>
          <w:bCs/>
          <w:sz w:val="21"/>
          <w:szCs w:val="21"/>
        </w:rPr>
        <w:t xml:space="preserve">Carrera. </w:t>
      </w:r>
      <w:r>
        <w:rPr>
          <w:sz w:val="21"/>
          <w:szCs w:val="21"/>
        </w:rPr>
        <w:t xml:space="preserve">El 99,57 % de los continuadores mantiene su carrera. El 0,43 % restante se reparte sin patrón discernible y modelarlo añadiría parámetros sin ganancia predictiva.</w:t>
      </w:r>
    </w:p>
    <w:p>
      <w:pPr>
        <w:pStyle w:val="ListParagraph"/>
        <w:numPr>
          <w:ilvl w:val="0"/>
          <w:numId w:val="2"/>
        </w:numPr>
        <w:spacing w:after="90" w:line="276"/>
      </w:pPr>
      <w:r>
        <w:rPr>
          <w:b/>
          <w:bCs/>
          <w:sz w:val="21"/>
          <w:szCs w:val="21"/>
        </w:rPr>
        <w:t xml:space="preserve">Modalidad de estudios. </w:t>
      </w:r>
      <w:r>
        <w:rPr>
          <w:sz w:val="21"/>
          <w:szCs w:val="21"/>
        </w:rPr>
        <w:t xml:space="preserve">El 99,44 % de los continuadores mantiene su modalidad. Se conserva, y en cambio condiciona las tres probabilidades de transición (apartado 5.4).</w:t>
      </w:r>
    </w:p>
    <w:p>
      <w:pPr>
        <w:spacing w:after="120" w:before="0" w:line="276"/>
      </w:pPr>
      <w:r>
        <w:rPr>
          <w:color w:val="000000"/>
          <w:sz w:val="21"/>
          <w:szCs w:val="21"/>
        </w:rPr>
        <w:t xml:space="preserve">El ciclo y el turno sí se mueven, y son los únicos dos índices del estado que llevan matriz de transición estimada. Esa asimetría no es una simplificación de conveniencia: es lo que dicen las 89 196 transiciones observadas.</w:t>
      </w:r>
    </w:p>
    <w:p>
      <w:r>
        <w:br w:type="page"/>
      </w:r>
    </w:p>
    <w:p>
      <w:pPr>
        <w:pStyle w:val="Heading1"/>
        <w:spacing w:after="180" w:before="360"/>
      </w:pPr>
      <w:r>
        <w:rPr>
          <w:b/>
          <w:bCs/>
          <w:color w:val="12233F"/>
          <w:sz w:val="30"/>
          <w:szCs w:val="30"/>
        </w:rPr>
        <w:t xml:space="preserve">6. Herramientas econométricas aplicadas</w:t>
      </w:r>
    </w:p>
    <w:p>
      <w:pPr>
        <w:spacing w:after="120" w:before="0" w:line="276"/>
      </w:pPr>
      <w:r>
        <w:rPr>
          <w:color w:val="000000"/>
          <w:sz w:val="21"/>
          <w:szCs w:val="21"/>
        </w:rPr>
        <w:t xml:space="preserve">Este capítulo detalla los instrumentos estadísticos empleados, por qué se eligieron y cómo se implementan. Es el núcleo del sustento metodológico.</w:t>
      </w:r>
    </w:p>
    <w:p>
      <w:pPr>
        <w:pStyle w:val="Heading2"/>
        <w:spacing w:after="140" w:before="300"/>
      </w:pPr>
      <w:r>
        <w:rPr>
          <w:b/>
          <w:bCs/>
          <w:color w:val="12233F"/>
          <w:sz w:val="25"/>
          <w:szCs w:val="25"/>
        </w:rPr>
        <w:t xml:space="preserve">6.1 El problema de fondo: muchas celdas, pocos datos por celda</w:t>
      </w:r>
    </w:p>
    <w:p>
      <w:pPr>
        <w:spacing w:after="120" w:before="0" w:line="276"/>
      </w:pPr>
      <w:r>
        <w:rPr>
          <w:color w:val="000000"/>
          <w:sz w:val="21"/>
          <w:szCs w:val="21"/>
        </w:rPr>
        <w:t xml:space="preserve">El estado del modelo es (sede, carrera, modalidad, ciclo, turno): 2 × 25 × 3 × 11 × 4 = 6 600 combinaciones teóricas, y cada una necesita sus probabilidades de transición condicionadas además a la paridad del semestre y al rezago. Frente a eso hay ocho semestres de historia.</w:t>
      </w:r>
    </w:p>
    <w:p>
      <w:pPr>
        <w:spacing w:after="120" w:before="0" w:line="276"/>
      </w:pPr>
      <w:r>
        <w:rPr>
          <w:color w:val="000000"/>
          <w:sz w:val="21"/>
          <w:szCs w:val="21"/>
        </w:rPr>
        <w:t xml:space="preserve">La restricción de oferta reduce el problema —sólo existen 83 combinaciones de sede, carrera y modalidad, no 150— pero no lo elimina: en 2026-II hay 699 celdas completas no vacías y la mediana tiene menos de diez estudiantes.</w:t>
      </w:r>
    </w:p>
    <w:p>
      <w:pPr>
        <w:spacing w:after="120" w:before="0" w:line="276"/>
      </w:pPr>
      <w:r>
        <w:rPr>
          <w:color w:val="000000"/>
          <w:sz w:val="21"/>
          <w:szCs w:val="21"/>
        </w:rPr>
        <w:t xml:space="preserve">Estimar cada celda por separado con su propia frecuencia produciría tasas inestables: una celda con siete estudiantes de los que continúan cinco daría una tasa del 71,4 % con un error típico de ±17 puntos. Agregarlo todo y usar una tasa única, en el otro extremo, perdería la estructura por ciclo y por modalidad que el capítulo 4 mostró decisiva.</w:t>
      </w:r>
    </w:p>
    <w:p>
      <w:pPr>
        <w:spacing w:after="120" w:before="0" w:line="276"/>
      </w:pPr>
      <w:r>
        <w:rPr>
          <w:color w:val="000000"/>
          <w:sz w:val="21"/>
          <w:szCs w:val="21"/>
        </w:rPr>
        <w:t xml:space="preserve">La solución empleada es la contracción jerárquica: cada celda combina su propia evidencia con la de un nivel más agregado, en proporción a cuánta información tiene realmente.</w:t>
      </w:r>
    </w:p>
    <w:p>
      <w:pPr>
        <w:pStyle w:val="Heading2"/>
        <w:spacing w:after="140" w:before="300"/>
      </w:pPr>
      <w:r>
        <w:rPr>
          <w:b/>
          <w:bCs/>
          <w:color w:val="12233F"/>
          <w:sz w:val="25"/>
          <w:szCs w:val="25"/>
        </w:rPr>
        <w:t xml:space="preserve">6.2 Contracción empírico-Bayes con modelo Beta-Binomial</w:t>
      </w:r>
    </w:p>
    <w:p>
      <w:pPr>
        <w:pStyle w:val="Heading3"/>
        <w:spacing w:after="120" w:before="240"/>
      </w:pPr>
      <w:r>
        <w:rPr>
          <w:b/>
          <w:bCs/>
          <w:color w:val="52514E"/>
          <w:sz w:val="22"/>
          <w:szCs w:val="22"/>
        </w:rPr>
        <w:t xml:space="preserve">6.2.1 El estimador</w:t>
      </w:r>
    </w:p>
    <w:p>
      <w:pPr>
        <w:spacing w:after="120" w:before="0" w:line="276"/>
      </w:pPr>
      <w:r>
        <w:rPr>
          <w:color w:val="000000"/>
          <w:sz w:val="21"/>
          <w:szCs w:val="21"/>
        </w:rPr>
        <w:t xml:space="preserve">Para una tasa de continuación, la estimación de una celda es:</w:t>
      </w:r>
    </w:p>
    <w:p>
      <w:pPr>
        <w:shd w:fill="F2F1ED" w:val="clear"/>
        <w:spacing w:after="0" w:before="140" w:line="260"/>
        <w:ind w:left="200" w:right="200"/>
      </w:pPr>
      <w:r>
        <w:rPr>
          <w:rFonts w:ascii="Consolas" w:cs="Consolas" w:eastAsia="Consolas" w:hAnsi="Consolas"/>
          <w:sz w:val="18"/>
          <w:szCs w:val="18"/>
        </w:rPr>
        <w:t xml:space="preserve">            k_celda + k · q_padre</w:t>
      </w:r>
    </w:p>
    <w:p>
      <w:pPr>
        <w:shd w:fill="F2F1ED" w:val="clear"/>
        <w:spacing w:after="0" w:before="0" w:line="260"/>
        <w:ind w:left="200" w:right="200"/>
      </w:pPr>
      <w:r>
        <w:rPr>
          <w:rFonts w:ascii="Consolas" w:cs="Consolas" w:eastAsia="Consolas" w:hAnsi="Consolas"/>
          <w:sz w:val="18"/>
          <w:szCs w:val="18"/>
        </w:rPr>
        <w:t xml:space="preserve">q_celda =  ───────────────────────</w:t>
      </w:r>
    </w:p>
    <w:p>
      <w:pPr>
        <w:shd w:fill="F2F1ED" w:val="clear"/>
        <w:spacing w:after="0" w:before="0" w:line="260"/>
        <w:ind w:left="200" w:right="200"/>
      </w:pPr>
      <w:r>
        <w:rPr>
          <w:rFonts w:ascii="Consolas" w:cs="Consolas" w:eastAsia="Consolas" w:hAnsi="Consolas"/>
          <w:sz w:val="18"/>
          <w:szCs w:val="18"/>
        </w:rPr>
        <w:t xml:space="preserve">            n_celda + 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n_celda  observaciones de la celda (ponderadas por recencia)</w:t>
      </w:r>
    </w:p>
    <w:p>
      <w:pPr>
        <w:shd w:fill="F2F1ED" w:val="clear"/>
        <w:spacing w:after="0" w:before="0" w:line="260"/>
        <w:ind w:left="200" w:right="200"/>
      </w:pPr>
      <w:r>
        <w:rPr>
          <w:rFonts w:ascii="Consolas" w:cs="Consolas" w:eastAsia="Consolas" w:hAnsi="Consolas"/>
          <w:sz w:val="18"/>
          <w:szCs w:val="18"/>
        </w:rPr>
        <w:t xml:space="preserve">   k_celda  de ellas, las que continúan</w:t>
      </w:r>
    </w:p>
    <w:p>
      <w:pPr>
        <w:shd w:fill="F2F1ED" w:val="clear"/>
        <w:spacing w:after="0" w:before="0" w:line="260"/>
        <w:ind w:left="200" w:right="200"/>
      </w:pPr>
      <w:r>
        <w:rPr>
          <w:rFonts w:ascii="Consolas" w:cs="Consolas" w:eastAsia="Consolas" w:hAnsi="Consolas"/>
          <w:sz w:val="18"/>
          <w:szCs w:val="18"/>
        </w:rPr>
        <w:t xml:space="preserve">   q_padre  estimación del nivel inmediatamente superior</w:t>
      </w:r>
    </w:p>
    <w:p>
      <w:pPr>
        <w:shd w:fill="F2F1ED" w:val="clear"/>
        <w:spacing w:after="160" w:before="0" w:line="260"/>
        <w:ind w:left="200" w:right="200"/>
      </w:pPr>
      <w:r>
        <w:rPr>
          <w:rFonts w:ascii="Consolas" w:cs="Consolas" w:eastAsia="Consolas" w:hAnsi="Consolas"/>
          <w:sz w:val="18"/>
          <w:szCs w:val="18"/>
        </w:rPr>
        <w:t xml:space="preserve">   k        constante de contracción</w:t>
      </w:r>
    </w:p>
    <w:p>
      <w:pPr>
        <w:spacing w:after="120" w:before="0" w:line="276"/>
      </w:pPr>
      <w:r>
        <w:rPr>
          <w:sz w:val="21"/>
          <w:szCs w:val="21"/>
        </w:rPr>
        <w:t xml:space="preserve">La constante </w:t>
      </w:r>
      <w:r>
        <w:rPr>
          <w:rFonts w:ascii="Consolas" w:cs="Consolas" w:eastAsia="Consolas" w:hAnsi="Consolas"/>
          <w:sz w:val="19"/>
          <w:szCs w:val="19"/>
        </w:rPr>
        <w:t xml:space="preserve">k</w:t>
      </w:r>
      <w:r>
        <w:rPr>
          <w:sz w:val="21"/>
          <w:szCs w:val="21"/>
        </w:rPr>
        <w:t xml:space="preserve"> es el tamaño muestral equivalente del prior: la celda pondera su propia evidencia con peso n/(n+k) y la del padre con peso k/(n+k). Una celda con muchas observaciones se estima casi sola; una con pocas hereda casi todo del nivel superior. La transición entre ambos regímenes es suave y automática.</w:t>
      </w:r>
    </w:p>
    <w:p>
      <w:pPr>
        <w:pStyle w:val="Heading3"/>
        <w:spacing w:after="120" w:before="240"/>
      </w:pPr>
      <w:r>
        <w:rPr>
          <w:b/>
          <w:bCs/>
          <w:color w:val="52514E"/>
          <w:sz w:val="22"/>
          <w:szCs w:val="22"/>
        </w:rPr>
        <w:t xml:space="preserve">6.2.2 Cómo se obtiene k, y por qué no se elige a mano</w:t>
      </w:r>
    </w:p>
    <w:p>
      <w:pPr>
        <w:spacing w:after="120" w:before="0" w:line="276"/>
      </w:pPr>
      <w:r>
        <w:rPr>
          <w:sz w:val="21"/>
          <w:szCs w:val="21"/>
        </w:rPr>
        <w:t xml:space="preserve">La constante se estima por el </w:t>
      </w:r>
      <w:r>
        <w:rPr>
          <w:b/>
          <w:bCs/>
          <w:sz w:val="21"/>
          <w:szCs w:val="21"/>
        </w:rPr>
        <w:t xml:space="preserve">método de los momentos del modelo Beta-Binomial</w:t>
      </w:r>
      <w:r>
        <w:rPr>
          <w:sz w:val="21"/>
          <w:szCs w:val="21"/>
        </w:rPr>
        <w:t xml:space="preserve">. Si las tasas verdaderas de las celdas siguen una distribución Beta(α, β), su varianza entre celdas es una función de α+β, y despejando:</w:t>
      </w:r>
    </w:p>
    <w:p>
      <w:pPr>
        <w:shd w:fill="F2F1ED" w:val="clear"/>
        <w:spacing w:after="0" w:before="140" w:line="260"/>
        <w:ind w:left="200" w:right="200"/>
      </w:pPr>
      <w:r>
        <w:rPr>
          <w:rFonts w:ascii="Consolas" w:cs="Consolas" w:eastAsia="Consolas" w:hAnsi="Consolas"/>
          <w:sz w:val="18"/>
          <w:szCs w:val="18"/>
        </w:rPr>
        <w:t xml:space="preserve">        p̄ (1 − p̄)</w:t>
      </w:r>
    </w:p>
    <w:p>
      <w:pPr>
        <w:shd w:fill="F2F1ED" w:val="clear"/>
        <w:spacing w:after="0" w:before="0" w:line="260"/>
        <w:ind w:left="200" w:right="200"/>
      </w:pPr>
      <w:r>
        <w:rPr>
          <w:rFonts w:ascii="Consolas" w:cs="Consolas" w:eastAsia="Consolas" w:hAnsi="Consolas"/>
          <w:sz w:val="18"/>
          <w:szCs w:val="18"/>
        </w:rPr>
        <w:t xml:space="preserve">k  =  ───────────── − 1        con  k = α + β</w:t>
      </w:r>
    </w:p>
    <w:p>
      <w:pPr>
        <w:shd w:fill="F2F1ED" w:val="clear"/>
        <w:spacing w:after="0" w:before="0" w:line="260"/>
        <w:ind w:left="200" w:right="200"/>
      </w:pPr>
      <w:r>
        <w:rPr>
          <w:rFonts w:ascii="Consolas" w:cs="Consolas" w:eastAsia="Consolas" w:hAnsi="Consolas"/>
          <w:sz w:val="18"/>
          <w:szCs w:val="18"/>
        </w:rPr>
        <w:t xml:space="preserve">         σ²_entre</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σ²_entre = σ²_observada − σ²_muestral</w:t>
      </w:r>
    </w:p>
    <w:p>
      <w:pPr>
        <w:shd w:fill="F2F1ED" w:val="clear"/>
        <w:spacing w:after="160" w:before="0" w:line="260"/>
        <w:ind w:left="200" w:right="200"/>
      </w:pPr>
      <w:r>
        <w:rPr>
          <w:rFonts w:ascii="Consolas" w:cs="Consolas" w:eastAsia="Consolas" w:hAnsi="Consolas"/>
          <w:sz w:val="18"/>
          <w:szCs w:val="18"/>
        </w:rPr>
        <w:t xml:space="preserve">σ²_muestral = Σ w_i · p̄(1−p̄)/n_i      (ruido binomial esperado)</w:t>
      </w:r>
    </w:p>
    <w:p>
      <w:pPr>
        <w:spacing w:after="120" w:before="0" w:line="276"/>
      </w:pPr>
      <w:r>
        <w:rPr>
          <w:color w:val="000000"/>
          <w:sz w:val="21"/>
          <w:szCs w:val="21"/>
        </w:rPr>
        <w:t xml:space="preserve">La lógica es directa: se mide cuánto varían las tasas entre celdas, se descuenta lo que se explicaría por puro azar muestral, y lo que sobra es heterogeneidad real. Mucha heterogeneidad real implica k pequeña —las celdas son genuinamente distintas y conviene creerles—; poca heterogeneidad implica k grande y contracción fuerte hacia el padre.</w:t>
      </w:r>
    </w:p>
    <w:p>
      <w:pPr>
        <w:spacing w:after="120" w:before="0" w:line="276"/>
      </w:pPr>
      <w:r>
        <w:rPr>
          <w:color w:val="000000"/>
          <w:sz w:val="21"/>
          <w:szCs w:val="21"/>
        </w:rPr>
        <w:t xml:space="preserve">Es importante que k no sea un parámetro de ajuste elegido por el analista: sale de los propios datos, y su valor es interpretable y auditable.</w:t>
      </w:r>
    </w:p>
    <w:p>
      <w:pPr>
        <w:pStyle w:val="Heading3"/>
        <w:spacing w:after="120" w:before="240"/>
      </w:pPr>
      <w:r>
        <w:rPr>
          <w:b/>
          <w:bCs/>
          <w:color w:val="52514E"/>
          <w:sz w:val="22"/>
          <w:szCs w:val="22"/>
        </w:rPr>
        <w:t xml:space="preserve">6.2.3 La escalera de niveles</w:t>
      </w:r>
    </w:p>
    <w:p>
      <w:pPr>
        <w:spacing w:after="120" w:before="0" w:line="276"/>
      </w:pPr>
      <w:r>
        <w:rPr>
          <w:color w:val="000000"/>
          <w:sz w:val="21"/>
          <w:szCs w:val="21"/>
        </w:rPr>
        <w:t xml:space="preserve">La contracción se aplica en cadena, del nivel más agregado al más fino. Cada nivel sirve de prior al siguiente:</w:t>
      </w:r>
    </w:p>
    <w:p>
      <w:pPr>
        <w:shd w:fill="F2F1ED" w:val="clear"/>
        <w:spacing w:after="0" w:before="140" w:line="260"/>
        <w:ind w:left="200" w:right="200"/>
      </w:pPr>
      <w:r>
        <w:rPr>
          <w:rFonts w:ascii="Consolas" w:cs="Consolas" w:eastAsia="Consolas" w:hAnsi="Consolas"/>
          <w:sz w:val="18"/>
          <w:szCs w:val="18"/>
        </w:rPr>
        <w:t xml:space="preserve">global  →  ciclo  →  ciclo × paridad  →  modalidad × ciclo × paridad</w:t>
      </w:r>
    </w:p>
    <w:p>
      <w:pPr>
        <w:shd w:fill="F2F1ED" w:val="clear"/>
        <w:spacing w:after="0" w:before="0" w:line="260"/>
        <w:ind w:left="200" w:right="200"/>
      </w:pPr>
      <w:r>
        <w:rPr>
          <w:rFonts w:ascii="Consolas" w:cs="Consolas" w:eastAsia="Consolas" w:hAnsi="Consolas"/>
          <w:sz w:val="18"/>
          <w:szCs w:val="18"/>
        </w:rPr>
        <w:t xml:space="preserve">        →  carrera × modalidad × ciclo × paridad</w:t>
      </w:r>
    </w:p>
    <w:p>
      <w:pPr>
        <w:shd w:fill="F2F1ED" w:val="clear"/>
        <w:spacing w:after="160" w:before="0" w:line="260"/>
        <w:ind w:left="200" w:right="200"/>
      </w:pPr>
      <w:r>
        <w:rPr>
          <w:rFonts w:ascii="Consolas" w:cs="Consolas" w:eastAsia="Consolas" w:hAnsi="Consolas"/>
          <w:sz w:val="18"/>
          <w:szCs w:val="18"/>
        </w:rPr>
        <w:t xml:space="preserve">        →  sede × carrera × modalidad × ciclo × paridad</w:t>
      </w:r>
    </w:p>
    <w:p>
      <w:pPr>
        <w:spacing w:after="120" w:before="0" w:line="276"/>
      </w:pPr>
      <w:r>
        <w:rPr>
          <w:sz w:val="21"/>
          <w:szCs w:val="21"/>
        </w:rPr>
        <w:t xml:space="preserve">La modalidad se inserta </w:t>
      </w:r>
      <w:r>
        <w:rPr>
          <w:b/>
          <w:bCs/>
          <w:sz w:val="21"/>
          <w:szCs w:val="21"/>
        </w:rPr>
        <w:t xml:space="preserve">entre el ciclo y la carrera</w:t>
      </w:r>
      <w:r>
        <w:rPr>
          <w:sz w:val="21"/>
          <w:szCs w:val="21"/>
        </w:rPr>
        <w:t xml:space="preserve">, y esa posición es una decisión con contenido: dice que, para predecir si un estudiante continúa, saber en qué modalidad estudia informa más que saber qué carrera cursa. Las constantes estimadas lo confirman —la k de la modalidad (4,76) es menor que la del ciclo (5,80) y mayor que la de la carrera (4,08)—, y así lo corrobora el contraste de especificación del apartado 6.5.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41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k estimada</w:t>
            </w:r>
          </w:p>
        </w:tc>
        <w:tc>
          <w:tcPr>
            <w:tcW w:type="dxa" w:w="4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celda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4,07</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alta entre sedes: se cree bastante a cada celda.</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carrera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4,08</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carreras difieren realmente entre sí dentro de cada modalidad y ciclo.</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modalidad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4,76</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alta: las tres modalidades son poblaciones distintas.</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ciclo×paridad</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5,72</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efecto de la paridad es real pero moderado.</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5,80</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perfil por ciclo es la estructura dominante.</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rezagos 2 a 4</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1 000 a 10 000</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Apenas se detecta heterogeneidad: el reingreso tras pausa se comporta de forma parecida en todas las celdas y se estima muy agrupado.</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5,25</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avance varía apreciablemente entre modalidades y carreras.</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muy alta por sede, modalidad y ciclo: apenas se contrae.</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Ídem: una vez condicionado en la modalidad, cada celda tiene su propio patrón.</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de ingresantes</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1,78</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ligera hacia el nivel de sede y carrera.</w:t>
            </w:r>
          </w:p>
        </w:tc>
      </w:tr>
    </w:tbl>
    <w:p>
      <w:pPr>
        <w:spacing w:after="220" w:before="80"/>
      </w:pPr>
      <w:r>
        <w:rPr>
          <w:b/>
          <w:bCs/>
          <w:color w:val="52514E"/>
          <w:sz w:val="17"/>
          <w:szCs w:val="17"/>
        </w:rPr>
        <w:t xml:space="preserve">Tabla 20. </w:t>
      </w:r>
      <w:r>
        <w:rPr>
          <w:color w:val="52514E"/>
          <w:sz w:val="17"/>
          <w:szCs w:val="17"/>
        </w:rPr>
        <w:t xml:space="preserve">Constantes de contracción estimadas por el método de los momentos.</w:t>
      </w:r>
    </w:p>
    <w:p>
      <w:pPr>
        <w:pBdr>
          <w:left w:val="single" w:color="C07E00" w:sz="18" w:space="8"/>
        </w:pBdr>
        <w:shd w:fill="F2F1ED" w:val="clear"/>
        <w:spacing w:after="180" w:before="160" w:line="276"/>
        <w:ind w:left="160" w:right="160"/>
      </w:pPr>
      <w:r>
        <w:rPr>
          <w:b/>
          <w:bCs/>
          <w:sz w:val="21"/>
          <w:szCs w:val="21"/>
        </w:rPr>
        <w:t xml:space="preserve">Resultado interpretable. </w:t>
      </w:r>
      <w:r>
        <w:rPr>
          <w:sz w:val="21"/>
          <w:szCs w:val="21"/>
        </w:rPr>
        <w:t xml:space="preserve">Que las constantes de los rezagos 2 a 4 se disparen es un hallazgo, no un fallo: el estimador está diciendo que el reingreso tras una pausa apenas depende de la carrera o la modalidad, y que conviene estimarlo con la muestra muy agrupada. Que la del turno caiga al mínimo dice lo contrario: cada combinación de sede, modalidad y ciclo tiene su propio patrón y hay datos suficientes para estimarlo. Nótese que la del reparto de turno de los ingresantes bajó de 5,42 a 1,00 al incorporar la modalidad: antes la heterogeneidad entre celdas parecía pequeña porque se mezclaban poblaciones distintas; separadas, cada una tiene una señal clara que conviene respetar.</w:t>
      </w:r>
    </w:p>
    <w:p>
      <w:pPr>
        <w:pStyle w:val="Heading2"/>
        <w:spacing w:after="140" w:before="300"/>
      </w:pPr>
      <w:r>
        <w:rPr>
          <w:b/>
          <w:bCs/>
          <w:color w:val="12233F"/>
          <w:sz w:val="25"/>
          <w:szCs w:val="25"/>
        </w:rPr>
        <w:t xml:space="preserve">6.3 Contracción Dirichlet-Multinomial para composiciones</w:t>
      </w:r>
    </w:p>
    <w:p>
      <w:pPr>
        <w:spacing w:after="120" w:before="0" w:line="276"/>
      </w:pPr>
      <w:r>
        <w:rPr>
          <w:color w:val="000000"/>
          <w:sz w:val="21"/>
          <w:szCs w:val="21"/>
        </w:rPr>
        <w:t xml:space="preserve">El avance de ciclo, la transición de turno y el reparto de los ingresantes por turno y por modalidad no son tasas sino composiciones: vectores de probabilidades que suman uno. La extensión natural del Beta-Binomial es el modelo Dirichlet-Multinomial:</w:t>
      </w:r>
    </w:p>
    <w:p>
      <w:pPr>
        <w:shd w:fill="F2F1ED" w:val="clear"/>
        <w:spacing w:after="0" w:before="140" w:line="260"/>
        <w:ind w:left="200" w:right="200"/>
      </w:pPr>
      <w:r>
        <w:rPr>
          <w:rFonts w:ascii="Consolas" w:cs="Consolas" w:eastAsia="Consolas" w:hAnsi="Consolas"/>
          <w:sz w:val="18"/>
          <w:szCs w:val="18"/>
        </w:rPr>
        <w:t xml:space="preserve">              c_j + k · π_j(padre)</w:t>
      </w:r>
    </w:p>
    <w:p>
      <w:pPr>
        <w:shd w:fill="F2F1ED" w:val="clear"/>
        <w:spacing w:after="0" w:before="0" w:line="260"/>
        <w:ind w:left="200" w:right="200"/>
      </w:pPr>
      <w:r>
        <w:rPr>
          <w:rFonts w:ascii="Consolas" w:cs="Consolas" w:eastAsia="Consolas" w:hAnsi="Consolas"/>
          <w:sz w:val="18"/>
          <w:szCs w:val="18"/>
        </w:rPr>
        <w:t xml:space="preserve">π_j(celda) = ──────────────────────        para cada categoría j</w:t>
      </w:r>
    </w:p>
    <w:p>
      <w:pPr>
        <w:shd w:fill="F2F1ED" w:val="clear"/>
        <w:spacing w:after="160" w:before="0" w:line="260"/>
        <w:ind w:left="200" w:right="200"/>
      </w:pPr>
      <w:r>
        <w:rPr>
          <w:rFonts w:ascii="Consolas" w:cs="Consolas" w:eastAsia="Consolas" w:hAnsi="Consolas"/>
          <w:sz w:val="18"/>
          <w:szCs w:val="18"/>
        </w:rPr>
        <w:t xml:space="preserve">                 Σ c + k</w:t>
      </w:r>
    </w:p>
    <w:p>
      <w:pPr>
        <w:spacing w:after="120" w:before="0" w:line="276"/>
      </w:pPr>
      <w:r>
        <w:rPr>
          <w:color w:val="000000"/>
          <w:sz w:val="21"/>
          <w:szCs w:val="21"/>
        </w:rPr>
        <w:t xml:space="preserve">La constante k se estima con el mismo método de los momentos aplicado a la categoría de mayor masa, que es la que gobierna la variabilidad del conjunto. El resultado se renormaliza para garantizar que la composición suma exactamente uno.</w:t>
      </w:r>
    </w:p>
    <w:p>
      <w:pPr>
        <w:pStyle w:val="Heading2"/>
        <w:spacing w:after="140" w:before="300"/>
      </w:pPr>
      <w:r>
        <w:rPr>
          <w:b/>
          <w:bCs/>
          <w:color w:val="12233F"/>
          <w:sz w:val="25"/>
          <w:szCs w:val="25"/>
        </w:rPr>
        <w:t xml:space="preserve">6.4 Modelo lineal generalizado para descomponer la varianza</w:t>
      </w:r>
    </w:p>
    <w:p>
      <w:pPr>
        <w:spacing w:after="120" w:before="0" w:line="276"/>
      </w:pPr>
      <w:r>
        <w:rPr>
          <w:color w:val="000000"/>
          <w:sz w:val="21"/>
          <w:szCs w:val="21"/>
        </w:rPr>
        <w:t xml:space="preserve">Para separar las fuentes de variación de la tasa de continuación se ajusta un GLM binomial con enlace logit sobre las 109 799 transiciones con semestre de destino observable:</w:t>
      </w:r>
    </w:p>
    <w:p>
      <w:pPr>
        <w:shd w:fill="F2F1ED" w:val="clear"/>
        <w:spacing w:after="160" w:before="140" w:line="260"/>
        <w:ind w:left="200" w:right="200"/>
      </w:pPr>
      <w:r>
        <w:rPr>
          <w:rFonts w:ascii="Consolas" w:cs="Consolas" w:eastAsia="Consolas" w:hAnsi="Consolas"/>
          <w:sz w:val="18"/>
          <w:szCs w:val="18"/>
        </w:rPr>
        <w:t xml:space="preserve">logit P(continúa) = μ + α_ciclo + β_modalidad + γ_semestre</w:t>
      </w:r>
    </w:p>
    <w:p>
      <w:pPr>
        <w:spacing w:after="120" w:before="0" w:line="276"/>
      </w:pPr>
      <w:r>
        <w:rPr>
          <w:color w:val="000000"/>
          <w:sz w:val="21"/>
          <w:szCs w:val="21"/>
        </w:rPr>
        <w:t xml:space="preserve">La paridad no entra como regresor independiente: está anidada en el semestre y su inclusión produciría un diseño de rango deficiente. Se extrae después proyectando los efectos de semestre estimados sobre la paridad, y el residuo de esa proyección es el choque estocástico.</w:t>
      </w:r>
    </w:p>
    <w:p>
      <w:pPr>
        <w:spacing w:after="120" w:before="0" w:line="276"/>
      </w:pPr>
      <w:r>
        <w:rPr>
          <w:sz w:val="21"/>
          <w:szCs w:val="21"/>
        </w:rPr>
        <w:t xml:space="preserve">La modalidad entra como </w:t>
      </w:r>
      <w:r>
        <w:rPr>
          <w:b/>
          <w:bCs/>
          <w:sz w:val="21"/>
          <w:szCs w:val="21"/>
        </w:rPr>
        <w:t xml:space="preserve">control</w:t>
      </w:r>
      <w:r>
        <w:rPr>
          <w:sz w:val="21"/>
          <w:szCs w:val="21"/>
        </w:rPr>
        <w:t xml:space="preserve">, y es la novedad de esta especificación. La razón es de libro de texto: si una variable afecta a la probabilidad de continuar y su composición cambia con el tiempo, omitirla hace que su deriva se contabilice en los efectos de periodo. El choque de periodo así medido no sería volatilidad, sino cambio de composición mal atribuido.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6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Estadístico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109 799</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Transiciones con destino observable.</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Devianza residual</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98 447</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Sobre 109 780 grados de libertad.</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(McFadden)</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0,1453</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Habitual en modelos de elección individual: el comportamiento de una persona concreta es en gran medida idiosincrásico. Sin modalidad era 0,1345.</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β Presencial (base: a distancia)</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+0,770</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0,022; z = 35,3; p ≈ 4·10⁻²⁷³.</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β Semi Presencial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+0,480</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0,028; z = 17,4; p ≈ 1·10⁻⁶⁷.</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modalidad</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1 235,5</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 g.l.; p ≈ 5·10⁻²⁶⁹.</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65,94</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6 g.l.; p ≈ 2,8·10⁻¹².</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σ de los efectos de semestre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0,0709</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En escala logit, antes de descontar estacionalidad.</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estocástico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0,0679</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Tras descontar estacionalidad; 5 g.l.</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±0,0326</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I frente a semestre II, en logit.</w:t>
            </w:r>
          </w:p>
        </w:tc>
      </w:tr>
    </w:tbl>
    <w:p>
      <w:pPr>
        <w:spacing w:after="220" w:before="80"/>
      </w:pPr>
      <w:r>
        <w:rPr>
          <w:b/>
          <w:bCs/>
          <w:color w:val="52514E"/>
          <w:sz w:val="17"/>
          <w:szCs w:val="17"/>
        </w:rPr>
        <w:t xml:space="preserve">Tabla 21. </w:t>
      </w:r>
      <w:r>
        <w:rPr>
          <w:color w:val="52514E"/>
          <w:sz w:val="17"/>
          <w:szCs w:val="17"/>
        </w:rPr>
        <w:t xml:space="preserve">Resultados del GLM auxiliar de descomposición de varianza.</w:t>
      </w:r>
    </w:p>
    <w:p>
      <w:pPr>
        <w:spacing w:after="120" w:before="0" w:line="276"/>
      </w:pPr>
      <w:r>
        <w:rPr>
          <w:sz w:val="21"/>
          <w:szCs w:val="21"/>
        </w:rPr>
        <w:t xml:space="preserve">El pseudo-R² moderado es esperable y no invalida el uso: el modelo auxiliar no pretende predecir si </w:t>
      </w:r>
      <w:r>
        <w:rPr>
          <w:i/>
          <w:iCs/>
          <w:sz w:val="21"/>
          <w:szCs w:val="21"/>
        </w:rPr>
        <w:t xml:space="preserve">un</w:t>
      </w:r>
      <w:r>
        <w:rPr>
          <w:sz w:val="21"/>
          <w:szCs w:val="21"/>
        </w:rPr>
        <w:t xml:space="preserve"> estudiante concreto continuará, sino cuantificar cuánto se mueve la tasa </w:t>
      </w:r>
      <w:r>
        <w:rPr>
          <w:i/>
          <w:iCs/>
          <w:sz w:val="21"/>
          <w:szCs w:val="21"/>
        </w:rPr>
        <w:t xml:space="preserve">media</w:t>
      </w:r>
      <w:r>
        <w:rPr>
          <w:sz w:val="21"/>
          <w:szCs w:val="21"/>
        </w:rPr>
        <w:t xml:space="preserve"> entre semestres una vez controlados el ciclo y la modalidad. Para ese fin, lo relevante es la significación de los bloques, que es contundente en ambos.</w:t>
      </w:r>
    </w:p>
    <w:p>
      <w:pPr>
        <w:pStyle w:val="Heading3"/>
        <w:spacing w:after="120" w:before="240"/>
      </w:pPr>
      <w:r>
        <w:rPr>
          <w:b/>
          <w:bCs/>
          <w:color w:val="52514E"/>
          <w:sz w:val="22"/>
          <w:szCs w:val="22"/>
        </w:rPr>
        <w:t xml:space="preserve">6.4.1 Cuánto cambia la descomposición al controlar la modalidad</w:t>
      </w:r>
    </w:p>
    <w:p>
      <w:pPr>
        <w:spacing w:after="120" w:before="0" w:line="276"/>
      </w:pPr>
      <w:r>
        <w:rPr>
          <w:color w:val="000000"/>
          <w:sz w:val="21"/>
          <w:szCs w:val="21"/>
        </w:rPr>
        <w:t xml:space="preserve">El efecto del control es grande y va todo en la misma dirección. Ajustando el mismo GLM sobre los mismos datos, con y sin el bloque de modalidad: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26"/>
      </w:tblGrid>
      <w:tr>
        <w:trPr>
          <w:tblHeader/>
        </w:trPr>
        <w:tc>
          <w:tcPr>
            <w:tcW w:type="dxa" w:w="3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1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Variación</w:t>
            </w:r>
          </w:p>
        </w:tc>
      </w:tr>
      <w:tr>
        <w:tc>
          <w:tcPr>
            <w:tcW w:type="dxa" w:w="3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de periodo</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0,1026</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0,0679</w:t>
            </w:r>
          </w:p>
        </w:tc>
        <w:tc>
          <w:tcPr>
            <w:tcW w:type="dxa" w:w="1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−33,8 %</w:t>
            </w:r>
          </w:p>
        </w:tc>
      </w:tr>
      <w:tr>
        <w:tc>
          <w:tcPr>
            <w:tcW w:type="dxa" w:w="3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 (logit)</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±0,0511</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±0,0326</w:t>
            </w:r>
          </w:p>
        </w:tc>
        <w:tc>
          <w:tcPr>
            <w:tcW w:type="dxa" w:w="1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−36,2 %</w:t>
            </w:r>
          </w:p>
        </w:tc>
      </w:tr>
      <w:tr>
        <w:tc>
          <w:tcPr>
            <w:tcW w:type="dxa" w:w="3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152,7</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65,9</w:t>
            </w:r>
          </w:p>
        </w:tc>
        <w:tc>
          <w:tcPr>
            <w:tcW w:type="dxa" w:w="1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−56,8 %</w:t>
            </w:r>
          </w:p>
        </w:tc>
      </w:tr>
      <w:tr>
        <w:tc>
          <w:tcPr>
            <w:tcW w:type="dxa" w:w="3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de McFadden</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0,1345</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0,1453</w:t>
            </w:r>
          </w:p>
        </w:tc>
        <w:tc>
          <w:tcPr>
            <w:tcW w:type="dxa" w:w="1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+8,0 %</w:t>
            </w:r>
          </w:p>
        </w:tc>
      </w:tr>
    </w:tbl>
    <w:p>
      <w:pPr>
        <w:spacing w:after="220" w:before="80"/>
      </w:pPr>
      <w:r>
        <w:rPr>
          <w:b/>
          <w:bCs/>
          <w:color w:val="52514E"/>
          <w:sz w:val="17"/>
          <w:szCs w:val="17"/>
        </w:rPr>
        <w:t xml:space="preserve">Tabla 22. </w:t>
      </w:r>
      <w:r>
        <w:rPr>
          <w:color w:val="52514E"/>
          <w:sz w:val="17"/>
          <w:szCs w:val="17"/>
        </w:rPr>
        <w:t xml:space="preserve">Descomposición de la varianza con y sin el control de modalidad. Ambos ajustes emplean las mismas 109 799 transiciones.</w:t>
      </w:r>
    </w:p>
    <w:p>
      <w:pPr>
        <w:spacing w:after="120" w:before="0" w:line="276"/>
      </w:pPr>
      <w:r>
        <w:rPr>
          <w:sz w:val="21"/>
          <w:szCs w:val="21"/>
        </w:rPr>
        <w:t xml:space="preserve">La lectura es directa: </w:t>
      </w:r>
      <w:r>
        <w:rPr>
          <w:b/>
          <w:bCs/>
          <w:sz w:val="21"/>
          <w:szCs w:val="21"/>
        </w:rPr>
        <w:t xml:space="preserve">un tercio de lo que se medía como choque de periodo era deriva de composición por modalidad</w:t>
      </w:r>
      <w:r>
        <w:rPr>
          <w:sz w:val="21"/>
          <w:szCs w:val="21"/>
        </w:rPr>
        <w:t xml:space="preserve">. El χ² del bloque de semestre cae a menos de la mitad porque buena parte de lo que capturaba no era un movimiento del entorno, sino el peso creciente de una población con menor retención.</w:t>
      </w:r>
    </w:p>
    <w:p>
      <w:pPr>
        <w:spacing w:after="120" w:before="0" w:line="276"/>
      </w:pPr>
      <w:r>
        <w:rPr>
          <w:color w:val="000000"/>
          <w:sz w:val="21"/>
          <w:szCs w:val="21"/>
        </w:rPr>
        <w:t xml:space="preserve">La consecuencia práctica es que los escenarios se estrechan: el desplazamiento sistémico que los gradúa pasa de ±0,151 a ±0,100 en escala logit. No es un ajuste discrecional de la amplitud, sino la traducción de haber convertido incertidumbre en estructura.</w:t>
      </w:r>
    </w:p>
    <w:p>
      <w:pPr>
        <w:spacing w:after="120" w:before="0" w:line="276"/>
      </w:pPr>
      <w:r>
        <w:rPr>
          <w:color w:val="000000"/>
          <w:sz w:val="21"/>
          <w:szCs w:val="21"/>
        </w:rPr>
        <w:t xml:space="preserve">Descomponiendo la varianza de la tasa agregada entre semestres: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Varianza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Participación</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Observada entre semestres</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2,690·10⁻⁴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muestreo</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0,111·10⁻⁴</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4,1 %</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proceso</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2,579·10⁻⁴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95,9 %</w:t>
            </w:r>
          </w:p>
        </w:tc>
      </w:tr>
    </w:tbl>
    <w:p>
      <w:pPr>
        <w:spacing w:after="220" w:before="80"/>
      </w:pPr>
      <w:r>
        <w:rPr>
          <w:b/>
          <w:bCs/>
          <w:color w:val="52514E"/>
          <w:sz w:val="17"/>
          <w:szCs w:val="17"/>
        </w:rPr>
        <w:t xml:space="preserve">Tabla 23. </w:t>
      </w:r>
      <w:r>
        <w:rPr>
          <w:color w:val="52514E"/>
          <w:sz w:val="17"/>
          <w:szCs w:val="17"/>
        </w:rPr>
        <w:t xml:space="preserve">Descomposición de la varianza de la tasa agregada de continuación. El componente de proceso incluye tanto la parte predecible —estacionalidad y composición— como el choque genuino; sólo este último alimenta los escenarios.</w:t>
      </w:r>
    </w:p>
    <w:p>
      <w:pPr>
        <w:spacing w:after="60" w:before="18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b/>
          <w:bCs/>
          <w:color w:val="52514E"/>
          <w:sz w:val="17"/>
          <w:szCs w:val="17"/>
        </w:rPr>
        <w:t xml:space="preserve">Figura 7. </w:t>
      </w:r>
      <w:r>
        <w:rPr>
          <w:color w:val="52514E"/>
          <w:sz w:val="17"/>
          <w:szCs w:val="17"/>
        </w:rPr>
        <w:t xml:space="preserve">La descomposición de la incertidumbre, tal como la presenta el modelo.</w:t>
      </w:r>
    </w:p>
    <w:p>
      <w:pPr>
        <w:pStyle w:val="Heading2"/>
        <w:spacing w:after="140" w:before="300"/>
      </w:pPr>
      <w:r>
        <w:rPr>
          <w:b/>
          <w:bCs/>
          <w:color w:val="12233F"/>
          <w:sz w:val="25"/>
          <w:szCs w:val="25"/>
        </w:rPr>
        <w:t xml:space="preserve">6.5 Contraste de especificación: qué aporta la dimensión modalidad</w:t>
      </w:r>
    </w:p>
    <w:p>
      <w:pPr>
        <w:spacing w:after="120" w:before="0" w:line="276"/>
      </w:pPr>
      <w:r>
        <w:rPr>
          <w:color w:val="000000"/>
          <w:sz w:val="21"/>
          <w:szCs w:val="21"/>
        </w:rPr>
        <w:t xml:space="preserve">El GLM auxiliar dice que la modalidad es significativa, pero eso no basta: la significación estadística no garantiza ganancia predictiva. La pregunta relevante es si el modelo completo proyecta mejor con esa dimensión que sin ella.</w:t>
      </w:r>
    </w:p>
    <w:p>
      <w:pPr>
        <w:spacing w:after="120" w:before="0" w:line="276"/>
      </w:pPr>
      <w:r>
        <w:rPr>
          <w:color w:val="000000"/>
          <w:sz w:val="21"/>
          <w:szCs w:val="21"/>
        </w:rPr>
        <w:t xml:space="preserve">Para responderla se ejecutó una ablación: el mismo procedimiento de principio a fin sobre la misma base histórica, con la única diferencia de colapsar la modalidad a una categoría única en la segunda especificación. En ambos casos la ponderación de recencia se selecciona por validación cruzada dentro de la propia especificación, de modo que se comparan dos procedimientos completos y no dos conjuntos de parámetros.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1,992 %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1,649 %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17,2 %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2,304 %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1,649 %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3,173 %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2,757 %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13,1 %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3,467 %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2,904 %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16,2 %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+259</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+153</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0,30 (borde)</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0,55 (interior)</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24. </w:t>
      </w:r>
      <w:r>
        <w:rPr>
          <w:color w:val="52514E"/>
          <w:sz w:val="17"/>
          <w:szCs w:val="17"/>
        </w:rPr>
        <w:t xml:space="preserve">Ablación de la dimensión modalidad. EPAP medio fuera de muestra en los cuatro niveles de agregación que existen en ambas especificaciones; los niveles más finos no son comparables porque añadir la dimensión parte las celdas. La λ que aparece aquí se elige sobre estos cuatro niveles; el valor de producción, 0,65, se elige sobre la rejilla completa del apartado 6.6.</w:t>
      </w:r>
    </w:p>
    <w:p>
      <w:pPr>
        <w:spacing w:after="120" w:before="0" w:line="276"/>
      </w:pPr>
      <w:r>
        <w:rPr>
          <w:color w:val="000000"/>
          <w:sz w:val="21"/>
          <w:szCs w:val="21"/>
        </w:rPr>
        <w:t xml:space="preserve">El error baja en los cuatro niveles comparables, entre un 13 % y un 28 %, y el sesgo medio del total se reduce en un 41 %. Pero el resultado más informativo es el de la última fila.</w:t>
      </w:r>
    </w:p>
    <w:p>
      <w:pPr>
        <w:pBdr>
          <w:left w:val="single" w:color="C07E00" w:sz="18" w:space="8"/>
        </w:pBdr>
        <w:shd w:fill="F2F1ED" w:val="clear"/>
        <w:spacing w:after="180" w:before="160" w:line="276"/>
        <w:ind w:left="160" w:right="160"/>
      </w:pPr>
      <w:r>
        <w:rPr>
          <w:b/>
          <w:bCs/>
          <w:sz w:val="21"/>
          <w:szCs w:val="21"/>
        </w:rPr>
        <w:t xml:space="preserve">La recencia estaba haciendo de variable omitida. </w:t>
      </w:r>
      <w:r>
        <w:rPr>
          <w:sz w:val="21"/>
          <w:szCs w:val="21"/>
        </w:rPr>
        <w:t xml:space="preserve">Sin la dimensión de modalidad, la validación cruzada empuja λ hasta 0,30, el borde de la rejilla: el estimador pide olvidar el pasado lo más deprisa posible. Tiene sentido, porque es la única forma que tiene de seguir una composición que cambia sin poder verla. Al incorporar la modalidad, el óptimo se vuelve interior: ya no hace falta tirar información antigua para capturar la deriva, porque la deriva está explícitamente modelada. Un óptimo interior es una señal de especificación sana; un óptimo en el borde de la rejilla es una señal de que falta algo.</w:t>
      </w:r>
    </w:p>
    <w:p>
      <w:pPr>
        <w:spacing w:after="120" w:before="0" w:line="276"/>
      </w:pPr>
      <w:r>
        <w:rPr>
          <w:color w:val="000000"/>
          <w:sz w:val="21"/>
          <w:szCs w:val="21"/>
        </w:rPr>
        <w:t xml:space="preserve">Conviene ser explícito sobre el alcance de este contraste: se apoya en los mismos tres orígenes y seis comparaciones que el resto de la validación, de modo que la magnitud exacta de la mejora tiene un margen amplio. Lo que sí es robusto es el signo —la mejora aparece en los cuatro niveles y en el sesgo— y el desplazamiento del óptimo de λ, que no depende de cuántas comparaciones haya.</w:t>
      </w:r>
    </w:p>
    <w:p>
      <w:pPr>
        <w:pStyle w:val="Heading2"/>
        <w:spacing w:after="140" w:before="300"/>
      </w:pPr>
      <w:r>
        <w:rPr>
          <w:b/>
          <w:bCs/>
          <w:color w:val="12233F"/>
          <w:sz w:val="25"/>
          <w:szCs w:val="25"/>
        </w:rPr>
        <w:t xml:space="preserve">6.6 Ponderación exponencial de recencia</w:t>
      </w:r>
    </w:p>
    <w:p>
      <w:pPr>
        <w:pStyle w:val="Heading3"/>
        <w:spacing w:after="120" w:before="240"/>
      </w:pPr>
      <w:r>
        <w:rPr>
          <w:b/>
          <w:bCs/>
          <w:color w:val="52514E"/>
          <w:sz w:val="22"/>
          <w:szCs w:val="22"/>
        </w:rPr>
        <w:t xml:space="preserve">6.6.1 El problema</w:t>
      </w:r>
    </w:p>
    <w:p>
      <w:pPr>
        <w:spacing w:after="120" w:before="0" w:line="276"/>
      </w:pPr>
      <w:r>
        <w:rPr>
          <w:color w:val="000000"/>
          <w:sz w:val="21"/>
          <w:szCs w:val="21"/>
        </w:rPr>
        <w:t xml:space="preserve">El capítulo 4 documentó dos derivas estructurales: la retención cae en los semestres recientes y la composición por turno de los ingresantes se ha desplazado hacia el turno noche. Ponderar los ocho semestres por igual arrastra información caducada.</w:t>
      </w:r>
    </w:p>
    <w:p>
      <w:pPr>
        <w:spacing w:after="120" w:before="0" w:line="276"/>
      </w:pPr>
      <w:r>
        <w:rPr>
          <w:color w:val="000000"/>
          <w:sz w:val="21"/>
          <w:szCs w:val="21"/>
        </w:rPr>
        <w:t xml:space="preserve">El estimador aplica por tanto un peso exponencial a cada observación según su antigüedad:</w:t>
      </w:r>
    </w:p>
    <w:p>
      <w:pPr>
        <w:shd w:fill="F2F1ED" w:val="clear"/>
        <w:spacing w:after="0" w:before="140" w:line="260"/>
        <w:ind w:left="200" w:right="200"/>
      </w:pPr>
      <w:r>
        <w:rPr>
          <w:rFonts w:ascii="Consolas" w:cs="Consolas" w:eastAsia="Consolas" w:hAnsi="Consolas"/>
          <w:sz w:val="18"/>
          <w:szCs w:val="18"/>
        </w:rPr>
        <w:t xml:space="preserve">w(t) = λ^(t_último − t)          con 0 &lt; λ ≤ 1</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λ = 1    todo el histórico pesa igual</w:t>
      </w:r>
    </w:p>
    <w:p>
      <w:pPr>
        <w:shd w:fill="F2F1ED" w:val="clear"/>
        <w:spacing w:after="160" w:before="0" w:line="260"/>
        <w:ind w:left="200" w:right="200"/>
      </w:pPr>
      <w:r>
        <w:rPr>
          <w:rFonts w:ascii="Consolas" w:cs="Consolas" w:eastAsia="Consolas" w:hAnsi="Consolas"/>
          <w:sz w:val="18"/>
          <w:szCs w:val="18"/>
        </w:rPr>
        <w:t xml:space="preserve">λ &lt; 1    los semestres recientes pesan más; la semivida es log(0,5)/log(λ)</w:t>
      </w:r>
    </w:p>
    <w:p>
      <w:pPr>
        <w:pStyle w:val="Heading3"/>
        <w:spacing w:after="120" w:before="240"/>
      </w:pPr>
      <w:r>
        <w:rPr>
          <w:b/>
          <w:bCs/>
          <w:color w:val="52514E"/>
          <w:sz w:val="22"/>
          <w:szCs w:val="22"/>
        </w:rPr>
        <w:t xml:space="preserve">6.6.2 La elección de λ por validación cruzada</w:t>
      </w:r>
    </w:p>
    <w:p>
      <w:pPr>
        <w:spacing w:after="120" w:before="0" w:line="276"/>
      </w:pPr>
      <w:r>
        <w:rPr>
          <w:color w:val="000000"/>
          <w:sz w:val="21"/>
          <w:szCs w:val="21"/>
        </w:rPr>
        <w:t xml:space="preserve">El valor de λ no se fijó por criterio. Se recorrió una rejilla de valores y para cada uno se ejecutó el backtesting completo de origen móvil, midiendo el error fuera de muestra en todos los niveles de agregación.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80"/>
        <w:gridCol w:w="1230"/>
        <w:gridCol w:w="1230"/>
        <w:gridCol w:w="1230"/>
        <w:gridCol w:w="1230"/>
        <w:gridCol w:w="1230"/>
        <w:gridCol w:w="1896"/>
      </w:tblGrid>
      <w:tr>
        <w:trPr>
          <w:tblHeader/>
        </w:trPr>
        <w:tc>
          <w:tcPr>
            <w:tcW w:type="dxa" w:w="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λ</w:t>
            </w:r>
          </w:p>
        </w:tc>
        <w:tc>
          <w:tcPr>
            <w:tcW w:type="dxa" w:w="123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23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23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×Modalidad</w:t>
            </w:r>
          </w:p>
        </w:tc>
        <w:tc>
          <w:tcPr>
            <w:tcW w:type="dxa" w:w="123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w:t>
            </w:r>
          </w:p>
        </w:tc>
        <w:tc>
          <w:tcPr>
            <w:tcW w:type="dxa" w:w="123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Criterio</w:t>
            </w:r>
          </w:p>
        </w:tc>
        <w:tc>
          <w:tcPr>
            <w:tcW w:type="dxa" w:w="189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w:t>
            </w:r>
          </w:p>
        </w:tc>
      </w:tr>
      <w:tr>
        <w:tc>
          <w:tcPr>
            <w:tcW w:type="dxa" w:w="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1,00</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1,662 %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3,080 %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3,660 %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12,830 %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101,56</w:t>
            </w:r>
          </w:p>
        </w:tc>
        <w:tc>
          <w:tcPr>
            <w:tcW w:type="dxa" w:w="189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+225</w:t>
            </w:r>
          </w:p>
        </w:tc>
      </w:tr>
      <w:tr>
        <w:tc>
          <w:tcPr>
            <w:tcW w:type="dxa" w:w="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0,85</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1,670 %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3,023 %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3,614 %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12,859 %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101,19</w:t>
            </w:r>
          </w:p>
        </w:tc>
        <w:tc>
          <w:tcPr>
            <w:tcW w:type="dxa" w:w="189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+203</w:t>
            </w:r>
          </w:p>
        </w:tc>
      </w:tr>
      <w:tr>
        <w:tc>
          <w:tcPr>
            <w:tcW w:type="dxa" w:w="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0,80</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1,666 %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3,003 %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3,606 %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12,878 %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101,02</w:t>
            </w:r>
          </w:p>
        </w:tc>
        <w:tc>
          <w:tcPr>
            <w:tcW w:type="dxa" w:w="189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+195</w:t>
            </w:r>
          </w:p>
        </w:tc>
      </w:tr>
      <w:tr>
        <w:tc>
          <w:tcPr>
            <w:tcW w:type="dxa" w:w="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0,70</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1,659 %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2,963 %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3,593 %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12,938 %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100,79</w:t>
            </w:r>
          </w:p>
        </w:tc>
        <w:tc>
          <w:tcPr>
            <w:tcW w:type="dxa" w:w="189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+176</w:t>
            </w:r>
          </w:p>
        </w:tc>
      </w:tr>
      <w:tr>
        <w:tc>
          <w:tcPr>
            <w:tcW w:type="dxa" w:w="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0,65</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1,651 %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2,934 %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3,586 %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12,979 %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100,56</w:t>
            </w:r>
          </w:p>
        </w:tc>
        <w:tc>
          <w:tcPr>
            <w:tcW w:type="dxa" w:w="189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+165</w:t>
            </w:r>
          </w:p>
        </w:tc>
      </w:tr>
      <w:tr>
        <w:tc>
          <w:tcPr>
            <w:tcW w:type="dxa" w:w="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0,60</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1,650 %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2,914 %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3,585 %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13,025 %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100,58</w:t>
            </w:r>
          </w:p>
        </w:tc>
        <w:tc>
          <w:tcPr>
            <w:tcW w:type="dxa" w:w="189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+159</w:t>
            </w:r>
          </w:p>
        </w:tc>
      </w:tr>
      <w:tr>
        <w:tc>
          <w:tcPr>
            <w:tcW w:type="dxa" w:w="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0,55</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1,649 %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2,904 %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3,585 %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13,072 %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100,69</w:t>
            </w:r>
          </w:p>
        </w:tc>
        <w:tc>
          <w:tcPr>
            <w:tcW w:type="dxa" w:w="189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+153</w:t>
            </w:r>
          </w:p>
        </w:tc>
      </w:tr>
      <w:tr>
        <w:tc>
          <w:tcPr>
            <w:tcW w:type="dxa" w:w="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0,50</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1,654 %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2,899 %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3,588 %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13,129 %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100,99</w:t>
            </w:r>
          </w:p>
        </w:tc>
        <w:tc>
          <w:tcPr>
            <w:tcW w:type="dxa" w:w="189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+149</w:t>
            </w:r>
          </w:p>
        </w:tc>
      </w:tr>
      <w:tr>
        <w:tc>
          <w:tcPr>
            <w:tcW w:type="dxa" w:w="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0,40</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1,663 %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2,900 %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3,598 %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13,263 %</w:t>
            </w:r>
          </w:p>
        </w:tc>
        <w:tc>
          <w:tcPr>
            <w:tcW w:type="dxa" w:w="123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101,65</w:t>
            </w:r>
          </w:p>
        </w:tc>
        <w:tc>
          <w:tcPr>
            <w:tcW w:type="dxa" w:w="189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+142</w:t>
            </w:r>
          </w:p>
        </w:tc>
      </w:tr>
      <w:tr>
        <w:tc>
          <w:tcPr>
            <w:tcW w:type="dxa" w:w="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0,30</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1,684 %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2,919 %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3,624 %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13,417 %</w:t>
            </w:r>
          </w:p>
        </w:tc>
        <w:tc>
          <w:tcPr>
            <w:tcW w:type="dxa" w:w="123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102,79</w:t>
            </w:r>
          </w:p>
        </w:tc>
        <w:tc>
          <w:tcPr>
            <w:tcW w:type="dxa" w:w="189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+139</w:t>
            </w:r>
          </w:p>
        </w:tc>
      </w:tr>
    </w:tbl>
    <w:p>
      <w:pPr>
        <w:spacing w:after="220" w:before="80"/>
      </w:pPr>
      <w:r>
        <w:rPr>
          <w:b/>
          <w:bCs/>
          <w:color w:val="52514E"/>
          <w:sz w:val="17"/>
          <w:szCs w:val="17"/>
        </w:rPr>
        <w:t xml:space="preserve">Tabla 25. </w:t>
      </w:r>
      <w:r>
        <w:rPr>
          <w:color w:val="52514E"/>
          <w:sz w:val="17"/>
          <w:szCs w:val="17"/>
        </w:rPr>
        <w:t xml:space="preserve">Selección de λ. El criterio es la media de las seis series de EPAP indexadas cada una a su propio mínimo (100 = la mejor λ de ese nivel); se indexa porque el error del cruce más fino es veinte veces mayor que el del total y dominaría cualquier media directa. El mínimo es interior y se alcanza en λ = 0,65.</w:t>
      </w:r>
    </w:p>
    <w:p>
      <w:pPr>
        <w:spacing w:after="120" w:before="0" w:line="276"/>
      </w:pPr>
      <w:r>
        <w:rPr>
          <w:sz w:val="21"/>
          <w:szCs w:val="21"/>
        </w:rPr>
        <w:t xml:space="preserve">El criterio combinado tiene un </w:t>
      </w:r>
      <w:r>
        <w:rPr>
          <w:b/>
          <w:bCs/>
          <w:sz w:val="21"/>
          <w:szCs w:val="21"/>
        </w:rPr>
        <w:t xml:space="preserve">mínimo interior</w:t>
      </w:r>
      <w:r>
        <w:rPr>
          <w:sz w:val="21"/>
          <w:szCs w:val="21"/>
        </w:rPr>
        <w:t xml:space="preserve"> en λ = 0,65, y la curva es plana en el intervalo [0,55; 0,70]. Que el óptimo no esté en el borde de la rejilla es lo que distingue una elección fundamentada de un ajuste forzado: existe un compromiso real entre usar información reciente —que reduce el error de los agregados— y disponer de muestra suficiente en las celdas finas, cuyo error crece de forma monótona a medida que λ baja.</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8. </w:t>
      </w:r>
      <w:r>
        <w:rPr>
          <w:color w:val="52514E"/>
          <w:sz w:val="17"/>
          <w:szCs w:val="17"/>
        </w:rPr>
        <w:t xml:space="preserve">Curva de selección de λ dentro del propio modelo, con cada serie indexada a su mínimo para poder compararlas en un solo eje.</w:t>
      </w:r>
    </w:p>
    <w:p>
      <w:pPr>
        <w:spacing w:after="120" w:before="0" w:line="276"/>
      </w:pPr>
      <w:r>
        <w:rPr>
          <w:color w:val="000000"/>
          <w:sz w:val="21"/>
          <w:szCs w:val="21"/>
        </w:rPr>
        <w:t xml:space="preserve">Para el reparto por turno de los ingresantes se repitió el ejercicio por separado, midiendo el error en el nivel que incluye el turno. La curva desciende hasta λ ≈ 0,30 y se aplana después: la ganancia entre 0,30 y 0,05 es de apenas 0,11 puntos porcentuales. Se fijó λ = 0,30, ya que ir más lejos equivaldría a usar un único semestre sin ganancia medible y con riesgo de arrastrar cualquier anomalía puntual.</w:t>
      </w:r>
    </w:p>
    <w:p>
      <w:pPr>
        <w:pBdr>
          <w:left w:val="single" w:color="C07E00" w:sz="18" w:space="8"/>
        </w:pBdr>
        <w:shd w:fill="F2F1ED" w:val="clear"/>
        <w:spacing w:after="180" w:before="160" w:line="276"/>
        <w:ind w:left="160" w:right="160"/>
      </w:pPr>
      <w:r>
        <w:rPr>
          <w:b/>
          <w:bCs/>
          <w:sz w:val="21"/>
          <w:szCs w:val="21"/>
        </w:rPr>
        <w:t xml:space="preserve">Qué significa λ = 0,65. </w:t>
      </w:r>
      <w:r>
        <w:rPr>
          <w:sz w:val="21"/>
          <w:szCs w:val="21"/>
        </w:rPr>
        <w:t xml:space="preserve">La semivida es de 1,6 semestres: el semestre anterior pesa un 65 %, dos semestres atrás un 42 %, cuatro atrás un 18 %. El modelo mira sobre todo los tres o cuatro semestres más recientes. Es una ventana más larga que la de la revisión anterior del modelo, que operaba con λ = 0,50, y el motivo es el del apartado 6.5: parte de la deriva que antes obligaba a olvidar deprisa ahora está explícitamente modelada como composición por modalidad. Al ver la deriva, el modelo puede permitirse recordar más.</w:t>
      </w:r>
    </w:p>
    <w:p>
      <w:pPr>
        <w:pStyle w:val="Heading2"/>
        <w:spacing w:after="140" w:before="300"/>
      </w:pPr>
      <w:r>
        <w:rPr>
          <w:b/>
          <w:bCs/>
          <w:color w:val="12233F"/>
          <w:sz w:val="25"/>
          <w:szCs w:val="25"/>
        </w:rPr>
        <w:t xml:space="preserve">6.7 Estimación matemática del reparto de los ingresantes por turno</w:t>
      </w:r>
    </w:p>
    <w:p>
      <w:pPr>
        <w:spacing w:after="120" w:before="0" w:line="276"/>
      </w:pPr>
      <w:r>
        <w:rPr>
          <w:color w:val="000000"/>
          <w:sz w:val="21"/>
          <w:szCs w:val="21"/>
        </w:rPr>
        <w:t xml:space="preserve">El archivo de entrada declara los ingresantes por semestre, sede, carrera, modalidad y ciclo, pero no por turno. El modelo estima ese reparto con una composición multinomial contraída en cascada:</w:t>
      </w:r>
    </w:p>
    <w:p>
      <w:pPr>
        <w:shd w:fill="F2F1ED" w:val="clear"/>
        <w:spacing w:after="0" w:before="140" w:line="260"/>
        <w:ind w:left="200" w:right="200"/>
      </w:pPr>
      <w:r>
        <w:rPr>
          <w:rFonts w:ascii="Consolas" w:cs="Consolas" w:eastAsia="Consolas" w:hAnsi="Consolas"/>
          <w:sz w:val="18"/>
          <w:szCs w:val="18"/>
        </w:rPr>
        <w:t xml:space="preserve">global → sede → sede × modalidad → sede × modalidad × paridad</w:t>
      </w:r>
    </w:p>
    <w:p>
      <w:pPr>
        <w:shd w:fill="F2F1ED" w:val="clear"/>
        <w:spacing w:after="0" w:before="0" w:line="260"/>
        <w:ind w:left="200" w:right="200"/>
      </w:pPr>
      <w:r>
        <w:rPr>
          <w:rFonts w:ascii="Consolas" w:cs="Consolas" w:eastAsia="Consolas" w:hAnsi="Consolas"/>
          <w:sz w:val="18"/>
          <w:szCs w:val="18"/>
        </w:rPr>
        <w:t xml:space="preserve">       → carrera × modalidad → carrera × modalidad × paridad</w:t>
      </w:r>
    </w:p>
    <w:p>
      <w:pPr>
        <w:shd w:fill="F2F1ED" w:val="clear"/>
        <w:spacing w:after="160" w:before="0" w:line="260"/>
        <w:ind w:left="200" w:right="200"/>
      </w:pPr>
      <w:r>
        <w:rPr>
          <w:rFonts w:ascii="Consolas" w:cs="Consolas" w:eastAsia="Consolas" w:hAnsi="Consolas"/>
          <w:sz w:val="18"/>
          <w:szCs w:val="18"/>
        </w:rPr>
        <w:t xml:space="preserve">       → celda completa</w:t>
      </w:r>
    </w:p>
    <w:p>
      <w:pPr>
        <w:spacing w:after="120" w:before="0" w:line="276"/>
      </w:pPr>
      <w:r>
        <w:rPr>
          <w:color w:val="000000"/>
          <w:sz w:val="21"/>
          <w:szCs w:val="21"/>
        </w:rPr>
        <w:t xml:space="preserve">El recorrido se detiene en el nivel más fino que disponga de evidencia. Una carrera consolidada llega hasta la celda completa; una carrera nueva, sin historia propia, se queda en el nivel de sede y modalidad y hereda su reparto. No hay regla especial para los programas nuevos: es el mismo mecanismo de contracción resolviendo un caso extremo.</w:t>
      </w:r>
    </w:p>
    <w:p>
      <w:pPr>
        <w:spacing w:after="120" w:before="0" w:line="276"/>
      </w:pPr>
      <w:r>
        <w:rPr>
          <w:sz w:val="21"/>
          <w:szCs w:val="21"/>
        </w:rPr>
        <w:t xml:space="preserve">La modalidad entra pronto en la cascada —antes que la carrera— porque es, con diferencia, el mejor predictor del turno de un ingresante: las modalidades semipresencial y a distancia son nocturnas en más del 98 % de los casos, mientras que la presencial reparte entre mañana, noche y, en Lima Norte, diurno. El apartado 4.5.1 cuantifica ese efecto de composición.</w:t>
      </w:r>
    </w:p>
    <w:p>
      <w:pPr>
        <w:spacing w:after="120" w:before="0" w:line="276"/>
      </w:pPr>
      <w:r>
        <w:rPr>
          <w:color w:val="000000"/>
          <w:sz w:val="21"/>
          <w:szCs w:val="21"/>
        </w:rPr>
        <w:t xml:space="preserve">El modelo informa del nivel alcanzado en cada fila, de modo que siempre puede saberse de dónde procede una estimación concreta.</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9. </w:t>
      </w:r>
      <w:r>
        <w:rPr>
          <w:color w:val="52514E"/>
          <w:sz w:val="17"/>
          <w:szCs w:val="17"/>
        </w:rPr>
        <w:t xml:space="preserve">Reparto estimado por turno de los ingresantes. La columna «Nivel usado» indica hasta dónde llegó la evidencia; las filas de INTELIGENCIA ARTIFICIAL corresponden a un programa nuevo de prueba.</w:t>
      </w:r>
    </w:p>
    <w:p>
      <w:pPr>
        <w:pStyle w:val="Heading2"/>
        <w:spacing w:after="140" w:before="300"/>
      </w:pPr>
      <w:r>
        <w:rPr>
          <w:b/>
          <w:bCs/>
          <w:color w:val="12233F"/>
          <w:sz w:val="25"/>
          <w:szCs w:val="25"/>
        </w:rPr>
        <w:t xml:space="preserve">6.8 Estimación de la modalidad cuando no se declara</w:t>
      </w:r>
    </w:p>
    <w:p>
      <w:pPr>
        <w:spacing w:after="120" w:before="0" w:line="276"/>
      </w:pPr>
      <w:r>
        <w:rPr>
          <w:color w:val="000000"/>
          <w:sz w:val="21"/>
          <w:szCs w:val="21"/>
        </w:rPr>
        <w:t xml:space="preserve">La plantilla de entrada incluye una columna de modalidad y conviene rellenarla, porque es información que el área de admisión conoce y el modelo no puede deducir. Pero el modelo admite que falte, por dos razones prácticas: para dar continuidad a archivos preparados con la versión anterior de la plantilla, y porque en fases tempranas de planificación la modalidad de una campaña puede no estar decidida.</w:t>
      </w:r>
    </w:p>
    <w:p>
      <w:pPr>
        <w:spacing w:after="120" w:before="0" w:line="276"/>
      </w:pPr>
      <w:r>
        <w:rPr>
          <w:color w:val="000000"/>
          <w:sz w:val="21"/>
          <w:szCs w:val="21"/>
        </w:rPr>
        <w:t xml:space="preserve">Cuando una fila no declara modalidad, el modelo la reparte con la composición histórica de esa sede y esa carrera, contraída en cascada por el mismo procedimiento Dirichlet-Multinomial del apartado 6.3:</w:t>
      </w:r>
    </w:p>
    <w:p>
      <w:pPr>
        <w:shd w:fill="F2F1ED" w:val="clear"/>
        <w:spacing w:after="0" w:before="140" w:line="260"/>
        <w:ind w:left="200" w:right="200"/>
      </w:pPr>
      <w:r>
        <w:rPr>
          <w:rFonts w:ascii="Consolas" w:cs="Consolas" w:eastAsia="Consolas" w:hAnsi="Consolas"/>
          <w:sz w:val="18"/>
          <w:szCs w:val="18"/>
        </w:rPr>
        <w:t xml:space="preserve">global → sede → sede × paridad → sede × carrera</w:t>
      </w:r>
    </w:p>
    <w:p>
      <w:pPr>
        <w:shd w:fill="F2F1ED" w:val="clear"/>
        <w:spacing w:after="0" w:before="0" w:line="260"/>
        <w:ind w:left="200" w:right="200"/>
      </w:pPr>
      <w:r>
        <w:rPr>
          <w:rFonts w:ascii="Consolas" w:cs="Consolas" w:eastAsia="Consolas" w:hAnsi="Consolas"/>
          <w:sz w:val="18"/>
          <w:szCs w:val="18"/>
        </w:rPr>
        <w:t xml:space="preserve">       → sede × carrera × paridad</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restringido a las combinaciones (sede, carrera, modalidad) que existen</w:t>
      </w:r>
    </w:p>
    <w:p>
      <w:pPr>
        <w:spacing w:after="120" w:before="0" w:line="276"/>
      </w:pPr>
      <w:r>
        <w:rPr>
          <w:color w:val="000000"/>
          <w:sz w:val="21"/>
          <w:szCs w:val="21"/>
        </w:rPr>
        <w:t xml:space="preserve">La restricción de oferta es la pieza que hace útil el mecanismo. Sin ella, el reparto medio institucional colocaría un 19,6 % de estudiantes a distancia en Lima Norte, que no ofrece esa modalidad, o en Enfermería, que sólo se imparte de forma presencial. Con ella, esas filas se resuelven con un 100 % presencial, que es lo correcto.</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10. </w:t>
      </w:r>
      <w:r>
        <w:rPr>
          <w:color w:val="52514E"/>
          <w:sz w:val="17"/>
          <w:szCs w:val="17"/>
        </w:rPr>
        <w:t xml:space="preserve">Reparto estimado por modalidad de un archivo de entrada que no la declara. Obsérvese que las filas de Lima Norte y las de Enfermería y Farmacia se resuelven con un 100 % presencial: la restricción de oferta actúa antes que la composición histórica.</w:t>
      </w:r>
    </w:p>
    <w:p>
      <w:pPr>
        <w:spacing w:after="120" w:before="0" w:line="276"/>
      </w:pPr>
      <w:r>
        <w:rPr>
          <w:color w:val="000000"/>
          <w:sz w:val="21"/>
          <w:szCs w:val="21"/>
        </w:rPr>
        <w:t xml:space="preserve">La estimación se recalcula al mover λ, igual que el resto de los parámetros: no es un reparto congelado en el archivo, sino el resultado de aplicar el mismo estimador a los conteos históricos con la ponderación vigente.</w:t>
      </w:r>
    </w:p>
    <w:p>
      <w:pPr>
        <w:pBdr>
          <w:left w:val="single" w:color="C07E00" w:sz="18" w:space="8"/>
        </w:pBdr>
        <w:shd w:fill="F2F1ED" w:val="clear"/>
        <w:spacing w:after="180" w:before="160" w:line="276"/>
        <w:ind w:left="160" w:right="160"/>
      </w:pPr>
      <w:r>
        <w:rPr>
          <w:b/>
          <w:bCs/>
          <w:sz w:val="21"/>
          <w:szCs w:val="21"/>
        </w:rPr>
        <w:t xml:space="preserve">Cuándo importa declararla. </w:t>
      </w:r>
      <w:r>
        <w:rPr>
          <w:sz w:val="21"/>
          <w:szCs w:val="21"/>
        </w:rPr>
        <w:t xml:space="preserve">La diferencia no es cosmética. Un grupo de 300 ingresantes de primer ciclo declarados como presenciales aporta unos 212 continuadores al semestre siguiente; declarados a distancia, unos 125. Sobre una campaña completa, la diferencia entre declarar la modalidad y dejar que el modelo la estime puede ser de varios centenares de estudiantes en el horizonte de proyección. El modelo avisa en pantalla de cuántas filas ha tenido que estimar.</w:t>
      </w:r>
    </w:p>
    <w:p>
      <w:pPr>
        <w:pStyle w:val="Heading2"/>
        <w:spacing w:after="140" w:before="300"/>
      </w:pPr>
      <w:r>
        <w:rPr>
          <w:b/>
          <w:bCs/>
          <w:color w:val="12233F"/>
          <w:sz w:val="25"/>
          <w:szCs w:val="25"/>
        </w:rPr>
        <w:t xml:space="preserve">6.9 Propagación de la varianza por el método delta</w:t>
      </w:r>
    </w:p>
    <w:p>
      <w:pPr>
        <w:spacing w:after="120" w:before="0" w:line="276"/>
      </w:pPr>
      <w:r>
        <w:rPr>
          <w:color w:val="000000"/>
          <w:sz w:val="21"/>
          <w:szCs w:val="21"/>
        </w:rPr>
        <w:t xml:space="preserve">Cada celda proyectada acumula tres fuentes de incertidumbre independiente, que se propagan a lo largo de la recursión:</w:t>
      </w:r>
    </w:p>
    <w:p>
      <w:pPr>
        <w:shd w:fill="F2F1ED" w:val="clear"/>
        <w:spacing w:after="0" w:before="140" w:line="260"/>
        <w:ind w:left="200" w:right="200"/>
      </w:pPr>
      <w:r>
        <w:rPr>
          <w:rFonts w:ascii="Consolas" w:cs="Consolas" w:eastAsia="Consolas" w:hAnsi="Consolas"/>
          <w:sz w:val="18"/>
          <w:szCs w:val="18"/>
        </w:rPr>
        <w:t xml:space="preserve">V(destino) = Σ [  x · φ · (1 − φ)                    realización multinomial</w:t>
      </w:r>
    </w:p>
    <w:p>
      <w:pPr>
        <w:shd w:fill="F2F1ED" w:val="clear"/>
        <w:spacing w:after="0" w:before="0" w:line="260"/>
        <w:ind w:left="200" w:right="200"/>
      </w:pPr>
      <w:r>
        <w:rPr>
          <w:rFonts w:ascii="Consolas" w:cs="Consolas" w:eastAsia="Consolas" w:hAnsi="Consolas"/>
          <w:sz w:val="18"/>
          <w:szCs w:val="18"/>
        </w:rPr>
        <w:t xml:space="preserve">                + x² · φ² · ( (1−q)/(q·n_q)</w:t>
      </w:r>
    </w:p>
    <w:p>
      <w:pPr>
        <w:shd w:fill="F2F1ED" w:val="clear"/>
        <w:spacing w:after="0" w:before="0" w:line="260"/>
        <w:ind w:left="200" w:right="200"/>
      </w:pPr>
      <w:r>
        <w:rPr>
          <w:rFonts w:ascii="Consolas" w:cs="Consolas" w:eastAsia="Consolas" w:hAnsi="Consolas"/>
          <w:sz w:val="18"/>
          <w:szCs w:val="18"/>
        </w:rPr>
        <w:t xml:space="preserve">                            + (1−A)/(A·n_A)</w:t>
      </w:r>
    </w:p>
    <w:p>
      <w:pPr>
        <w:shd w:fill="F2F1ED" w:val="clear"/>
        <w:spacing w:after="0" w:before="0" w:line="260"/>
        <w:ind w:left="200" w:right="200"/>
      </w:pPr>
      <w:r>
        <w:rPr>
          <w:rFonts w:ascii="Consolas" w:cs="Consolas" w:eastAsia="Consolas" w:hAnsi="Consolas"/>
          <w:sz w:val="18"/>
          <w:szCs w:val="18"/>
        </w:rPr>
        <w:t xml:space="preserve">                            + (1−U)/(U·n_U) )        error de parámetro</w:t>
      </w:r>
    </w:p>
    <w:p>
      <w:pPr>
        <w:shd w:fill="F2F1ED" w:val="clear"/>
        <w:spacing w:after="160" w:before="0" w:line="260"/>
        <w:ind w:left="200" w:right="200"/>
      </w:pPr>
      <w:r>
        <w:rPr>
          <w:rFonts w:ascii="Consolas" w:cs="Consolas" w:eastAsia="Consolas" w:hAnsi="Consolas"/>
          <w:sz w:val="18"/>
          <w:szCs w:val="18"/>
        </w:rPr>
        <w:t xml:space="preserve">                + φ² · V(origen)              ]      varianza propagada</w:t>
      </w:r>
    </w:p>
    <w:p>
      <w:pPr>
        <w:pStyle w:val="ListParagraph"/>
        <w:numPr>
          <w:ilvl w:val="0"/>
          <w:numId w:val="2"/>
        </w:numPr>
        <w:spacing w:after="90" w:line="276"/>
      </w:pPr>
      <w:r>
        <w:rPr>
          <w:b/>
          <w:bCs/>
          <w:sz w:val="21"/>
          <w:szCs w:val="21"/>
        </w:rPr>
        <w:t xml:space="preserve">Realización multinomial. </w:t>
      </w:r>
      <w:r>
        <w:rPr>
          <w:sz w:val="21"/>
          <w:szCs w:val="21"/>
        </w:rPr>
        <w:t xml:space="preserve">Aunque las probabilidades fueran exactas, el reparto concreto de x estudiantes entre destinos es aleatorio. Es el término que domina en las celdas pequeñas.</w:t>
      </w:r>
    </w:p>
    <w:p>
      <w:pPr>
        <w:pStyle w:val="ListParagraph"/>
        <w:numPr>
          <w:ilvl w:val="0"/>
          <w:numId w:val="2"/>
        </w:numPr>
        <w:spacing w:after="90" w:line="276"/>
      </w:pPr>
      <w:r>
        <w:rPr>
          <w:b/>
          <w:bCs/>
          <w:sz w:val="21"/>
          <w:szCs w:val="21"/>
        </w:rPr>
        <w:t xml:space="preserve">Error de parámetro. </w:t>
      </w:r>
      <w:r>
        <w:rPr>
          <w:sz w:val="21"/>
          <w:szCs w:val="21"/>
        </w:rPr>
        <w:t xml:space="preserve">Las probabilidades se estiman con muestra finita. Se aplica el método delta al producto de las tres probabilidades, usando el tamaño muestral efectivo tras la contracción.</w:t>
      </w:r>
    </w:p>
    <w:p>
      <w:pPr>
        <w:pStyle w:val="ListParagraph"/>
        <w:numPr>
          <w:ilvl w:val="0"/>
          <w:numId w:val="2"/>
        </w:numPr>
        <w:spacing w:after="90" w:line="276"/>
      </w:pPr>
      <w:r>
        <w:rPr>
          <w:b/>
          <w:bCs/>
          <w:sz w:val="21"/>
          <w:szCs w:val="21"/>
        </w:rPr>
        <w:t xml:space="preserve">Varianza propagada. </w:t>
      </w:r>
      <w:r>
        <w:rPr>
          <w:sz w:val="21"/>
          <w:szCs w:val="21"/>
        </w:rPr>
        <w:t xml:space="preserve">La incertidumbre del stock de origen se arrastra a la de destino, multiplicada por el cuadrado de la probabilidad de transición.</w:t>
      </w:r>
    </w:p>
    <w:p>
      <w:pPr>
        <w:spacing w:after="120" w:before="0" w:line="276"/>
      </w:pPr>
      <w:r>
        <w:rPr>
          <w:color w:val="000000"/>
          <w:sz w:val="21"/>
          <w:szCs w:val="21"/>
        </w:rPr>
        <w:t xml:space="preserve">Estos componentes son independientes entre celdas, de modo que al agregar se suman en cuadratura y se diluyen: por eso el intervalo relativo del total institucional es estrecho y el de una celda individual es ancho. Es el comportamiento correcto y el que la validación confirma.</w:t>
      </w:r>
    </w:p>
    <w:p>
      <w:r>
        <w:br w:type="page"/>
      </w:r>
    </w:p>
    <w:p>
      <w:pPr>
        <w:pStyle w:val="Heading1"/>
        <w:spacing w:after="180" w:before="360"/>
      </w:pPr>
      <w:r>
        <w:rPr>
          <w:b/>
          <w:bCs/>
          <w:color w:val="12233F"/>
          <w:sz w:val="30"/>
          <w:szCs w:val="30"/>
        </w:rPr>
        <w:t xml:space="preserve">7. Los tres escenarios</w:t>
      </w:r>
    </w:p>
    <w:p>
      <w:pPr>
        <w:pStyle w:val="Heading2"/>
        <w:spacing w:after="140" w:before="300"/>
      </w:pPr>
      <w:r>
        <w:rPr>
          <w:b/>
          <w:bCs/>
          <w:color w:val="12233F"/>
          <w:sz w:val="25"/>
          <w:szCs w:val="25"/>
        </w:rPr>
        <w:t xml:space="preserve">7.1 Qué debe ser un escenario</w:t>
      </w:r>
    </w:p>
    <w:p>
      <w:pPr>
        <w:spacing w:after="120" w:before="0" w:line="276"/>
      </w:pPr>
      <w:r>
        <w:rPr>
          <w:color w:val="000000"/>
          <w:sz w:val="21"/>
          <w:szCs w:val="21"/>
        </w:rPr>
        <w:t xml:space="preserve">Un escenario de planificación tiene que cumplir dos condiciones que un intervalo de confianza corriente no cumple.</w:t>
      </w:r>
    </w:p>
    <w:p>
      <w:pPr>
        <w:pStyle w:val="ListParagraph"/>
        <w:numPr>
          <w:ilvl w:val="0"/>
          <w:numId w:val="3"/>
        </w:numPr>
        <w:spacing w:after="90" w:line="276"/>
      </w:pPr>
      <w:r>
        <w:rPr>
          <w:b/>
          <w:bCs/>
          <w:sz w:val="21"/>
          <w:szCs w:val="21"/>
        </w:rPr>
        <w:t xml:space="preserve">Coherencia. </w:t>
      </w:r>
      <w:r>
        <w:rPr>
          <w:sz w:val="21"/>
          <w:szCs w:val="21"/>
        </w:rPr>
        <w:t xml:space="preserve">Debe describir un estado del mundo posible y completo. Si la retención cae, cae para todas las cohortes a la vez, no de forma independiente en cada celda.</w:t>
      </w:r>
    </w:p>
    <w:p>
      <w:pPr>
        <w:pStyle w:val="ListParagraph"/>
        <w:numPr>
          <w:ilvl w:val="0"/>
          <w:numId w:val="3"/>
        </w:numPr>
        <w:spacing w:after="90" w:line="276"/>
      </w:pPr>
      <w:r>
        <w:rPr>
          <w:b/>
          <w:bCs/>
          <w:sz w:val="21"/>
          <w:szCs w:val="21"/>
        </w:rPr>
        <w:t xml:space="preserve">Aditividad. </w:t>
      </w:r>
      <w:r>
        <w:rPr>
          <w:sz w:val="21"/>
          <w:szCs w:val="21"/>
        </w:rPr>
        <w:t xml:space="preserve">El total del escenario tiene que ser la suma de sus celdas. Si el escenario pesimista del total no coincide con la suma de los escenarios pesimistas por carrera o por modalidad, la cifra no sirve para repartir aulas ni presupuesto.</w:t>
      </w:r>
    </w:p>
    <w:p>
      <w:pPr>
        <w:spacing w:after="120" w:before="0" w:line="276"/>
      </w:pPr>
      <w:r>
        <w:rPr>
          <w:color w:val="000000"/>
          <w:sz w:val="21"/>
          <w:szCs w:val="21"/>
        </w:rPr>
        <w:t xml:space="preserve">Ambas condiciones se satisfacen si —y sólo si— el escenario se construye sobre el componente sistémico de la incertidumbre, aquel que mueve todas las celdas en el mismo sentido.</w:t>
      </w:r>
    </w:p>
    <w:p>
      <w:pPr>
        <w:pStyle w:val="Heading2"/>
        <w:spacing w:after="140" w:before="300"/>
      </w:pPr>
      <w:r>
        <w:rPr>
          <w:b/>
          <w:bCs/>
          <w:color w:val="12233F"/>
          <w:sz w:val="25"/>
          <w:szCs w:val="25"/>
        </w:rPr>
        <w:t xml:space="preserve">7.2 Construcción</w:t>
      </w:r>
    </w:p>
    <w:p>
      <w:pPr>
        <w:spacing w:after="120" w:before="0" w:line="276"/>
      </w:pPr>
      <w:r>
        <w:rPr>
          <w:color w:val="000000"/>
          <w:sz w:val="21"/>
          <w:szCs w:val="21"/>
        </w:rPr>
        <w:t xml:space="preserve">Los tres escenarios aplican un desplazamiento común en escala logit a todas las tasas de continuación:</w:t>
      </w:r>
    </w:p>
    <w:p>
      <w:pPr>
        <w:shd w:fill="F2F1ED" w:val="clear"/>
        <w:spacing w:after="0" w:before="140" w:line="260"/>
        <w:ind w:left="200" w:right="200"/>
      </w:pPr>
      <w:r>
        <w:rPr>
          <w:rFonts w:ascii="Consolas" w:cs="Consolas" w:eastAsia="Consolas" w:hAnsi="Consolas"/>
          <w:sz w:val="18"/>
          <w:szCs w:val="18"/>
        </w:rPr>
        <w:t xml:space="preserve">logit q_L(escenario) = logit q_L(central) ± z · σ</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 = 0,0679   desviación típica del choque de periodo (5 g.l.)</w:t>
      </w:r>
    </w:p>
    <w:p>
      <w:pPr>
        <w:shd w:fill="F2F1ED" w:val="clear"/>
        <w:spacing w:after="0" w:before="0" w:line="260"/>
        <w:ind w:left="200" w:right="200"/>
      </w:pPr>
      <w:r>
        <w:rPr>
          <w:rFonts w:ascii="Consolas" w:cs="Consolas" w:eastAsia="Consolas" w:hAnsi="Consolas"/>
          <w:sz w:val="18"/>
          <w:szCs w:val="18"/>
        </w:rPr>
        <w:t xml:space="preserve">z = 1,476    cuantil t de Student para una confianza del 80 %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Optimista   +z·σ = +0,100 en logit</w:t>
      </w:r>
    </w:p>
    <w:p>
      <w:pPr>
        <w:shd w:fill="F2F1ED" w:val="clear"/>
        <w:spacing w:after="0" w:before="0" w:line="260"/>
        <w:ind w:left="200" w:right="200"/>
      </w:pPr>
      <w:r>
        <w:rPr>
          <w:rFonts w:ascii="Consolas" w:cs="Consolas" w:eastAsia="Consolas" w:hAnsi="Consolas"/>
          <w:sz w:val="18"/>
          <w:szCs w:val="18"/>
        </w:rPr>
        <w:t xml:space="preserve">Moderado     0</w:t>
      </w:r>
    </w:p>
    <w:p>
      <w:pPr>
        <w:shd w:fill="F2F1ED" w:val="clear"/>
        <w:spacing w:after="160" w:before="0" w:line="260"/>
        <w:ind w:left="200" w:right="200"/>
      </w:pPr>
      <w:r>
        <w:rPr>
          <w:rFonts w:ascii="Consolas" w:cs="Consolas" w:eastAsia="Consolas" w:hAnsi="Consolas"/>
          <w:sz w:val="18"/>
          <w:szCs w:val="18"/>
        </w:rPr>
        <w:t xml:space="preserve">Pesimista   −z·σ = −0,100 en logit</w:t>
      </w:r>
    </w:p>
    <w:p>
      <w:pPr>
        <w:spacing w:after="120" w:before="0" w:line="276"/>
      </w:pPr>
      <w:r>
        <w:rPr>
          <w:color w:val="000000"/>
          <w:sz w:val="21"/>
          <w:szCs w:val="21"/>
        </w:rPr>
        <w:t xml:space="preserve">Aplicar el desplazamiento en escala logit y no en la tasa directa tiene dos ventajas: la tasa resultante nunca se sale del intervalo [0, 1], y el efecto es proporcionalmente mayor donde la tasa es intermedia y menor donde ya está cerca de sus extremos, que es como se comportan los choques reales.</w:t>
      </w:r>
    </w:p>
    <w:p>
      <w:pPr>
        <w:spacing w:after="120" w:before="0" w:line="276"/>
      </w:pPr>
      <w:r>
        <w:rPr>
          <w:sz w:val="21"/>
          <w:szCs w:val="21"/>
        </w:rPr>
        <w:t xml:space="preserve">Ese segundo rasgo cobra sentido añadido con la modalidad en el modelo. La continuación del primer ciclo a distancia (41,6 %) está en la zona de máxima sensibilidad del logit, mientras que la de un ciclo 7 presencial (90,8 %) está cerca del techo. Un choque sistémico de la misma magnitud en logit mueve 2,4 puntos porcentuales a la primera y sólo 0,8 a la segunda. Eso es exactamente lo que se quiere: el escenario pesimista castiga más donde la población es más frágil, sin que haya que programarlo.</w:t>
      </w:r>
    </w:p>
    <w:p>
      <w:pPr>
        <w:spacing w:after="120" w:before="0" w:line="276"/>
      </w:pPr>
      <w:r>
        <w:rPr>
          <w:sz w:val="21"/>
          <w:szCs w:val="21"/>
        </w:rPr>
        <w:t xml:space="preserve">Se emplea el cuantil t de Student y no el normal porque σ se estima con sólo 5 grados de libertad: siete semestres de origen menos el parámetro estacional y la media. Con tan pocas observaciones, la distribución normal subestimaría la incertidumbre. Para una confianza del 80 %, z pasa de 1,282 (normal) a 1,476 (t con 5 g.l.), un 15 % más ancho.</w:t>
      </w:r>
    </w:p>
    <w:p>
      <w:pPr>
        <w:pBdr>
          <w:left w:val="single" w:color="C07E00" w:sz="18" w:space="8"/>
        </w:pBdr>
        <w:shd w:fill="F2F1ED" w:val="clear"/>
        <w:spacing w:after="180" w:before="160" w:line="276"/>
        <w:ind w:left="160" w:right="160"/>
      </w:pPr>
      <w:r>
        <w:rPr>
          <w:b/>
          <w:bCs/>
          <w:sz w:val="21"/>
          <w:szCs w:val="21"/>
        </w:rPr>
        <w:t xml:space="preserve">Por qué sólo la continuación. </w:t>
      </w:r>
      <w:r>
        <w:rPr>
          <w:sz w:val="21"/>
          <w:szCs w:val="21"/>
        </w:rPr>
        <w:t xml:space="preserve">El choque no se aplica a los ingresantes: su número lo fija el archivo de entrada y es un supuesto del usuario, no una estimación del modelo. Un escenario que alterase también el ingreso —o su reparto por modalidad— mezclaría la incertidumbre del comportamiento estudiantil con una decisión institucional, y el usuario no podría saber cuál de las dos está viendo.</w:t>
      </w:r>
    </w:p>
    <w:p>
      <w:pPr>
        <w:pStyle w:val="Heading2"/>
        <w:spacing w:after="140" w:before="300"/>
      </w:pPr>
      <w:r>
        <w:rPr>
          <w:b/>
          <w:bCs/>
          <w:color w:val="12233F"/>
          <w:sz w:val="25"/>
          <w:szCs w:val="25"/>
        </w:rPr>
        <w:t xml:space="preserve">7.3 Escenario frente a intervalo de predicción</w:t>
      </w:r>
    </w:p>
    <w:p>
      <w:pPr>
        <w:spacing w:after="120" w:before="0" w:line="276"/>
      </w:pPr>
      <w:r>
        <w:rPr>
          <w:color w:val="000000"/>
          <w:sz w:val="21"/>
          <w:szCs w:val="21"/>
        </w:rPr>
        <w:t xml:space="preserve">El modelo entrega ambas magnitudes, y conviene no confundirlas. La diferencia es visible en los datos de validación: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 la banda de escenarios</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del intervalo de predicción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77,8 %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88,9 %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66,7 %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96,3 %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33,3 %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95,3 %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36,1 %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93,4 %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34,8 %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96,2 %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8,8 %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85,4 %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2,9 %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81,2 %</w:t>
            </w:r>
          </w:p>
        </w:tc>
      </w:tr>
    </w:tbl>
    <w:p>
      <w:pPr>
        <w:spacing w:after="220" w:before="80"/>
      </w:pPr>
      <w:r>
        <w:rPr>
          <w:b/>
          <w:bCs/>
          <w:color w:val="52514E"/>
          <w:sz w:val="17"/>
          <w:szCs w:val="17"/>
        </w:rPr>
        <w:t xml:space="preserve">Tabla 26. </w:t>
      </w:r>
      <w:r>
        <w:rPr>
          <w:color w:val="52514E"/>
          <w:sz w:val="17"/>
          <w:szCs w:val="17"/>
        </w:rPr>
        <w:t xml:space="preserve">Cobertura empírica media sobre los tres horizontes, para un nivel nominal del 80 %. La banda de escenarios no pretende cubrir el dato observado; el intervalo de predicción sí.</w:t>
      </w:r>
    </w:p>
    <w:p>
      <w:pPr>
        <w:spacing w:after="120" w:before="0" w:line="276"/>
      </w:pPr>
      <w:r>
        <w:rPr>
          <w:color w:val="000000"/>
          <w:sz w:val="21"/>
          <w:szCs w:val="21"/>
        </w:rPr>
        <w:t xml:space="preserve">La banda de escenarios cubre mucho menos del 80 % en cuanto se desagrega, y eso es correcto: no es un intervalo de predicción. Recoge únicamente el desplazamiento sistémico y deja fuera, por diseño, el azar de realización de cada celda. Leerla como si fuese un intervalo de confianza llevaría a subestimar el riesgo, sobre todo en el detalle fino.</w:t>
      </w:r>
    </w:p>
    <w:p>
      <w:pPr>
        <w:spacing w:after="120" w:before="0" w:line="276"/>
      </w:pPr>
      <w:r>
        <w:rPr>
          <w:color w:val="000000"/>
          <w:sz w:val="21"/>
          <w:szCs w:val="21"/>
        </w:rPr>
        <w:t xml:space="preserve">El intervalo de predicción suma ambos componentes y sí está calibrado:</w:t>
      </w:r>
    </w:p>
    <w:p>
      <w:pPr>
        <w:shd w:fill="F2F1ED" w:val="clear"/>
        <w:spacing w:after="0" w:before="140" w:line="260"/>
        <w:ind w:left="200" w:right="200"/>
      </w:pPr>
      <w:r>
        <w:rPr>
          <w:rFonts w:ascii="Consolas" w:cs="Consolas" w:eastAsia="Consolas" w:hAnsi="Consolas"/>
          <w:sz w:val="18"/>
          <w:szCs w:val="18"/>
        </w:rPr>
        <w:t xml:space="preserve">semiamplitud(A) = z · √( D_A²  +  V_A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D_A  sensibilidad sistémica del agregado A a un choque de un σ.</w:t>
      </w:r>
    </w:p>
    <w:p>
      <w:pPr>
        <w:shd w:fill="F2F1ED" w:val="clear"/>
        <w:spacing w:after="0" w:before="0" w:line="260"/>
        <w:ind w:left="200" w:right="200"/>
      </w:pPr>
      <w:r>
        <w:rPr>
          <w:rFonts w:ascii="Consolas" w:cs="Consolas" w:eastAsia="Consolas" w:hAnsi="Consolas"/>
          <w:sz w:val="18"/>
          <w:szCs w:val="18"/>
        </w:rPr>
        <w:t xml:space="preserve">       Común a todas las celdas → al agregar se suma LINEALMENTE.</w:t>
      </w:r>
    </w:p>
    <w:p>
      <w:pPr>
        <w:shd w:fill="F2F1ED" w:val="clear"/>
        <w:spacing w:after="0" w:before="0" w:line="260"/>
        <w:ind w:left="200" w:right="200"/>
      </w:pPr>
      <w:r>
        <w:rPr>
          <w:rFonts w:ascii="Consolas" w:cs="Consolas" w:eastAsia="Consolas" w:hAnsi="Consolas"/>
          <w:sz w:val="18"/>
          <w:szCs w:val="18"/>
        </w:rPr>
        <w:t xml:space="preserve">  V_A  varianza independiente acumulada (apartado 6.9).</w:t>
      </w:r>
    </w:p>
    <w:p>
      <w:pPr>
        <w:shd w:fill="F2F1ED" w:val="clear"/>
        <w:spacing w:after="0" w:before="0" w:line="260"/>
        <w:ind w:left="200" w:right="200"/>
      </w:pPr>
      <w:r>
        <w:rPr>
          <w:rFonts w:ascii="Consolas" w:cs="Consolas" w:eastAsia="Consolas" w:hAnsi="Consolas"/>
          <w:sz w:val="18"/>
          <w:szCs w:val="18"/>
        </w:rPr>
        <w:t xml:space="preserve">       Al agregar se suma en CUADRATURA → se diluye en los totales</w:t>
      </w:r>
    </w:p>
    <w:p>
      <w:pPr>
        <w:shd w:fill="F2F1ED" w:val="clear"/>
        <w:spacing w:after="160" w:before="0" w:line="260"/>
        <w:ind w:left="200" w:right="200"/>
      </w:pPr>
      <w:r>
        <w:rPr>
          <w:rFonts w:ascii="Consolas" w:cs="Consolas" w:eastAsia="Consolas" w:hAnsi="Consolas"/>
          <w:sz w:val="18"/>
          <w:szCs w:val="18"/>
        </w:rPr>
        <w:t xml:space="preserve">       y domina en las celdas pequeñas.</w:t>
      </w:r>
    </w:p>
    <w:p>
      <w:pPr>
        <w:spacing w:after="120" w:before="0" w:line="276"/>
      </w:pPr>
      <w:r>
        <w:rPr>
          <w:color w:val="000000"/>
          <w:sz w:val="21"/>
          <w:szCs w:val="21"/>
        </w:rPr>
        <w:t xml:space="preserve">La distinta álgebra de agregación de los dos términos es la razón por la que el intervalo relativo del total es estrecho y el de una celda con cinco estudiantes es muy ancho, sin que haga falta ningún tratamiento especial para cada nivel.</w:t>
      </w:r>
    </w:p>
    <w:p>
      <w:pPr>
        <w:pStyle w:val="Heading2"/>
        <w:spacing w:after="140" w:before="300"/>
      </w:pPr>
      <w:r>
        <w:rPr>
          <w:b/>
          <w:bCs/>
          <w:color w:val="12233F"/>
          <w:sz w:val="25"/>
          <w:szCs w:val="25"/>
        </w:rPr>
        <w:t xml:space="preserve">7.4 Calibración del factor de inflación</w:t>
      </w:r>
    </w:p>
    <w:p>
      <w:pPr>
        <w:spacing w:after="120" w:before="0" w:line="276"/>
      </w:pPr>
      <w:r>
        <w:rPr>
          <w:color w:val="000000"/>
          <w:sz w:val="21"/>
          <w:szCs w:val="21"/>
        </w:rPr>
        <w:t xml:space="preserve">Queda por comprobar si esa aritmética reproduce la dispersión realmente observada. Para ello se introdujo un factor de inflación κ sobre el componente independiente y se buscó el valor que iguala la cobertura empírica a la nominal.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180"/>
        <w:gridCol w:w="1610"/>
        <w:gridCol w:w="181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κ</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Modalidad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Carrera</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61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×Modalidad</w:t>
            </w:r>
          </w:p>
        </w:tc>
        <w:tc>
          <w:tcPr>
            <w:tcW w:type="dxa" w:w="181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turno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93,7 %</w:t>
            </w:r>
          </w:p>
        </w:tc>
        <w:tc>
          <w:tcPr>
            <w:tcW w:type="dxa" w:w="161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95,8 %</w:t>
            </w:r>
          </w:p>
        </w:tc>
        <w:tc>
          <w:tcPr>
            <w:tcW w:type="dxa" w:w="181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79,8 %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1,5</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99,6 %</w:t>
            </w:r>
          </w:p>
        </w:tc>
        <w:tc>
          <w:tcPr>
            <w:tcW w:type="dxa" w:w="161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99,8 %</w:t>
            </w:r>
          </w:p>
        </w:tc>
        <w:tc>
          <w:tcPr>
            <w:tcW w:type="dxa" w:w="181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89,0 %</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1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81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93,0 %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1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81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96,3 %</w:t>
            </w:r>
          </w:p>
        </w:tc>
      </w:tr>
    </w:tbl>
    <w:p>
      <w:pPr>
        <w:spacing w:after="220" w:before="80"/>
      </w:pPr>
      <w:r>
        <w:rPr>
          <w:b/>
          <w:bCs/>
          <w:color w:val="52514E"/>
          <w:sz w:val="17"/>
          <w:szCs w:val="17"/>
        </w:rPr>
        <w:t xml:space="preserve">Tabla 27. </w:t>
      </w:r>
      <w:r>
        <w:rPr>
          <w:color w:val="52514E"/>
          <w:sz w:val="17"/>
          <w:szCs w:val="17"/>
        </w:rPr>
        <w:t xml:space="preserve">Cobertura empírica media según el factor de inflación de varianza, para un nivel nominal del 80 %.</w:t>
      </w:r>
    </w:p>
    <w:p>
      <w:pPr>
        <w:spacing w:after="120" w:before="0" w:line="276"/>
      </w:pPr>
      <w:r>
        <w:rPr>
          <w:sz w:val="21"/>
          <w:szCs w:val="21"/>
        </w:rPr>
        <w:t xml:space="preserve">El valor seleccionado es </w:t>
      </w:r>
      <w:r>
        <w:rPr>
          <w:b/>
          <w:bCs/>
          <w:sz w:val="21"/>
          <w:szCs w:val="21"/>
        </w:rPr>
        <w:t xml:space="preserve">κ = 1,0</w:t>
      </w:r>
      <w:r>
        <w:rPr>
          <w:sz w:val="21"/>
          <w:szCs w:val="21"/>
        </w:rPr>
        <w:t xml:space="preserve">, que deja la cobertura media de los tres niveles desagregados en 86,6 % frente al 80 % nominal. Es decir: la descomposición de varianza del apartado 6.9 reproduce por sí sola la dispersión observada fuera de muestra, sin factor de corrección.</w:t>
      </w:r>
    </w:p>
    <w:p>
      <w:pPr>
        <w:pBdr>
          <w:left w:val="single" w:color="C07E00" w:sz="18" w:space="8"/>
        </w:pBdr>
        <w:shd w:fill="F2F1ED" w:val="clear"/>
        <w:spacing w:after="180" w:before="160" w:line="276"/>
        <w:ind w:left="160" w:right="160"/>
      </w:pPr>
      <w:r>
        <w:rPr>
          <w:b/>
          <w:bCs/>
          <w:sz w:val="21"/>
          <w:szCs w:val="21"/>
        </w:rPr>
        <w:t xml:space="preserve">Por qué esto importa. </w:t>
      </w:r>
      <w:r>
        <w:rPr>
          <w:sz w:val="21"/>
          <w:szCs w:val="21"/>
        </w:rPr>
        <w:t xml:space="preserve">Un modelo cuyo intervalo hubiera necesitado κ = 3 para cubrir lo observado estaría admitiendo que su aritmética de la incertidumbre está mal planteada y que el intervalo se sostiene sobre un parche. Que κ salga 1,0 es la validación más fuerte que ofrece este trabajo, y es un resultado que se puede volver a comprobar en cada reestimación. Ha salido 1,0 en las tres revisiones del modelo, incluida la incorporación de la modalidad.</w:t>
      </w:r>
    </w:p>
    <w:p>
      <w:pPr>
        <w:spacing w:after="120" w:before="0" w:line="276"/>
      </w:pPr>
      <w:r>
        <w:rPr>
          <w:color w:val="000000"/>
          <w:sz w:val="21"/>
          <w:szCs w:val="21"/>
        </w:rPr>
        <w:t xml:space="preserve">La cobertura no es uniforme entre niveles: los niveles intermedios quedan por encima del nominal (94 a 96 %) y el cruce más fino ligeramente por debajo (79,8 %). Es el patrón esperable. En la celda más desagregada queda heterogeneidad individual que el supuesto multinomial no captura del todo —las decisiones de turno de personas concretas no son sorteos independientes—, mientras que en los niveles intermedios el componente sistémico resulta algo conservador.</w:t>
      </w:r>
    </w:p>
    <w:p>
      <w:pPr>
        <w:spacing w:after="120" w:before="0" w:line="276"/>
      </w:pPr>
      <w:r>
        <w:rPr>
          <w:color w:val="000000"/>
          <w:sz w:val="21"/>
          <w:szCs w:val="21"/>
        </w:rPr>
        <w:t xml:space="preserve">Conviene señalar que ese cruce más fino era el punto débil de la revisión anterior, con una cobertura del 68,5 %, casi doce puntos por debajo del nominal. Incorporar la modalidad lo ha llevado al 79,8 %, prácticamente en el objetivo. El intervalo se quedaba corto justamente donde la diferencia entre modalidades era mayor; ahora esa diferencia está en el punto central y no tiene que absorberla el margen.</w:t>
      </w:r>
    </w:p>
    <w:p>
      <w:r>
        <w:br w:type="page"/>
      </w:r>
    </w:p>
    <w:p>
      <w:pPr>
        <w:pStyle w:val="Heading1"/>
        <w:spacing w:after="180" w:before="360"/>
      </w:pPr>
      <w:r>
        <w:rPr>
          <w:b/>
          <w:bCs/>
          <w:color w:val="12233F"/>
          <w:sz w:val="30"/>
          <w:szCs w:val="30"/>
        </w:rPr>
        <w:t xml:space="preserve">8. Validación estadística</w:t>
      </w:r>
    </w:p>
    <w:p>
      <w:pPr>
        <w:pStyle w:val="Heading2"/>
        <w:spacing w:after="140" w:before="300"/>
      </w:pPr>
      <w:r>
        <w:rPr>
          <w:b/>
          <w:bCs/>
          <w:color w:val="12233F"/>
          <w:sz w:val="25"/>
          <w:szCs w:val="25"/>
        </w:rPr>
        <w:t xml:space="preserve">8.1 El procedimiento</w:t>
      </w:r>
    </w:p>
    <w:p>
      <w:pPr>
        <w:spacing w:after="120" w:before="0" w:line="276"/>
      </w:pPr>
      <w:r>
        <w:rPr>
          <w:color w:val="000000"/>
          <w:sz w:val="21"/>
          <w:szCs w:val="21"/>
        </w:rPr>
        <w:t xml:space="preserve">La validación se hizo por backtesting de origen móvil, que es el procedimiento estándar para modelos de proyección temporal y el único que evita contaminar la evaluación con información del futuro.</w:t>
      </w:r>
    </w:p>
    <w:p>
      <w:pPr>
        <w:pStyle w:val="ListParagraph"/>
        <w:numPr>
          <w:ilvl w:val="0"/>
          <w:numId w:val="3"/>
        </w:numPr>
        <w:spacing w:after="90" w:line="276"/>
      </w:pPr>
      <w:r>
        <w:rPr>
          <w:sz w:val="21"/>
          <w:szCs w:val="21"/>
        </w:rPr>
        <w:t xml:space="preserve">Se fija un semestre de corte y se descarta todo lo posterior.</w:t>
      </w:r>
    </w:p>
    <w:p>
      <w:pPr>
        <w:pStyle w:val="ListParagraph"/>
        <w:numPr>
          <w:ilvl w:val="0"/>
          <w:numId w:val="3"/>
        </w:numPr>
        <w:spacing w:after="90" w:line="276"/>
      </w:pPr>
      <w:r>
        <w:rPr>
          <w:sz w:val="21"/>
          <w:szCs w:val="21"/>
        </w:rPr>
        <w:t xml:space="preserve">Se reestima el modelo completo —tablas de transición, constantes de contracción y ponderación de recencia— usando exclusivamente los datos hasta ese corte.</w:t>
      </w:r>
    </w:p>
    <w:p>
      <w:pPr>
        <w:pStyle w:val="ListParagraph"/>
        <w:numPr>
          <w:ilvl w:val="0"/>
          <w:numId w:val="3"/>
        </w:numPr>
        <w:spacing w:after="90" w:line="276"/>
      </w:pPr>
      <w:r>
        <w:rPr>
          <w:sz w:val="21"/>
          <w:szCs w:val="21"/>
        </w:rPr>
        <w:t xml:space="preserve">Se proyectan los semestres siguientes, alimentando el modelo con los ingresantes realmente observados —con su modalidad real— para aislar el error del modelo del error del supuesto de admisión.</w:t>
      </w:r>
    </w:p>
    <w:p>
      <w:pPr>
        <w:pStyle w:val="ListParagraph"/>
        <w:numPr>
          <w:ilvl w:val="0"/>
          <w:numId w:val="3"/>
        </w:numPr>
        <w:spacing w:after="90" w:line="276"/>
      </w:pPr>
      <w:r>
        <w:rPr>
          <w:sz w:val="21"/>
          <w:szCs w:val="21"/>
        </w:rPr>
        <w:t xml:space="preserve">Se compara con la matrícula efectivamente registrada, en los ocho niveles de agregación.</w:t>
      </w:r>
    </w:p>
    <w:p>
      <w:pPr>
        <w:pStyle w:val="ListParagraph"/>
        <w:numPr>
          <w:ilvl w:val="0"/>
          <w:numId w:val="3"/>
        </w:numPr>
        <w:spacing w:after="90" w:line="276"/>
      </w:pPr>
      <w:r>
        <w:rPr>
          <w:sz w:val="21"/>
          <w:szCs w:val="21"/>
        </w:rPr>
        <w:t xml:space="preserve">Se repite desplazando el corte.</w:t>
      </w:r>
    </w:p>
    <w:p>
      <w:pPr>
        <w:spacing w:after="120" w:before="0" w:line="276"/>
      </w:pPr>
      <w:r>
        <w:rPr>
          <w:sz w:val="21"/>
          <w:szCs w:val="21"/>
        </w:rPr>
        <w:t xml:space="preserve">Es esencial que la reestimación sea completa en cada corte. Si las constantes de contracción o λ se hubieran fijado con toda la muestra y sólo se reproyectara, el ejercicio filtraría información del futuro y los errores saldrían artificialmente bajos. Aquí se recalcula todo, incluida la selección de λ del apartado 6.6, que se ejecutó </w:t>
      </w:r>
      <w:r>
        <w:rPr>
          <w:i/>
          <w:iCs/>
          <w:sz w:val="21"/>
          <w:szCs w:val="21"/>
        </w:rPr>
        <w:t xml:space="preserve">dentro</w:t>
      </w:r>
      <w:r>
        <w:rPr>
          <w:sz w:val="21"/>
          <w:szCs w:val="21"/>
        </w:rPr>
        <w:t xml:space="preserve"> del bucle de validación, y lo mismo vale para el contraste de especificación del apartado 6.5.</w:t>
      </w:r>
    </w:p>
    <w:p>
      <w:pPr>
        <w:spacing w:after="120" w:before="0" w:line="276"/>
      </w:pPr>
      <w:r>
        <w:rPr>
          <w:color w:val="000000"/>
          <w:sz w:val="21"/>
          <w:szCs w:val="21"/>
        </w:rPr>
        <w:t xml:space="preserve">Con ocho semestres de historia y la exigencia de al menos cinco para estimar, resultan tres orígenes de reestimación (hasta 2025-I, 2025-II y 2026-I) y seis comparaciones origen-horizonte.</w:t>
      </w:r>
    </w:p>
    <w:p>
      <w:pPr>
        <w:pStyle w:val="Heading2"/>
        <w:spacing w:after="140" w:before="300"/>
      </w:pPr>
      <w:r>
        <w:rPr>
          <w:b/>
          <w:bCs/>
          <w:color w:val="12233F"/>
          <w:sz w:val="25"/>
          <w:szCs w:val="25"/>
        </w:rPr>
        <w:t xml:space="preserve">8.2 La métrica</w:t>
      </w:r>
    </w:p>
    <w:p>
      <w:pPr>
        <w:spacing w:after="120" w:before="0" w:line="276"/>
      </w:pPr>
      <w:r>
        <w:rPr>
          <w:color w:val="000000"/>
          <w:sz w:val="21"/>
          <w:szCs w:val="21"/>
        </w:rPr>
        <w:t xml:space="preserve">Se emplea el error porcentual absoluto ponderado (EPAP, o WAPE en la literatura anglosajona):</w:t>
      </w:r>
    </w:p>
    <w:p>
      <w:pPr>
        <w:shd w:fill="F2F1ED" w:val="clear"/>
        <w:spacing w:after="0" w:before="140" w:line="260"/>
        <w:ind w:left="200" w:right="200"/>
      </w:pPr>
      <w:r>
        <w:rPr>
          <w:rFonts w:ascii="Consolas" w:cs="Consolas" w:eastAsia="Consolas" w:hAnsi="Consolas"/>
          <w:sz w:val="18"/>
          <w:szCs w:val="18"/>
        </w:rPr>
        <w:t xml:space="preserve">          Σ | proyectado_i − observado_i |</w:t>
      </w:r>
    </w:p>
    <w:p>
      <w:pPr>
        <w:shd w:fill="F2F1ED" w:val="clear"/>
        <w:spacing w:after="0" w:before="0" w:line="260"/>
        <w:ind w:left="200" w:right="200"/>
      </w:pPr>
      <w:r>
        <w:rPr>
          <w:rFonts w:ascii="Consolas" w:cs="Consolas" w:eastAsia="Consolas" w:hAnsi="Consolas"/>
          <w:sz w:val="18"/>
          <w:szCs w:val="18"/>
        </w:rPr>
        <w:t xml:space="preserve">EPAP =   ─────────────────────────────────</w:t>
      </w:r>
    </w:p>
    <w:p>
      <w:pPr>
        <w:shd w:fill="F2F1ED" w:val="clear"/>
        <w:spacing w:after="160" w:before="0" w:line="260"/>
        <w:ind w:left="200" w:right="200"/>
      </w:pPr>
      <w:r>
        <w:rPr>
          <w:rFonts w:ascii="Consolas" w:cs="Consolas" w:eastAsia="Consolas" w:hAnsi="Consolas"/>
          <w:sz w:val="18"/>
          <w:szCs w:val="18"/>
        </w:rPr>
        <w:t xml:space="preserve">                Σ  observado_i</w:t>
      </w:r>
    </w:p>
    <w:p>
      <w:pPr>
        <w:spacing w:after="120" w:before="0" w:line="276"/>
      </w:pPr>
      <w:r>
        <w:rPr>
          <w:color w:val="000000"/>
          <w:sz w:val="21"/>
          <w:szCs w:val="21"/>
        </w:rPr>
        <w:t xml:space="preserve">Se prefiere al error porcentual absoluto medio (EPAM) porque este último otorga el mismo peso a una celda de 800 estudiantes que a una de 3, y basta con unas pocas celdas diminutas para que el promedio pierda todo significado. El EPAP pondera cada celda por su matrícula, que es lo que importa cuando el resultado se usa para dimensionar recursos.</w:t>
      </w:r>
    </w:p>
    <w:p>
      <w:pPr>
        <w:pBdr>
          <w:left w:val="single" w:color="C07E00" w:sz="18" w:space="8"/>
        </w:pBdr>
        <w:shd w:fill="F2F1ED" w:val="clear"/>
        <w:spacing w:after="180" w:before="160" w:line="276"/>
        <w:ind w:left="160" w:right="160"/>
      </w:pPr>
      <w:r>
        <w:rPr>
          <w:b/>
          <w:bCs/>
          <w:sz w:val="21"/>
          <w:szCs w:val="21"/>
        </w:rPr>
        <w:t xml:space="preserve">Sobre la comparación entre revisiones. </w:t>
      </w:r>
      <w:r>
        <w:rPr>
          <w:sz w:val="21"/>
          <w:szCs w:val="21"/>
        </w:rPr>
        <w:t xml:space="preserve">El EPAP depende del nivel de agregación en que se mide, y añadir la modalidad parte cada celda en hasta tres. Comparar el cruce más fino de esta revisión con el de la anterior no diría nada, porque no son la misma partición. Las comparaciones entre especificaciones de este documento —apartados 1.2 y 6.5— se hacen todas sobre niveles que existen en ambas.</w:t>
      </w:r>
    </w:p>
    <w:p>
      <w:pPr>
        <w:pStyle w:val="Heading2"/>
        <w:spacing w:after="140" w:before="300"/>
      </w:pPr>
      <w:r>
        <w:rPr>
          <w:b/>
          <w:bCs/>
          <w:color w:val="12233F"/>
          <w:sz w:val="25"/>
          <w:szCs w:val="25"/>
        </w:rPr>
        <w:t xml:space="preserve">8.3 Resultados</w:t>
      </w:r>
    </w:p>
    <w:p>
      <w:pPr>
        <w:spacing w:after="60" w:before="18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276475"/>
                    </a:xfrm>
                    <a:prstGeom prst="rect">
                      <a:avLst/>
                    </a:prstGeom>
                  </pic:spPr>
                </pic:pic>
              </a:graphicData>
            </a:graphic>
          </wp:inline>
        </w:drawing>
      </w:r>
    </w:p>
    <w:p>
      <w:pPr>
        <w:spacing w:after="220"/>
        <w:jc w:val="center"/>
      </w:pPr>
      <w:r>
        <w:rPr>
          <w:b/>
          <w:bCs/>
          <w:color w:val="52514E"/>
          <w:sz w:val="17"/>
          <w:szCs w:val="17"/>
        </w:rPr>
        <w:t xml:space="preserve">Figura 11. </w:t>
      </w:r>
      <w:r>
        <w:rPr>
          <w:color w:val="52514E"/>
          <w:sz w:val="17"/>
          <w:szCs w:val="17"/>
        </w:rPr>
        <w:t xml:space="preserve">Tablas de validación dentro del propio modelo: error por nivel de agregación y cobertura empírica del intervalo.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50"/>
        <w:gridCol w:w="1250"/>
        <w:gridCol w:w="1300"/>
        <w:gridCol w:w="1500"/>
        <w:gridCol w:w="17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Ajustado hasta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Horizonte</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Observado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Error</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2025-II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16 556</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+1,24 %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21 257</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−0,76 %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20 933</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+2,96 %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21 084</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−1,57 %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+0,98 %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20 817</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+2,40 %</w:t>
            </w:r>
          </w:p>
        </w:tc>
      </w:tr>
    </w:tbl>
    <w:p>
      <w:pPr>
        <w:spacing w:after="220" w:before="80"/>
      </w:pPr>
      <w:r>
        <w:rPr>
          <w:b/>
          <w:bCs/>
          <w:color w:val="52514E"/>
          <w:sz w:val="17"/>
          <w:szCs w:val="17"/>
        </w:rPr>
        <w:t xml:space="preserve">Tabla 28. </w:t>
      </w:r>
      <w:r>
        <w:rPr>
          <w:color w:val="52514E"/>
          <w:sz w:val="17"/>
          <w:szCs w:val="17"/>
        </w:rPr>
        <w:t xml:space="preserve">Detalle del backtesting sobre el total institucional.</w:t>
      </w:r>
    </w:p>
    <w:p>
      <w:pPr>
        <w:spacing w:after="120" w:before="0" w:line="276"/>
      </w:pPr>
      <w:r>
        <w:rPr>
          <w:color w:val="000000"/>
          <w:sz w:val="21"/>
          <w:szCs w:val="21"/>
        </w:rPr>
        <w:t xml:space="preserve">El error a un semestre vista se mueve entre el 1,24 % y el 2,40 %, con una media del 1,73 %. Para una institución de veinte mil estudiantes, eso supone un error medio del orden de 350 estudiantes sobre el total. La revisión anterior del modelo, sin la dimensión de modalidad, promediaba un 2,16 % a ese mismo horizonte.</w:t>
      </w:r>
    </w:p>
    <w:p>
      <w:pPr>
        <w:pStyle w:val="Heading2"/>
        <w:spacing w:after="140" w:before="300"/>
      </w:pPr>
      <w:r>
        <w:rPr>
          <w:b/>
          <w:bCs/>
          <w:color w:val="12233F"/>
          <w:sz w:val="25"/>
          <w:szCs w:val="25"/>
        </w:rPr>
        <w:t xml:space="preserve">8.4 El sesgo y la matrícula abierta de 2026-II</w:t>
      </w:r>
    </w:p>
    <w:p>
      <w:pPr>
        <w:spacing w:after="120" w:before="0" w:line="276"/>
      </w:pPr>
      <w:r>
        <w:rPr>
          <w:color w:val="000000"/>
          <w:sz w:val="21"/>
          <w:szCs w:val="21"/>
        </w:rPr>
        <w:t xml:space="preserve">El sesgo medio del total es de +165 estudiantes: el modelo proyecta algo por encima. Conviene explicar de dónde procede.</w:t>
      </w:r>
    </w:p>
    <w:p>
      <w:pPr>
        <w:spacing w:after="120" w:before="0" w:line="276"/>
      </w:pPr>
      <w:r>
        <w:rPr>
          <w:sz w:val="21"/>
          <w:szCs w:val="21"/>
        </w:rPr>
        <w:t xml:space="preserve">Las tres comparaciones que apuntan a 2026-II tienen sesgo positivo (+603, +198 y +487); las tres que apuntan a otros semestres suman un sesgo medio de </w:t>
      </w:r>
      <w:r>
        <w:rPr>
          <w:b/>
          <w:bCs/>
          <w:sz w:val="21"/>
          <w:szCs w:val="21"/>
        </w:rPr>
        <w:t xml:space="preserve">−99 estudiantes</w:t>
      </w:r>
      <w:r>
        <w:rPr>
          <w:sz w:val="21"/>
          <w:szCs w:val="21"/>
        </w:rPr>
        <w:t xml:space="preserve">, es decir, medio punto porcentual por debajo sobre una matrícula de más de veinte mil. Excluir el semestre sospechoso no sólo reduce el sesgo: le cambia el signo.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Conjunto de comparaciones</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Sesgo medio</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Sobre la matrícula</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seis comparaciones</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+165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+0,81 %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Sólo las que apuntan a 2026-II</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+429 estudiantes</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+2,11 %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Excluyendo 2026-II</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−99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−0,50 %</w:t>
            </w:r>
          </w:p>
        </w:tc>
      </w:tr>
    </w:tbl>
    <w:p>
      <w:pPr>
        <w:spacing w:after="220" w:before="80"/>
      </w:pPr>
      <w:r>
        <w:rPr>
          <w:b/>
          <w:bCs/>
          <w:color w:val="52514E"/>
          <w:sz w:val="17"/>
          <w:szCs w:val="17"/>
        </w:rPr>
        <w:t xml:space="preserve">Tabla 29. </w:t>
      </w:r>
      <w:r>
        <w:rPr>
          <w:color w:val="52514E"/>
          <w:sz w:val="17"/>
          <w:szCs w:val="17"/>
        </w:rPr>
        <w:t xml:space="preserve">Descomposición del sesgo del backtesting según el semestre proyectado.</w:t>
      </w:r>
    </w:p>
    <w:p>
      <w:pPr>
        <w:spacing w:after="120" w:before="0" w:line="276"/>
      </w:pPr>
      <w:r>
        <w:rPr>
          <w:color w:val="000000"/>
          <w:sz w:val="21"/>
          <w:szCs w:val="21"/>
        </w:rPr>
        <w:t xml:space="preserve">Esto es coherente con el hallazgo del apartado 3.3.2: la matrícula de 2026-II seguía abierta en la fecha de extracción. El modelo no está sobreestimando; está proyectando una matrícula completa contra un dato aún incompleto. Una vez descontado ese semestre, el sesgo residual es pequeño y de signo contrario, que es lo que cabe esperar de un estimador sin sesgo sistemático evaluado sobre tres observaciones.</w:t>
      </w:r>
    </w:p>
    <w:p>
      <w:pPr>
        <w:pBdr>
          <w:left w:val="single" w:color="C07E00" w:sz="18" w:space="8"/>
        </w:pBdr>
        <w:shd w:fill="F2F1ED" w:val="clear"/>
        <w:spacing w:after="180" w:before="160" w:line="276"/>
        <w:ind w:left="160" w:right="160"/>
      </w:pPr>
      <w:r>
        <w:rPr>
          <w:b/>
          <w:bCs/>
          <w:sz w:val="21"/>
          <w:szCs w:val="21"/>
        </w:rPr>
        <w:t xml:space="preserve">Cómo comprobarlo. </w:t>
      </w:r>
      <w:r>
        <w:rPr>
          <w:sz w:val="21"/>
          <w:szCs w:val="21"/>
        </w:rPr>
        <w:t xml:space="preserve">Cuando se disponga del cierre definitivo de 2026-II, basta con volver a ejecutar la estimación: si la interpretación es correcta, el sesgo de esas tres comparaciones debe reducirse sustancialmente. El procedimiento es reproducible y queda documentado en el Excel de exportación.</w:t>
      </w:r>
    </w:p>
    <w:p>
      <w:pPr>
        <w:spacing w:after="120" w:before="0" w:line="276"/>
      </w:pPr>
      <w:r>
        <w:rPr>
          <w:color w:val="000000"/>
          <w:sz w:val="21"/>
          <w:szCs w:val="21"/>
        </w:rPr>
        <w:t xml:space="preserve">Es relevante además que el contraste de especificación del apartado 6.5 apunte en la misma dirección: incorporar la modalidad reduce el sesgo medio de +259 a +153 estudiantes sobre los mismos datos. Parte de lo que parecía sobreestimación sistemática era, en realidad, aplicar a una población creciente de estudiantes a distancia la retención media de las tres modalidades.</w:t>
      </w:r>
    </w:p>
    <w:p>
      <w:pPr>
        <w:pStyle w:val="Heading2"/>
        <w:spacing w:after="140" w:before="300"/>
      </w:pPr>
      <w:r>
        <w:rPr>
          <w:b/>
          <w:bCs/>
          <w:color w:val="12233F"/>
          <w:sz w:val="25"/>
          <w:szCs w:val="25"/>
        </w:rPr>
        <w:t xml:space="preserve">8.5 Qué se puede afirmar y qué no</w:t>
      </w:r>
    </w:p>
    <w:p>
      <w:pPr>
        <w:spacing w:after="120" w:before="0" w:line="276"/>
      </w:pPr>
      <w:r>
        <w:rPr>
          <w:color w:val="000000"/>
          <w:sz w:val="21"/>
          <w:szCs w:val="21"/>
        </w:rPr>
        <w:t xml:space="preserve">La validación se apoya en tres orígenes y seis comparaciones. Es la información disponible, y conviene ser explícito sobre su alcance.</w:t>
      </w:r>
    </w:p>
    <w:p>
      <w:pPr>
        <w:pStyle w:val="ListParagraph"/>
        <w:numPr>
          <w:ilvl w:val="0"/>
          <w:numId w:val="2"/>
        </w:numPr>
        <w:spacing w:after="90" w:line="276"/>
      </w:pPr>
      <w:r>
        <w:rPr>
          <w:b/>
          <w:bCs/>
          <w:sz w:val="21"/>
          <w:szCs w:val="21"/>
        </w:rPr>
        <w:t xml:space="preserve">Se puede afirmar: </w:t>
      </w:r>
      <w:r>
        <w:rPr>
          <w:sz w:val="21"/>
          <w:szCs w:val="21"/>
        </w:rPr>
        <w:t xml:space="preserve">que el modelo no está sesgado de forma apreciable una vez se descuenta el semestre incompleto; que su error a un semestre vista en el total es del orden del 1,7 %; que la aritmética de la incertidumbre está bien planteada, porque el factor de inflación calibrado es 1,0; y que la dimensión de modalidad mejora la proyección en todos los niveles comparables.</w:t>
      </w:r>
    </w:p>
    <w:p>
      <w:pPr>
        <w:pStyle w:val="ListParagraph"/>
        <w:numPr>
          <w:ilvl w:val="0"/>
          <w:numId w:val="2"/>
        </w:numPr>
        <w:spacing w:after="90" w:line="276"/>
      </w:pPr>
      <w:r>
        <w:rPr>
          <w:b/>
          <w:bCs/>
          <w:sz w:val="21"/>
          <w:szCs w:val="21"/>
        </w:rPr>
        <w:t xml:space="preserve">No se puede afirmar: </w:t>
      </w:r>
      <w:r>
        <w:rPr>
          <w:sz w:val="21"/>
          <w:szCs w:val="21"/>
        </w:rPr>
        <w:t xml:space="preserve">que el error vaya a mantenerse exactamente en ese nivel, ni que la mejora por incorporar la modalidad sea exactamente del 17 % en el total. Seis comparaciones no permiten estimar con precisión la distribución del error, y el horizonte 3 se apoya en una sola observación. Las cifras del horizonte 3 deben tomarse como indicativas.</w:t>
      </w:r>
    </w:p>
    <w:p>
      <w:pPr>
        <w:pStyle w:val="ListParagraph"/>
        <w:numPr>
          <w:ilvl w:val="0"/>
          <w:numId w:val="2"/>
        </w:numPr>
        <w:spacing w:after="90" w:line="276"/>
      </w:pPr>
      <w:r>
        <w:rPr>
          <w:b/>
          <w:bCs/>
          <w:sz w:val="21"/>
          <w:szCs w:val="21"/>
        </w:rPr>
        <w:t xml:space="preserve">Conviene repetir: </w:t>
      </w:r>
      <w:r>
        <w:rPr>
          <w:sz w:val="21"/>
          <w:szCs w:val="21"/>
        </w:rPr>
        <w:t xml:space="preserve">cada semestre nuevo añade un origen de validación. El procedimiento está automatizado y reejecutarlo con datos actualizados no requiere trabajo adicional.</w:t>
      </w:r>
    </w:p>
    <w:p>
      <w:r>
        <w:br w:type="page"/>
      </w:r>
    </w:p>
    <w:p>
      <w:pPr>
        <w:pStyle w:val="Heading1"/>
        <w:spacing w:after="180" w:before="360"/>
      </w:pPr>
      <w:r>
        <w:rPr>
          <w:b/>
          <w:bCs/>
          <w:color w:val="12233F"/>
          <w:sz w:val="30"/>
          <w:szCs w:val="30"/>
        </w:rPr>
        <w:t xml:space="preserve">9. Manual de uso</w:t>
      </w:r>
    </w:p>
    <w:p>
      <w:pPr>
        <w:pStyle w:val="Heading2"/>
        <w:spacing w:after="140" w:before="300"/>
      </w:pPr>
      <w:r>
        <w:rPr>
          <w:b/>
          <w:bCs/>
          <w:color w:val="12233F"/>
          <w:sz w:val="25"/>
          <w:szCs w:val="25"/>
        </w:rPr>
        <w:t xml:space="preserve">9.1 Puesta en marcha</w:t>
      </w:r>
    </w:p>
    <w:p>
      <w:pPr>
        <w:spacing w:after="120" w:before="0" w:line="276"/>
      </w:pPr>
      <w:r>
        <w:rPr>
          <w:sz w:val="21"/>
          <w:szCs w:val="21"/>
        </w:rPr>
        <w:t xml:space="preserve">El modelo es un único archivo, </w:t>
      </w:r>
      <w:r>
        <w:rPr>
          <w:rFonts w:ascii="Consolas" w:cs="Consolas" w:eastAsia="Consolas" w:hAnsi="Consolas"/>
          <w:sz w:val="19"/>
          <w:szCs w:val="19"/>
        </w:rPr>
        <w:t xml:space="preserve">modelo_proyeccion_matricula.html</w:t>
      </w:r>
      <w:r>
        <w:rPr>
          <w:sz w:val="21"/>
          <w:szCs w:val="21"/>
        </w:rPr>
        <w:t xml:space="preserve">. Se abre con doble clic en cualquier navegador moderno. No necesita instalación, servidor ni conexión a internet: todos los datos y el motor de cálculo viajan dentro del archivo. Puede copiarse, enviarse por correo o guardarse en una carpeta compartida.</w:t>
      </w:r>
    </w:p>
    <w:p>
      <w:pPr>
        <w:spacing w:after="120" w:before="0" w:line="276"/>
      </w:pPr>
      <w:r>
        <w:rPr>
          <w:color w:val="000000"/>
          <w:sz w:val="21"/>
          <w:szCs w:val="21"/>
        </w:rPr>
        <w:t xml:space="preserve">Al abrirlo, el modelo ya muestra una proyección calculada con un supuesto de referencia —repetir el último ingreso observado del semestre de la misma paridad, con su composición por modalidad— claramente señalado como marcador de posición. Sirve para explorar la herramienta antes de disponer del archivo de admisión; no es una previsión.</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12. </w:t>
      </w:r>
      <w:r>
        <w:rPr>
          <w:color w:val="52514E"/>
          <w:sz w:val="17"/>
          <w:szCs w:val="17"/>
        </w:rPr>
        <w:t xml:space="preserve">Vista inicial del modelo: cinta de acciones, barra de control y pestaña de resumen.</w:t>
      </w:r>
    </w:p>
    <w:p>
      <w:pPr>
        <w:pStyle w:val="Heading2"/>
        <w:spacing w:after="140" w:before="300"/>
      </w:pPr>
      <w:r>
        <w:rPr>
          <w:b/>
          <w:bCs/>
          <w:color w:val="12233F"/>
          <w:sz w:val="25"/>
          <w:szCs w:val="25"/>
        </w:rPr>
        <w:t xml:space="preserve">9.2 La plantilla de ingresantes</w:t>
      </w:r>
    </w:p>
    <w:p>
      <w:pPr>
        <w:spacing w:after="120" w:before="0" w:line="276"/>
      </w:pPr>
      <w:r>
        <w:rPr>
          <w:sz w:val="21"/>
          <w:szCs w:val="21"/>
        </w:rPr>
        <w:t xml:space="preserve">El botón </w:t>
      </w:r>
      <w:r>
        <w:rPr>
          <w:b/>
          <w:bCs/>
          <w:sz w:val="21"/>
          <w:szCs w:val="21"/>
        </w:rPr>
        <w:t xml:space="preserve">«Plantilla»</w:t>
      </w:r>
      <w:r>
        <w:rPr>
          <w:sz w:val="21"/>
          <w:szCs w:val="21"/>
        </w:rPr>
        <w:t xml:space="preserve"> descarga un Excel de tres hojas:</w:t>
      </w:r>
    </w:p>
    <w:p>
      <w:pPr>
        <w:pStyle w:val="ListParagraph"/>
        <w:numPr>
          <w:ilvl w:val="0"/>
          <w:numId w:val="2"/>
        </w:numPr>
        <w:spacing w:after="90" w:line="276"/>
      </w:pPr>
      <w:r>
        <w:rPr>
          <w:b/>
          <w:bCs/>
          <w:sz w:val="21"/>
          <w:szCs w:val="21"/>
        </w:rPr>
        <w:t xml:space="preserve">Instrucciones. </w:t>
      </w:r>
      <w:r>
        <w:rPr>
          <w:sz w:val="21"/>
          <w:szCs w:val="21"/>
        </w:rPr>
        <w:t xml:space="preserve">Descripción de cada columna, tratamiento de los programas nuevos y nomenclatura de semestres.</w:t>
      </w:r>
    </w:p>
    <w:p>
      <w:pPr>
        <w:pStyle w:val="ListParagraph"/>
        <w:numPr>
          <w:ilvl w:val="0"/>
          <w:numId w:val="2"/>
        </w:numPr>
        <w:spacing w:after="90" w:line="276"/>
      </w:pPr>
      <w:r>
        <w:rPr>
          <w:b/>
          <w:bCs/>
          <w:sz w:val="21"/>
          <w:szCs w:val="21"/>
        </w:rPr>
        <w:t xml:space="preserve">Ingresantes. </w:t>
      </w:r>
      <w:r>
        <w:rPr>
          <w:sz w:val="21"/>
          <w:szCs w:val="21"/>
        </w:rPr>
        <w:t xml:space="preserve">La hoja que hay que editar. Viene precargada con el último ingreso observado de cada paridad, desglosado por modalidad, de modo que se parte de una base realista y sólo hay que ajustar las cifras.</w:t>
      </w:r>
    </w:p>
    <w:p>
      <w:pPr>
        <w:pStyle w:val="ListParagraph"/>
        <w:numPr>
          <w:ilvl w:val="0"/>
          <w:numId w:val="2"/>
        </w:numPr>
        <w:spacing w:after="90" w:line="276"/>
      </w:pPr>
      <w:r>
        <w:rPr>
          <w:b/>
          <w:bCs/>
          <w:sz w:val="21"/>
          <w:szCs w:val="21"/>
        </w:rPr>
        <w:t xml:space="preserve">Catálogos. </w:t>
      </w:r>
      <w:r>
        <w:rPr>
          <w:sz w:val="21"/>
          <w:szCs w:val="21"/>
        </w:rPr>
        <w:t xml:space="preserve">Sedes con sus turnos disponibles, sus modalidades y su ciclo máximo ofertable; y carreras con los ciclos de su plan y las modalidades en que se imparten, para escribir los nombres exactamente como los espera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61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Columna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Obligatoria</w:t>
            </w:r>
          </w:p>
        </w:tc>
        <w:tc>
          <w:tcPr>
            <w:tcW w:type="dxa" w:w="6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Periodo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2027-I, 2027-II. También se admite el formato 202701.</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Debe coincidir con el catálogo para heredar el patrón de turno de esa sede. Una sede que no figure se entiende que abre en el primer semestre en que aparezca, con despliegue progresivo del plan.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no figura en el catálogo, se trata como programa nuevo.</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Recomendada</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o A distancia. Se reconocen sinónimos habituales (virtual, online, blended, híbrida, semipresencial). Si se deja vacía, el modelo la estima por el apartado 6.8 y lo advierte.</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al que ingresa: 1 en la admisión ordinaria, mayor que 1 en traslados y convalidaciones.</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Nuevos</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ingresantes de esa combinación.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CiclosPlan</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No</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 totales del plan. Sólo hace falta para un programa nuevo cuya duración no sea de diez ciclos.</w:t>
            </w:r>
          </w:p>
        </w:tc>
      </w:tr>
    </w:tbl>
    <w:p>
      <w:pPr>
        <w:spacing w:after="220" w:before="80"/>
      </w:pPr>
      <w:r>
        <w:rPr>
          <w:b/>
          <w:bCs/>
          <w:color w:val="52514E"/>
          <w:sz w:val="17"/>
          <w:szCs w:val="17"/>
        </w:rPr>
        <w:t xml:space="preserve">Tabla 30. </w:t>
      </w:r>
      <w:r>
        <w:rPr>
          <w:color w:val="52514E"/>
          <w:sz w:val="17"/>
          <w:szCs w:val="17"/>
        </w:rPr>
        <w:t xml:space="preserve">Columnas del archivo de entrada. El lector reconoce además sinónimos habituales de cada encabezado.</w:t>
      </w:r>
    </w:p>
    <w:p>
      <w:pPr>
        <w:pBdr>
          <w:left w:val="single" w:color="C07E00" w:sz="18" w:space="8"/>
        </w:pBdr>
        <w:shd w:fill="F2F1ED" w:val="clear"/>
        <w:spacing w:after="180" w:before="160" w:line="276"/>
        <w:ind w:left="160" w:right="160"/>
      </w:pPr>
      <w:r>
        <w:rPr>
          <w:b/>
          <w:bCs/>
          <w:sz w:val="21"/>
          <w:szCs w:val="21"/>
        </w:rPr>
        <w:t xml:space="preserve">El turno no se declara; la modalidad sí conviene declararla. </w:t>
      </w:r>
      <w:r>
        <w:rPr>
          <w:sz w:val="21"/>
          <w:szCs w:val="21"/>
        </w:rPr>
        <w:t xml:space="preserve">Tal como pide el encargo, el archivo de entrada no lleva columna de turno: el modelo lo estima con el procedimiento del apartado 6.7 y muestra el reparto resultante en la pestaña «Ingresantes», indicando en cada fila el nivel de evidencia empleado. La modalidad es distinta: es un dato que el área de admisión conoce y que el modelo no puede deducir. Si falta, se estima —y el modelo lo advierte fila por fila— pero la proyección pierde precisión.</w:t>
      </w:r>
    </w:p>
    <w:p>
      <w:pPr>
        <w:spacing w:after="120" w:before="0" w:line="276"/>
      </w:pPr>
      <w:r>
        <w:rPr>
          <w:sz w:val="21"/>
          <w:szCs w:val="21"/>
        </w:rPr>
        <w:t xml:space="preserve">Un archivo preparado con la plantilla anterior, sin columna de modalidad, </w:t>
      </w:r>
      <w:r>
        <w:rPr>
          <w:b/>
          <w:bCs/>
          <w:sz w:val="21"/>
          <w:szCs w:val="21"/>
        </w:rPr>
        <w:t xml:space="preserve">sigue funcionando</w:t>
      </w:r>
      <w:r>
        <w:rPr>
          <w:sz w:val="21"/>
          <w:szCs w:val="21"/>
        </w:rPr>
        <w:t xml:space="preserve">: el modelo lo detecta, avisa de cuántas filas ha tenido que estimar y aplica el reparto del apartado 6.8. No hay que rehacer nada para seguir usándolo.</w:t>
      </w:r>
    </w:p>
    <w:p>
      <w:pPr>
        <w:pStyle w:val="Heading2"/>
        <w:spacing w:after="140" w:before="300"/>
      </w:pPr>
      <w:r>
        <w:rPr>
          <w:b/>
          <w:bCs/>
          <w:color w:val="12233F"/>
          <w:sz w:val="25"/>
          <w:szCs w:val="25"/>
        </w:rPr>
        <w:t xml:space="preserve">9.3 Cargar el archivo</w:t>
      </w:r>
    </w:p>
    <w:p>
      <w:pPr>
        <w:spacing w:after="120" w:before="0" w:line="276"/>
      </w:pPr>
      <w:r>
        <w:rPr>
          <w:sz w:val="21"/>
          <w:szCs w:val="21"/>
        </w:rPr>
        <w:t xml:space="preserve">El botón </w:t>
      </w:r>
      <w:r>
        <w:rPr>
          <w:b/>
          <w:bCs/>
          <w:sz w:val="21"/>
          <w:szCs w:val="21"/>
        </w:rPr>
        <w:t xml:space="preserve">«Cargar ingresantes»</w:t>
      </w:r>
      <w:r>
        <w:rPr>
          <w:sz w:val="21"/>
          <w:szCs w:val="21"/>
        </w:rPr>
        <w:t xml:space="preserve"> abre el selector de archivos y admite .xlsx y .csv. Tras la carga, el modelo:</w:t>
      </w:r>
    </w:p>
    <w:p>
      <w:pPr>
        <w:pStyle w:val="ListParagraph"/>
        <w:numPr>
          <w:ilvl w:val="0"/>
          <w:numId w:val="3"/>
        </w:numPr>
        <w:spacing w:after="90" w:line="276"/>
      </w:pPr>
      <w:r>
        <w:rPr>
          <w:sz w:val="21"/>
          <w:szCs w:val="21"/>
        </w:rPr>
        <w:t xml:space="preserve">Ajusta automáticamente el horizonte al último semestre presente en el archivo.</w:t>
      </w:r>
    </w:p>
    <w:p>
      <w:pPr>
        <w:pStyle w:val="ListParagraph"/>
        <w:numPr>
          <w:ilvl w:val="0"/>
          <w:numId w:val="3"/>
        </w:numPr>
        <w:spacing w:after="90" w:line="276"/>
      </w:pPr>
      <w:r>
        <w:rPr>
          <w:sz w:val="21"/>
          <w:szCs w:val="21"/>
        </w:rPr>
        <w:t xml:space="preserve">Identifica las carreras y sedes que no existen en el histórico y las marca como nuevas.</w:t>
      </w:r>
    </w:p>
    <w:p>
      <w:pPr>
        <w:pStyle w:val="ListParagraph"/>
        <w:numPr>
          <w:ilvl w:val="0"/>
          <w:numId w:val="3"/>
        </w:numPr>
        <w:spacing w:after="90" w:line="276"/>
      </w:pPr>
      <w:r>
        <w:rPr>
          <w:sz w:val="21"/>
          <w:szCs w:val="21"/>
        </w:rPr>
        <w:t xml:space="preserve">Avisa de cuántas filas declaran modalidad y cuántas ha tenido que estimar.</w:t>
      </w:r>
    </w:p>
    <w:p>
      <w:pPr>
        <w:pStyle w:val="ListParagraph"/>
        <w:numPr>
          <w:ilvl w:val="0"/>
          <w:numId w:val="3"/>
        </w:numPr>
        <w:spacing w:after="90" w:line="276"/>
      </w:pPr>
      <w:r>
        <w:rPr>
          <w:sz w:val="21"/>
          <w:szCs w:val="21"/>
        </w:rPr>
        <w:t xml:space="preserve">Avisa si alguna fila declara un ciclo superior al del plan de la carrera o al que la sede puede ofrecer todavía, y lo ajusta al máximo disponible.</w:t>
      </w:r>
    </w:p>
    <w:p>
      <w:pPr>
        <w:pStyle w:val="ListParagraph"/>
        <w:numPr>
          <w:ilvl w:val="0"/>
          <w:numId w:val="3"/>
        </w:numPr>
        <w:spacing w:after="90" w:line="276"/>
      </w:pPr>
      <w:r>
        <w:rPr>
          <w:sz w:val="21"/>
          <w:szCs w:val="21"/>
        </w:rPr>
        <w:t xml:space="preserve">Advierte si el archivo contiene semestres anteriores o iguales al último observado, que no se proyectan.</w:t>
      </w:r>
    </w:p>
    <w:p>
      <w:pPr>
        <w:pStyle w:val="ListParagraph"/>
        <w:numPr>
          <w:ilvl w:val="0"/>
          <w:numId w:val="3"/>
        </w:numPr>
        <w:spacing w:after="90" w:line="276"/>
      </w:pPr>
      <w:r>
        <w:rPr>
          <w:sz w:val="21"/>
          <w:szCs w:val="21"/>
        </w:rPr>
        <w:t xml:space="preserve">Recalcula y repinta toda la proyección.</w:t>
      </w:r>
    </w:p>
    <w:p>
      <w:pPr>
        <w:spacing w:after="60" w:before="180"/>
        <w:jc w:val="center"/>
      </w:pPr>
      <w:r>
        <w:drawing>
          <wp:inline distT="0" distB="0" distL="0" distR="0">
            <wp:extent cx="5715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933575"/>
                    </a:xfrm>
                    <a:prstGeom prst="rect">
                      <a:avLst/>
                    </a:prstGeom>
                  </pic:spPr>
                </pic:pic>
              </a:graphicData>
            </a:graphic>
          </wp:inline>
        </w:drawing>
      </w:r>
    </w:p>
    <w:p>
      <w:pPr>
        <w:spacing w:after="220"/>
        <w:jc w:val="center"/>
      </w:pPr>
      <w:r>
        <w:rPr>
          <w:b/>
          <w:bCs/>
          <w:color w:val="52514E"/>
          <w:sz w:val="17"/>
          <w:szCs w:val="17"/>
        </w:rPr>
        <w:t xml:space="preserve">Figura 13. </w:t>
      </w:r>
      <w:r>
        <w:rPr>
          <w:color w:val="52514E"/>
          <w:sz w:val="17"/>
          <w:szCs w:val="17"/>
        </w:rPr>
        <w:t xml:space="preserve">Resumen del archivo cargado y avisos de validación, incluida la detección del programa nuevo y el recuento de modalidades declaradas.</w:t>
      </w:r>
    </w:p>
    <w:p>
      <w:pPr>
        <w:pStyle w:val="Heading2"/>
        <w:spacing w:after="140" w:before="300"/>
      </w:pPr>
      <w:r>
        <w:rPr>
          <w:b/>
          <w:bCs/>
          <w:color w:val="12233F"/>
          <w:sz w:val="25"/>
          <w:szCs w:val="25"/>
        </w:rPr>
        <w:t xml:space="preserve">9.4 Elegir el horizonte</w:t>
      </w:r>
    </w:p>
    <w:p>
      <w:pPr>
        <w:spacing w:after="120" w:before="0" w:line="276"/>
      </w:pPr>
      <w:r>
        <w:rPr>
          <w:sz w:val="21"/>
          <w:szCs w:val="21"/>
        </w:rPr>
        <w:t xml:space="preserve">El campo </w:t>
      </w:r>
      <w:r>
        <w:rPr>
          <w:b/>
          <w:bCs/>
          <w:sz w:val="21"/>
          <w:szCs w:val="21"/>
        </w:rPr>
        <w:t xml:space="preserve">«Semestres a proyectar»</w:t>
      </w:r>
      <w:r>
        <w:rPr>
          <w:sz w:val="21"/>
          <w:szCs w:val="21"/>
        </w:rPr>
        <w:t xml:space="preserve"> admite de 1 a 24 semestres. Debajo se muestra el intervalo resultante con la nomenclatura de la universidad, de modo que no hay ambigüedad sobre qué se está proyectando: con 6 semestres desde 2026-II, el intervalo es 2027-I → 2029-II.</w:t>
      </w:r>
    </w:p>
    <w:p>
      <w:pPr>
        <w:spacing w:after="120" w:before="0" w:line="276"/>
      </w:pPr>
      <w:r>
        <w:rPr>
          <w:color w:val="000000"/>
          <w:sz w:val="21"/>
          <w:szCs w:val="21"/>
        </w:rPr>
        <w:t xml:space="preserve">La nomenclatura sigue el sistema institucional: el año seguido de I para el primer semestre y II para el segundo. El modelo la aplica en pantalla, en la plantilla y en todas las exportaciones.</w:t>
      </w:r>
    </w:p>
    <w:p>
      <w:pPr>
        <w:pBdr>
          <w:left w:val="single" w:color="C07E00" w:sz="18" w:space="8"/>
        </w:pBdr>
        <w:shd w:fill="F2F1ED" w:val="clear"/>
        <w:spacing w:after="180" w:before="160" w:line="276"/>
        <w:ind w:left="160" w:right="160"/>
      </w:pPr>
      <w:r>
        <w:rPr>
          <w:b/>
          <w:bCs/>
          <w:sz w:val="21"/>
          <w:szCs w:val="21"/>
        </w:rPr>
        <w:t xml:space="preserve">Sobre horizontes largos. </w:t>
      </w:r>
      <w:r>
        <w:rPr>
          <w:sz w:val="21"/>
          <w:szCs w:val="21"/>
        </w:rPr>
        <w:t xml:space="preserve">La validación cubre hasta tres semestres. Proyectar doce es técnicamente posible y la recursión sigue siendo válida, pero a partir del cuarto o quinto semestre la práctica totalidad de la matrícula proviene de ingresantes supuestos por el usuario, de modo que el resultado refleja sobre todo ese supuesto —incluida la composición por modalidad que se haya declarado. El intervalo de predicción se ensancha en consecuencia y debe leerse con atención.</w:t>
      </w:r>
    </w:p>
    <w:p>
      <w:pPr>
        <w:pStyle w:val="Heading2"/>
        <w:spacing w:after="140" w:before="300"/>
      </w:pPr>
      <w:r>
        <w:rPr>
          <w:b/>
          <w:bCs/>
          <w:color w:val="12233F"/>
          <w:sz w:val="25"/>
          <w:szCs w:val="25"/>
        </w:rPr>
        <w:t xml:space="preserve">9.5 Leer los resultados</w:t>
      </w:r>
    </w:p>
    <w:p>
      <w:pPr>
        <w:pStyle w:val="Heading3"/>
        <w:spacing w:after="120" w:before="240"/>
      </w:pPr>
      <w:r>
        <w:rPr>
          <w:b/>
          <w:bCs/>
          <w:color w:val="52514E"/>
          <w:sz w:val="22"/>
          <w:szCs w:val="22"/>
        </w:rPr>
        <w:t xml:space="preserve">9.5.1 Resumen</w:t>
      </w:r>
    </w:p>
    <w:p>
      <w:pPr>
        <w:spacing w:after="120" w:before="0" w:line="276"/>
      </w:pPr>
      <w:r>
        <w:rPr>
          <w:color w:val="000000"/>
          <w:sz w:val="21"/>
          <w:szCs w:val="21"/>
        </w:rPr>
        <w:t xml:space="preserve">La pestaña de resumen presenta los indicadores principales, la serie histórica empalmada con la proyección y su banda, la composición entre ingresantes y continuadores, el reparto por sede, la composición por modalidad de estudios y la tabla por semestre y escenario.</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14. </w:t>
      </w:r>
      <w:r>
        <w:rPr>
          <w:color w:val="52514E"/>
          <w:sz w:val="17"/>
          <w:szCs w:val="17"/>
        </w:rPr>
        <w:t xml:space="preserve">Indicadores del resumen. Cada uno lleva su contexto: variación frente al semestre anterior, escenarios alternativos y amplitud del intervalo.</w:t>
      </w:r>
    </w:p>
    <w:p>
      <w:pPr>
        <w:spacing w:after="60" w:before="180"/>
        <w:jc w:val="center"/>
      </w:pPr>
      <w:r>
        <w:drawing>
          <wp:inline distT="0" distB="0" distL="0" distR="0">
            <wp:extent cx="5715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066800"/>
                    </a:xfrm>
                    <a:prstGeom prst="rect">
                      <a:avLst/>
                    </a:prstGeom>
                  </pic:spPr>
                </pic:pic>
              </a:graphicData>
            </a:graphic>
          </wp:inline>
        </w:drawing>
      </w:r>
    </w:p>
    <w:p>
      <w:pPr>
        <w:spacing w:after="220"/>
        <w:jc w:val="center"/>
      </w:pPr>
      <w:r>
        <w:rPr>
          <w:b/>
          <w:bCs/>
          <w:color w:val="52514E"/>
          <w:sz w:val="17"/>
          <w:szCs w:val="17"/>
        </w:rPr>
        <w:t xml:space="preserve">Figura 15. </w:t>
      </w:r>
      <w:r>
        <w:rPr>
          <w:color w:val="52514E"/>
          <w:sz w:val="17"/>
          <w:szCs w:val="17"/>
        </w:rPr>
        <w:t xml:space="preserve">Tabla por semestre y escenario, con la separación entre ingresantes y continuadores y el intervalo de predicción.</w:t>
      </w:r>
    </w:p>
    <w:p>
      <w:pPr>
        <w:pStyle w:val="Heading3"/>
        <w:spacing w:after="120" w:before="240"/>
      </w:pPr>
      <w:r>
        <w:rPr>
          <w:b/>
          <w:bCs/>
          <w:color w:val="52514E"/>
          <w:sz w:val="22"/>
          <w:szCs w:val="22"/>
        </w:rPr>
        <w:t xml:space="preserve">9.5.2 Detalle</w:t>
      </w:r>
    </w:p>
    <w:p>
      <w:pPr>
        <w:spacing w:after="120" w:before="0" w:line="276"/>
      </w:pPr>
      <w:r>
        <w:rPr>
          <w:sz w:val="21"/>
          <w:szCs w:val="21"/>
        </w:rPr>
        <w:t xml:space="preserve">La pestaña de detalle permite filtrar por semestre, sede, carrera, modalidad y turno, y construir cualquier cruce eligiendo qué dimensión va en filas y cuál en columnas —la modalidad está disponible en ambos ejes. El selector </w:t>
      </w:r>
      <w:r>
        <w:rPr>
          <w:b/>
          <w:bCs/>
          <w:sz w:val="21"/>
          <w:szCs w:val="21"/>
        </w:rPr>
        <w:t xml:space="preserve">«Escenario en tablas»</w:t>
      </w:r>
      <w:r>
        <w:rPr>
          <w:sz w:val="21"/>
          <w:szCs w:val="21"/>
        </w:rPr>
        <w:t xml:space="preserve"> de la barra superior cambia el escenario mostrado en todas las tablas.</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16. </w:t>
      </w:r>
      <w:r>
        <w:rPr>
          <w:color w:val="52514E"/>
          <w:sz w:val="17"/>
          <w:szCs w:val="17"/>
        </w:rPr>
        <w:t xml:space="preserve">Cruce de la proyección por carrera y ciclo. Filas y columnas son configurables, y el filtro de modalidad permite aislar cada población.</w:t>
      </w:r>
    </w:p>
    <w:p>
      <w:pPr>
        <w:spacing w:after="120" w:before="0" w:line="276"/>
      </w:pPr>
      <w:r>
        <w:rPr>
          <w:color w:val="000000"/>
          <w:sz w:val="21"/>
          <w:szCs w:val="21"/>
        </w:rPr>
        <w:t xml:space="preserve">Debajo, el detalle por celda lista las combinaciones completas de semestre, sede, carrera, modalidad, ciclo y turno, con su margen de precisión. Es la vista que corresponde al nivel más desagregado del encargo.</w:t>
      </w:r>
    </w:p>
    <w:p>
      <w:pPr>
        <w:spacing w:after="60" w:before="18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562225"/>
                    </a:xfrm>
                    <a:prstGeom prst="rect">
                      <a:avLst/>
                    </a:prstGeom>
                  </pic:spPr>
                </pic:pic>
              </a:graphicData>
            </a:graphic>
          </wp:inline>
        </w:drawing>
      </w:r>
    </w:p>
    <w:p>
      <w:pPr>
        <w:spacing w:after="220"/>
        <w:jc w:val="center"/>
      </w:pPr>
      <w:r>
        <w:rPr>
          <w:b/>
          <w:bCs/>
          <w:color w:val="52514E"/>
          <w:sz w:val="17"/>
          <w:szCs w:val="17"/>
        </w:rPr>
        <w:t xml:space="preserve">Figura 17. </w:t>
      </w:r>
      <w:r>
        <w:rPr>
          <w:color w:val="52514E"/>
          <w:sz w:val="17"/>
          <w:szCs w:val="17"/>
        </w:rPr>
        <w:t xml:space="preserve">Detalle por celda con el margen de precisión de cada una.</w:t>
      </w:r>
    </w:p>
    <w:p>
      <w:pPr>
        <w:pStyle w:val="Heading3"/>
        <w:spacing w:after="120" w:before="240"/>
      </w:pPr>
      <w:r>
        <w:rPr>
          <w:b/>
          <w:bCs/>
          <w:color w:val="52514E"/>
          <w:sz w:val="22"/>
          <w:szCs w:val="22"/>
        </w:rPr>
        <w:t xml:space="preserve">9.5.3 Modelo y validación</w:t>
      </w:r>
    </w:p>
    <w:p>
      <w:pPr>
        <w:spacing w:after="120" w:before="0" w:line="276"/>
      </w:pPr>
      <w:r>
        <w:rPr>
          <w:color w:val="000000"/>
          <w:sz w:val="21"/>
          <w:szCs w:val="21"/>
        </w:rPr>
        <w:t xml:space="preserve">La última pestaña no contiene resultados sino el sustento: la ecuación, los parámetros estimados, la caracterización de las tres modalidades, la maduración de sede, las tasas de continuación, las matrices de avance y turno, la descomposición de varianza y los resultados de validación. Está pensada para que cualquier cifra de las otras pestañas pueda rastrearse hasta su origen.</w:t>
      </w:r>
    </w:p>
    <w:p>
      <w:pPr>
        <w:pStyle w:val="Heading2"/>
        <w:spacing w:after="140" w:before="300"/>
      </w:pPr>
      <w:r>
        <w:rPr>
          <w:b/>
          <w:bCs/>
          <w:color w:val="12233F"/>
          <w:sz w:val="25"/>
          <w:szCs w:val="25"/>
        </w:rPr>
        <w:t xml:space="preserve">9.6 Exportar</w:t>
      </w:r>
    </w:p>
    <w:p>
      <w:pPr>
        <w:spacing w:after="120" w:before="0" w:line="276"/>
      </w:pPr>
      <w:r>
        <w:rPr>
          <w:sz w:val="21"/>
          <w:szCs w:val="21"/>
        </w:rPr>
        <w:t xml:space="preserve">El botón </w:t>
      </w:r>
      <w:r>
        <w:rPr>
          <w:b/>
          <w:bCs/>
          <w:sz w:val="21"/>
          <w:szCs w:val="21"/>
        </w:rPr>
        <w:t xml:space="preserve">«Exportar proyección»</w:t>
      </w:r>
      <w:r>
        <w:rPr>
          <w:sz w:val="21"/>
          <w:szCs w:val="21"/>
        </w:rPr>
        <w:t xml:space="preserve"> genera un Excel de siete hojas: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Hoja</w:t>
            </w:r>
          </w:p>
        </w:tc>
        <w:tc>
          <w:tcPr>
            <w:tcW w:type="dxa" w:w="6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Resumen</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Totales por semestre y escenario, con ingresantes, continuadores e intervalo de predicción. Incluye la cabecera de supuestos: archivo de entrada, horizonte, confianza y choque aplicado.</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Proyección detallada</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Una fila por semestre, sede, carrera, modalidad, ciclo y turno, con los tres escenarios, la desviación típica independiente y el intervalo de predicción.</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Agregados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Seis cuadros listos para usar: por sede, por carrera, por modalidad, por ciclo, por turno y por modalidad y ciclo, cada uno con los tres escenarios.</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Los ingresantes utilizados, su modalidad —declarada o estimada— y su reparto estimado por turno, en cantidad y porcentaje, con el nivel de evidencia empleado en cada fila.</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Parámetros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Tasas de continuación por ciclo y rezago, continuación por modalidad y ciclo, tasas por carrera con su valor crudo y contraído, matriz de avance por modalidad, matriz de turno por sede y modalidad, maduración de sede y ciclos de plan por carrera.</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varianza, backtesting por nivel y horizonte, cobertura empírica, detalle del total institucional y rejilla de selección de λ.</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Metodología</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Explicación del modelo en once apartados, para que el archivo se sostenga por sí solo al circular.</w:t>
            </w:r>
          </w:p>
        </w:tc>
      </w:tr>
    </w:tbl>
    <w:p>
      <w:pPr>
        <w:spacing w:after="220" w:before="80"/>
      </w:pPr>
      <w:r>
        <w:rPr>
          <w:b/>
          <w:bCs/>
          <w:color w:val="52514E"/>
          <w:sz w:val="17"/>
          <w:szCs w:val="17"/>
        </w:rPr>
        <w:t xml:space="preserve">Tabla 31. </w:t>
      </w:r>
      <w:r>
        <w:rPr>
          <w:color w:val="52514E"/>
          <w:sz w:val="17"/>
          <w:szCs w:val="17"/>
        </w:rPr>
        <w:t xml:space="preserve">Contenido del archivo Excel de exportación.</w:t>
      </w:r>
    </w:p>
    <w:p>
      <w:pPr>
        <w:spacing w:after="120" w:before="0" w:line="276"/>
      </w:pPr>
      <w:r>
        <w:rPr>
          <w:color w:val="000000"/>
          <w:sz w:val="21"/>
          <w:szCs w:val="21"/>
        </w:rPr>
        <w:t xml:space="preserve">La exportación incluye todas las celdas de todos los semestres, no sólo las visibles en pantalla, y los totales de cada escenario coinciden exactamente con la suma de sus celdas.</w:t>
      </w:r>
    </w:p>
    <w:p>
      <w:pPr>
        <w:pStyle w:val="Heading2"/>
        <w:spacing w:after="140" w:before="300"/>
      </w:pPr>
      <w:r>
        <w:rPr>
          <w:b/>
          <w:bCs/>
          <w:color w:val="12233F"/>
          <w:sz w:val="25"/>
          <w:szCs w:val="25"/>
        </w:rPr>
        <w:t xml:space="preserve">9.7 Parámetros avanzados</w:t>
      </w:r>
    </w:p>
    <w:p>
      <w:pPr>
        <w:spacing w:after="120" w:before="0" w:line="276"/>
      </w:pPr>
      <w:r>
        <w:rPr>
          <w:color w:val="000000"/>
          <w:sz w:val="21"/>
          <w:szCs w:val="21"/>
        </w:rPr>
        <w:t xml:space="preserve">El botón «Parámetros avanzados» expone tres controles que normalmente no hace falta tocar, pero que permiten reestimar el modelo dentro del navegador y explorar su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Control</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Efecto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(continuación)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0,65</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Ponderación de los semestres antiguos al estimar la continuación, el avance y el reparto por modalidad. Con 1,00 todo el histórico pesa igual.</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 mismo para el reparto por turno de los ingresantes.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Factor de contracción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Multiplica las constantes k. Por encima de 1 se contrae más hacia los niveles agregados; por debajo, se cree más a cada celda.</w:t>
            </w:r>
          </w:p>
        </w:tc>
      </w:tr>
    </w:tbl>
    <w:p>
      <w:pPr>
        <w:spacing w:after="220" w:before="80"/>
      </w:pPr>
      <w:r>
        <w:rPr>
          <w:b/>
          <w:bCs/>
          <w:color w:val="52514E"/>
          <w:sz w:val="17"/>
          <w:szCs w:val="17"/>
        </w:rPr>
        <w:t xml:space="preserve">Tabla 32. </w:t>
      </w:r>
      <w:r>
        <w:rPr>
          <w:color w:val="52514E"/>
          <w:sz w:val="17"/>
          <w:szCs w:val="17"/>
        </w:rPr>
        <w:t xml:space="preserve">Controles avanzados. Los valores por defecto son los seleccionados por validación cruzada.</w:t>
      </w:r>
    </w:p>
    <w:p>
      <w:pPr>
        <w:spacing w:after="120" w:before="0" w:line="276"/>
      </w:pPr>
      <w:r>
        <w:rPr>
          <w:color w:val="000000"/>
          <w:sz w:val="21"/>
          <w:szCs w:val="21"/>
        </w:rPr>
        <w:t xml:space="preserve">El modelo no trae los parámetros congelados: al mover cualquiera de estos controles vuelve a agregar los conteos de transición semestre a semestre, recalcula las constantes de contracción por el método de los momentos y reproyecta. Incluso el reparto por modalidad de las filas que no la declaran se recalcula, de modo que nada queda fijado fuera del estimador. Es la misma aritmética de la implementación de referencia en Python, verificada punto por punto.</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18. </w:t>
      </w:r>
      <w:r>
        <w:rPr>
          <w:color w:val="52514E"/>
          <w:sz w:val="17"/>
          <w:szCs w:val="17"/>
        </w:rPr>
        <w:t xml:space="preserve">El modelo también funciona en modo oscuro, conmutable desde la cinta superior.</w:t>
      </w:r>
    </w:p>
    <w:p>
      <w:r>
        <w:br w:type="page"/>
      </w:r>
    </w:p>
    <w:p>
      <w:pPr>
        <w:pStyle w:val="Heading1"/>
        <w:spacing w:after="180" w:before="360"/>
      </w:pPr>
      <w:r>
        <w:rPr>
          <w:b/>
          <w:bCs/>
          <w:color w:val="12233F"/>
          <w:sz w:val="30"/>
          <w:szCs w:val="30"/>
        </w:rPr>
        <w:t xml:space="preserve">10. Programas y sedes nuevas</w:t>
      </w:r>
    </w:p>
    <w:p>
      <w:pPr>
        <w:pStyle w:val="Heading2"/>
        <w:spacing w:after="140" w:before="300"/>
      </w:pPr>
      <w:r>
        <w:rPr>
          <w:b/>
          <w:bCs/>
          <w:color w:val="12233F"/>
          <w:sz w:val="25"/>
          <w:szCs w:val="25"/>
        </w:rPr>
        <w:t xml:space="preserve">10.1 El problema</w:t>
      </w:r>
    </w:p>
    <w:p>
      <w:pPr>
        <w:spacing w:after="120" w:before="0" w:line="276"/>
      </w:pPr>
      <w:r>
        <w:rPr>
          <w:color w:val="000000"/>
          <w:sz w:val="21"/>
          <w:szCs w:val="21"/>
        </w:rPr>
        <w:t xml:space="preserve">Un programa que se abre no tiene historia: no hay cohortes suyas de las que estimar retención, ritmo de avance ni preferencia de turno. Y sin embargo debe poder proyectarse, porque la apertura de programas es justamente uno de los escenarios de planificación más relevantes.</w:t>
      </w:r>
    </w:p>
    <w:p>
      <w:pPr>
        <w:spacing w:after="120" w:before="0" w:line="276"/>
      </w:pPr>
      <w:r>
        <w:rPr>
          <w:color w:val="000000"/>
          <w:sz w:val="21"/>
          <w:szCs w:val="21"/>
        </w:rPr>
        <w:t xml:space="preserve">Lo mismo vale para una carrera existente que se abre en una modalidad nueva —un programa presencial que empieza a ofrecerse a distancia—, que es un caso cada vez más frecuente a la vista de la deriva documentada en el apartado 3.2.</w:t>
      </w:r>
    </w:p>
    <w:p>
      <w:pPr>
        <w:pStyle w:val="Heading2"/>
        <w:spacing w:after="140" w:before="300"/>
      </w:pPr>
      <w:r>
        <w:rPr>
          <w:b/>
          <w:bCs/>
          <w:color w:val="12233F"/>
          <w:sz w:val="25"/>
          <w:szCs w:val="25"/>
        </w:rPr>
        <w:t xml:space="preserve">10.2 La solución: contracción, no reglas especiales</w:t>
      </w:r>
    </w:p>
    <w:p>
      <w:pPr>
        <w:spacing w:after="120" w:before="0" w:line="276"/>
      </w:pPr>
      <w:r>
        <w:rPr>
          <w:color w:val="000000"/>
          <w:sz w:val="21"/>
          <w:szCs w:val="21"/>
        </w:rPr>
        <w:t xml:space="preserve">El modelo no incorpora ningún tratamiento excepcional. La escalera de contracción resuelve el caso por construcción: al no encontrar evidencia en los niveles finos, la estimación se detiene en el nivel más específico que sí la tenga.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3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que se aplica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Fundamento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 ciclo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estructura por ciclo y modalidad es la que más señal contiene y es común a todas las carreras.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 ciclo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aprobación y repetición depende sobre todo del ciclo y de la modalidad.</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 ciclo</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Depende del catálogo de turnos de la sede y del régimen de la modalidad, que sí se conocen.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(o × paridad)</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preferencia de turno responde sobre todo a la modalidad y al perfil del alumnado de la sede.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si no se declara</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Composición institucional de la sede, restringida a su oferta.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Ciclos del plan</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Declarado o 10 por defecto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usuario puede fijarlo en la columna CiclosPlan de la plantilla.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máximo ofertable</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Tope de maduración de la sede</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la sede también es nueva, el programa sólo crece al ritmo al que crece la sede.</w:t>
            </w:r>
          </w:p>
        </w:tc>
      </w:tr>
    </w:tbl>
    <w:p>
      <w:pPr>
        <w:spacing w:after="220" w:before="80"/>
      </w:pPr>
      <w:r>
        <w:rPr>
          <w:b/>
          <w:bCs/>
          <w:color w:val="52514E"/>
          <w:sz w:val="17"/>
          <w:szCs w:val="17"/>
        </w:rPr>
        <w:t xml:space="preserve">Tabla 33. </w:t>
      </w:r>
      <w:r>
        <w:rPr>
          <w:color w:val="52514E"/>
          <w:sz w:val="17"/>
          <w:szCs w:val="17"/>
        </w:rPr>
        <w:t xml:space="preserve">Niveles de la escalera de contracción que se aplican a un programa sin historia.</w:t>
      </w:r>
    </w:p>
    <w:p>
      <w:pPr>
        <w:spacing w:after="120" w:before="0" w:line="276"/>
      </w:pPr>
      <w:r>
        <w:rPr>
          <w:sz w:val="21"/>
          <w:szCs w:val="21"/>
        </w:rPr>
        <w:t xml:space="preserve">Obsérvese que un programa nuevo hereda el comportamiento de </w:t>
      </w:r>
      <w:r>
        <w:rPr>
          <w:b/>
          <w:bCs/>
          <w:sz w:val="21"/>
          <w:szCs w:val="21"/>
        </w:rPr>
        <w:t xml:space="preserve">su modalidad</w:t>
      </w:r>
      <w:r>
        <w:rPr>
          <w:sz w:val="21"/>
          <w:szCs w:val="21"/>
        </w:rPr>
        <w:t xml:space="preserve">, no el promedio institucional. Una carrera nueva a distancia arranca con una continuación de primer ciclo del orden del 42 %, no del 60 % que promedian las tres modalidades. Es una diferencia grande, y es de las que más se notan en el primer año de un programa.</w:t>
      </w:r>
    </w:p>
    <w:p>
      <w:pPr>
        <w:spacing w:after="120" w:before="0" w:line="276"/>
      </w:pPr>
      <w:r>
        <w:rPr>
          <w:color w:val="000000"/>
          <w:sz w:val="21"/>
          <w:szCs w:val="21"/>
        </w:rPr>
        <w:t xml:space="preserve">A medida que el programa acumule semestres, sus propias celdas ganarán observaciones y el estimador les dará peso de forma progresiva y automática, sin intervención ni recalibrado.</w:t>
      </w:r>
    </w:p>
    <w:p>
      <w:pPr>
        <w:pStyle w:val="Heading2"/>
        <w:spacing w:after="140" w:before="300"/>
      </w:pPr>
      <w:r>
        <w:rPr>
          <w:b/>
          <w:bCs/>
          <w:color w:val="12233F"/>
          <w:sz w:val="25"/>
          <w:szCs w:val="25"/>
        </w:rPr>
        <w:t xml:space="preserve">10.3 Ejemplo verificado</w:t>
      </w:r>
    </w:p>
    <w:p>
      <w:pPr>
        <w:spacing w:after="120" w:before="0" w:line="276"/>
      </w:pPr>
      <w:r>
        <w:rPr>
          <w:color w:val="000000"/>
          <w:sz w:val="21"/>
          <w:szCs w:val="21"/>
        </w:rPr>
        <w:t xml:space="preserve">Para comprobar el comportamiento se preparó un archivo de entrada con un programa inexistente en el histórico, INTELIGENCIA ARTIFICIAL, con plan declarado de ocho ciclos y ingresantes en las tres modalidades, en Lima Sur y Lima Norte.</w:t>
      </w:r>
    </w:p>
    <w:p>
      <w:pPr>
        <w:pStyle w:val="ListParagraph"/>
        <w:numPr>
          <w:ilvl w:val="0"/>
          <w:numId w:val="2"/>
        </w:numPr>
        <w:spacing w:after="90" w:line="276"/>
      </w:pPr>
      <w:r>
        <w:rPr>
          <w:sz w:val="21"/>
          <w:szCs w:val="21"/>
        </w:rPr>
        <w:t xml:space="preserve">El modelo lo detectó como programa nuevo y lo señaló en la pestaña de ingresantes.</w:t>
      </w:r>
    </w:p>
    <w:p>
      <w:pPr>
        <w:pStyle w:val="ListParagraph"/>
        <w:numPr>
          <w:ilvl w:val="0"/>
          <w:numId w:val="2"/>
        </w:numPr>
        <w:spacing w:after="90" w:line="276"/>
      </w:pPr>
      <w:r>
        <w:rPr>
          <w:sz w:val="21"/>
          <w:szCs w:val="21"/>
        </w:rPr>
        <w:t xml:space="preserve">Aplicó el plan de ocho ciclos declarado, limitando correctamente el avance.</w:t>
      </w:r>
    </w:p>
    <w:p>
      <w:pPr>
        <w:pStyle w:val="ListParagraph"/>
        <w:numPr>
          <w:ilvl w:val="0"/>
          <w:numId w:val="2"/>
        </w:numPr>
        <w:spacing w:after="90" w:line="276"/>
      </w:pPr>
      <w:r>
        <w:rPr>
          <w:sz w:val="21"/>
          <w:szCs w:val="21"/>
        </w:rPr>
        <w:t xml:space="preserve">Aplicó a cada fila la continuación y el avance de su modalidad declarada, no el promedio institucional.</w:t>
      </w:r>
    </w:p>
    <w:p>
      <w:pPr>
        <w:pStyle w:val="ListParagraph"/>
        <w:numPr>
          <w:ilvl w:val="0"/>
          <w:numId w:val="2"/>
        </w:numPr>
        <w:spacing w:after="90" w:line="276"/>
      </w:pPr>
      <w:r>
        <w:rPr>
          <w:sz w:val="21"/>
          <w:szCs w:val="21"/>
        </w:rPr>
        <w:t xml:space="preserve">Resolvió el reparto de turno en el nivel «sede·modalidad·paridad», informándolo en la columna correspondiente.</w:t>
      </w:r>
    </w:p>
    <w:p>
      <w:pPr>
        <w:pStyle w:val="ListParagraph"/>
        <w:numPr>
          <w:ilvl w:val="0"/>
          <w:numId w:val="2"/>
        </w:numPr>
        <w:spacing w:after="90" w:line="276"/>
      </w:pPr>
      <w:r>
        <w:rPr>
          <w:sz w:val="21"/>
          <w:szCs w:val="21"/>
        </w:rPr>
        <w:t xml:space="preserve">Proyectó su matrícula a lo largo del horizonte con la estructura de continuación por ciclo y modalidad.</w:t>
      </w:r>
    </w:p>
    <w:p>
      <w:pPr>
        <w:spacing w:after="120" w:before="0" w:line="276"/>
      </w:pPr>
      <w:r>
        <w:rPr>
          <w:color w:val="000000"/>
          <w:sz w:val="21"/>
          <w:szCs w:val="21"/>
        </w:rPr>
        <w:t xml:space="preserve">El resultado del reparto por turno ilustra bien lo que aporta condicionar en la modalidad. Las tres filas del programa comparten sede, carrera, ciclo y semestre; se diferencian sólo en la modalidad, y el modelo les asigna turnos radicalmente distintos: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450"/>
        <w:gridCol w:w="1450"/>
        <w:gridCol w:w="1450"/>
        <w:gridCol w:w="2176"/>
      </w:tblGrid>
      <w:tr>
        <w:trPr>
          <w:tblHeader/>
        </w:trPr>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declarada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21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Nivel de evidencia</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76,2 %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97,8 %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21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bl>
    <w:p>
      <w:pPr>
        <w:spacing w:after="220" w:before="80"/>
      </w:pPr>
      <w:r>
        <w:rPr>
          <w:b/>
          <w:bCs/>
          <w:color w:val="52514E"/>
          <w:sz w:val="17"/>
          <w:szCs w:val="17"/>
        </w:rPr>
        <w:t xml:space="preserve">Tabla 34. </w:t>
      </w:r>
      <w:r>
        <w:rPr>
          <w:color w:val="52514E"/>
          <w:sz w:val="17"/>
          <w:szCs w:val="17"/>
        </w:rPr>
        <w:t xml:space="preserve">Reparto por turno estimado para el programa nuevo en Lima Sur, primer ciclo, semestre impar. Sin la dimensión de modalidad las tres filas habrían recibido el mismo reparto.</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19. </w:t>
      </w:r>
      <w:r>
        <w:rPr>
          <w:color w:val="52514E"/>
          <w:sz w:val="17"/>
          <w:szCs w:val="17"/>
        </w:rPr>
        <w:t xml:space="preserve">Cruce por carrera y ciclo en escenario pesimista; el programa nuevo aparece con normalidad junto al resto de la oferta.</w:t>
      </w:r>
    </w:p>
    <w:p>
      <w:pPr>
        <w:pStyle w:val="Heading2"/>
        <w:spacing w:after="140" w:before="300"/>
      </w:pPr>
      <w:r>
        <w:rPr>
          <w:b/>
          <w:bCs/>
          <w:color w:val="12233F"/>
          <w:sz w:val="25"/>
          <w:szCs w:val="25"/>
        </w:rPr>
        <w:t xml:space="preserve">10.4 Sedes nuevas</w:t>
      </w:r>
    </w:p>
    <w:p>
      <w:pPr>
        <w:spacing w:after="120" w:before="0" w:line="276"/>
      </w:pPr>
      <w:r>
        <w:rPr>
          <w:color w:val="000000"/>
          <w:sz w:val="21"/>
          <w:szCs w:val="21"/>
        </w:rPr>
        <w:t xml:space="preserve">El mismo archivo de entrada admite sedes que no existen en el histórico. La sede se da por abierta en el primer semestre en que aparece y a partir de ahí despliega su plan ciclo a ciclo, según el apartado 5.7.</w:t>
      </w:r>
    </w:p>
    <w:p>
      <w:pPr>
        <w:spacing w:after="120" w:before="0" w:line="276"/>
      </w:pPr>
      <w:r>
        <w:rPr>
          <w:color w:val="000000"/>
          <w:sz w:val="21"/>
          <w:szCs w:val="21"/>
        </w:rPr>
        <w:t xml:space="preserve">En la prueba se declaró una sede inexistente, Lima Este, con 160 ingresantes de primer ciclo en 2028-I y, en 2028-II, otros 50 de primer ciclo más una fila de 30 traslados declarados al ciclo 4. El modelo:</w:t>
      </w:r>
    </w:p>
    <w:p>
      <w:pPr>
        <w:pStyle w:val="ListParagraph"/>
        <w:numPr>
          <w:ilvl w:val="0"/>
          <w:numId w:val="2"/>
        </w:numPr>
        <w:spacing w:after="90" w:line="276"/>
      </w:pPr>
      <w:r>
        <w:rPr>
          <w:sz w:val="21"/>
          <w:szCs w:val="21"/>
        </w:rPr>
        <w:t xml:space="preserve">La reconoció como sede nueva y fijó su apertura en 2028-I, con ciclo base 1.</w:t>
      </w:r>
    </w:p>
    <w:p>
      <w:pPr>
        <w:pStyle w:val="ListParagraph"/>
        <w:numPr>
          <w:ilvl w:val="0"/>
          <w:numId w:val="2"/>
        </w:numPr>
        <w:spacing w:after="90" w:line="276"/>
      </w:pPr>
      <w:r>
        <w:rPr>
          <w:sz w:val="21"/>
          <w:szCs w:val="21"/>
        </w:rPr>
        <w:t xml:space="preserve">No le asignó ninguna matrícula en 2027-I ni 2027-II, semestres anteriores a su apertura.</w:t>
      </w:r>
    </w:p>
    <w:p>
      <w:pPr>
        <w:pStyle w:val="ListParagraph"/>
        <w:numPr>
          <w:ilvl w:val="0"/>
          <w:numId w:val="2"/>
        </w:numPr>
        <w:spacing w:after="90" w:line="276"/>
      </w:pPr>
      <w:r>
        <w:rPr>
          <w:sz w:val="21"/>
          <w:szCs w:val="21"/>
        </w:rPr>
        <w:t xml:space="preserve">Avisó fila por fila: </w:t>
      </w:r>
      <w:r>
        <w:rPr>
          <w:i/>
          <w:iCs/>
          <w:sz w:val="21"/>
          <w:szCs w:val="21"/>
        </w:rPr>
        <w:t xml:space="preserve">«Fila 581: Lima Este no imparte todavía el ciclo 4 en 2028-II (inició en 2028-I, llega hasta el ciclo 2); esos 30 ingresantes se asignan al ciclo 2»</w:t>
      </w:r>
      <w:r>
        <w:rPr>
          <w:sz w:val="21"/>
          <w:szCs w:val="21"/>
        </w:rPr>
        <w:t xml:space="preserve">.</w:t>
      </w:r>
    </w:p>
    <w:p>
      <w:pPr>
        <w:pStyle w:val="ListParagraph"/>
        <w:numPr>
          <w:ilvl w:val="0"/>
          <w:numId w:val="2"/>
        </w:numPr>
        <w:spacing w:after="90" w:line="276"/>
      </w:pPr>
      <w:r>
        <w:rPr>
          <w:sz w:val="21"/>
          <w:szCs w:val="21"/>
        </w:rPr>
        <w:t xml:space="preserve">Proyectó 160 estudiantes en el ciclo 1 en 2028-I y, en 2028-II, 56 en el ciclo 1 y 133 en el ciclo 2: ningún estudiante en un ciclo que la sede no imparte todavía.</w:t>
      </w:r>
    </w:p>
    <w:p>
      <w:pPr>
        <w:pStyle w:val="ListParagraph"/>
        <w:numPr>
          <w:ilvl w:val="0"/>
          <w:numId w:val="2"/>
        </w:numPr>
        <w:spacing w:after="90" w:line="276"/>
      </w:pPr>
      <w:r>
        <w:rPr>
          <w:sz w:val="21"/>
          <w:szCs w:val="21"/>
        </w:rPr>
        <w:t xml:space="preserve">Tomó el reparto por turno de la distribución institucional de cada modalidad, al no haber ninguna evidencia propia de esa sede.</w:t>
      </w:r>
    </w:p>
    <w:p>
      <w:pPr>
        <w:pBdr>
          <w:left w:val="single" w:color="C07E00" w:sz="18" w:space="8"/>
        </w:pBdr>
        <w:shd w:fill="F2F1ED" w:val="clear"/>
        <w:spacing w:after="180" w:before="160" w:line="276"/>
        <w:ind w:left="160" w:right="160"/>
      </w:pPr>
      <w:r>
        <w:rPr>
          <w:b/>
          <w:bCs/>
          <w:sz w:val="21"/>
          <w:szCs w:val="21"/>
        </w:rPr>
        <w:t xml:space="preserve">Sobre el turno de una sede nueva. </w:t>
      </w:r>
      <w:r>
        <w:rPr>
          <w:sz w:val="21"/>
          <w:szCs w:val="21"/>
        </w:rPr>
        <w:t xml:space="preserve">Es la estimación más frágil de todo el modelo. El turno depende del perfil del alumnado de cada sede —Lima Norte y Lima Sur ni siquiera comparten catálogo de turnos— y una sede nueva no aporta ninguna información al respecto. Incorporar la modalidad mitiga el problema, porque una carrera a distancia es nocturna con independencia de la sede, pero no lo resuelve para la parte presencial. Conviene revisar ese reparto en cuanto exista un semestre de matrícula real.</w:t>
      </w:r>
    </w:p>
    <w:p>
      <w:pPr>
        <w:pBdr>
          <w:left w:val="single" w:color="C07E00" w:sz="18" w:space="8"/>
        </w:pBdr>
        <w:shd w:fill="F2F1ED" w:val="clear"/>
        <w:spacing w:after="180" w:before="160" w:line="276"/>
        <w:ind w:left="160" w:right="160"/>
      </w:pPr>
      <w:r>
        <w:rPr>
          <w:b/>
          <w:bCs/>
          <w:sz w:val="21"/>
          <w:szCs w:val="21"/>
        </w:rPr>
        <w:t xml:space="preserve">Lectura de cautela. </w:t>
      </w:r>
      <w:r>
        <w:rPr>
          <w:sz w:val="21"/>
          <w:szCs w:val="21"/>
        </w:rPr>
        <w:t xml:space="preserve">Que el modelo proyecte un programa nuevo no significa que acierte. Está aplicando el comportamiento medio de su modalidad a una población de la que no sabe nada, y un programa nuevo puede atraer un perfil de estudiante con retención distinta. La cifra es una hipótesis razonada de partida, no una previsión con la misma solidez que la de un programa consolidado. Conviene revisarla en cuanto existan dos o tres semestres de historia propia.</w:t>
      </w:r>
    </w:p>
    <w:p>
      <w:r>
        <w:br w:type="page"/>
      </w:r>
    </w:p>
    <w:p>
      <w:pPr>
        <w:pStyle w:val="Heading1"/>
        <w:spacing w:after="180" w:before="360"/>
      </w:pPr>
      <w:r>
        <w:rPr>
          <w:b/>
          <w:bCs/>
          <w:color w:val="12233F"/>
          <w:sz w:val="30"/>
          <w:szCs w:val="30"/>
        </w:rPr>
        <w:t xml:space="preserve">11. Limitaciones y mantenimiento</w:t>
      </w:r>
    </w:p>
    <w:p>
      <w:pPr>
        <w:pStyle w:val="Heading2"/>
        <w:spacing w:after="140" w:before="300"/>
      </w:pPr>
      <w:r>
        <w:rPr>
          <w:b/>
          <w:bCs/>
          <w:color w:val="12233F"/>
          <w:sz w:val="25"/>
          <w:szCs w:val="25"/>
        </w:rPr>
        <w:t xml:space="preserve">11.1 Limitaciones</w:t>
      </w:r>
    </w:p>
    <w:p>
      <w:pPr>
        <w:pStyle w:val="ListParagraph"/>
        <w:numPr>
          <w:ilvl w:val="0"/>
          <w:numId w:val="3"/>
        </w:numPr>
        <w:spacing w:after="90" w:line="276"/>
      </w:pPr>
      <w:r>
        <w:rPr>
          <w:b/>
          <w:bCs/>
          <w:sz w:val="21"/>
          <w:szCs w:val="21"/>
        </w:rPr>
        <w:t xml:space="preserve">La proyección es condicional al archivo de ingresantes. </w:t>
      </w:r>
      <w:r>
        <w:rPr>
          <w:sz w:val="21"/>
          <w:szCs w:val="21"/>
        </w:rPr>
        <w:t xml:space="preserve">El modelo no pronostica la admisión ni su reparto por modalidad. Si el supuesto de ingreso es erróneo, la proyección lo será en la misma medida, y el modelo no tiene forma de advertirlo.</w:t>
      </w:r>
    </w:p>
    <w:p>
      <w:pPr>
        <w:pStyle w:val="ListParagraph"/>
        <w:numPr>
          <w:ilvl w:val="0"/>
          <w:numId w:val="3"/>
        </w:numPr>
        <w:spacing w:after="90" w:line="276"/>
      </w:pPr>
      <w:r>
        <w:rPr>
          <w:b/>
          <w:bCs/>
          <w:sz w:val="21"/>
          <w:szCs w:val="21"/>
        </w:rPr>
        <w:t xml:space="preserve">Supone continuidad del comportamiento. </w:t>
      </w:r>
      <w:r>
        <w:rPr>
          <w:sz w:val="21"/>
          <w:szCs w:val="21"/>
        </w:rPr>
        <w:t xml:space="preserve">Un cambio de plan de estudios, de política de permanencia, de estructura de becas o de oferta de turnos y modalidades rompe el supuesto. La estimación lo recogerá con uno o dos semestres de retraso, no de inmediato.</w:t>
      </w:r>
    </w:p>
    <w:p>
      <w:pPr>
        <w:pStyle w:val="ListParagraph"/>
        <w:numPr>
          <w:ilvl w:val="0"/>
          <w:numId w:val="3"/>
        </w:numPr>
        <w:spacing w:after="90" w:line="276"/>
      </w:pPr>
      <w:r>
        <w:rPr>
          <w:b/>
          <w:bCs/>
          <w:sz w:val="21"/>
          <w:szCs w:val="21"/>
        </w:rPr>
        <w:t xml:space="preserve">La validación se apoya en seis comparaciones. </w:t>
      </w:r>
      <w:r>
        <w:rPr>
          <w:sz w:val="21"/>
          <w:szCs w:val="21"/>
        </w:rPr>
        <w:t xml:space="preserve">Es la información disponible con ocho semestres de historia. Las cifras del horizonte 3 descansan sobre una única observación y deben leerse como indicativas. Lo mismo vale para la magnitud exacta de la mejora atribuida a la modalidad en el apartado 6.5.</w:t>
      </w:r>
    </w:p>
    <w:p>
      <w:pPr>
        <w:pStyle w:val="ListParagraph"/>
        <w:numPr>
          <w:ilvl w:val="0"/>
          <w:numId w:val="3"/>
        </w:numPr>
        <w:spacing w:after="90" w:line="276"/>
      </w:pPr>
      <w:r>
        <w:rPr>
          <w:b/>
          <w:bCs/>
          <w:sz w:val="21"/>
          <w:szCs w:val="21"/>
        </w:rPr>
        <w:t xml:space="preserve">El nivel más desagregado es impreciso. </w:t>
      </w:r>
      <w:r>
        <w:rPr>
          <w:sz w:val="21"/>
          <w:szCs w:val="21"/>
        </w:rPr>
        <w:t xml:space="preserve">Un EPAP del 31 % en el cruce sede × carrera × modalidad × ciclo × turno refleja que muchas celdas tienen pocos estudiantes. A ese nivel, el intervalo de predicción es tan informativo como el punto.</w:t>
      </w:r>
    </w:p>
    <w:p>
      <w:pPr>
        <w:pStyle w:val="ListParagraph"/>
        <w:numPr>
          <w:ilvl w:val="0"/>
          <w:numId w:val="3"/>
        </w:numPr>
        <w:spacing w:after="90" w:line="276"/>
      </w:pPr>
      <w:r>
        <w:rPr>
          <w:b/>
          <w:bCs/>
          <w:sz w:val="21"/>
          <w:szCs w:val="21"/>
        </w:rPr>
        <w:t xml:space="preserve">La modalidad a distancia tiene historia corta en los ciclos altos. </w:t>
      </w:r>
      <w:r>
        <w:rPr>
          <w:sz w:val="21"/>
          <w:szCs w:val="21"/>
        </w:rPr>
        <w:t xml:space="preserve">Su matrícula no pasa todavía del ciclo 7, de modo que su continuación en los ciclos 8 a 11 y su ciclo terminal se estiman por contracción hacia el perfil general, no con evidencia propia. Es la parte del modelo que más se beneficiará de cada semestre nuevo.</w:t>
      </w:r>
    </w:p>
    <w:p>
      <w:pPr>
        <w:pStyle w:val="ListParagraph"/>
        <w:numPr>
          <w:ilvl w:val="0"/>
          <w:numId w:val="3"/>
        </w:numPr>
        <w:spacing w:after="90" w:line="276"/>
      </w:pPr>
      <w:r>
        <w:rPr>
          <w:b/>
          <w:bCs/>
          <w:sz w:val="21"/>
          <w:szCs w:val="21"/>
        </w:rPr>
        <w:t xml:space="preserve">El semestre 2026-II estaba incompleto. </w:t>
      </w:r>
      <w:r>
        <w:rPr>
          <w:sz w:val="21"/>
          <w:szCs w:val="21"/>
        </w:rPr>
        <w:t xml:space="preserve">Afecta al punto de partida de la recursión y a las comparaciones de validación que apuntan a ese semestre. Conviene reestimar con el cierre definitivo.</w:t>
      </w:r>
    </w:p>
    <w:p>
      <w:pPr>
        <w:pStyle w:val="ListParagraph"/>
        <w:numPr>
          <w:ilvl w:val="0"/>
          <w:numId w:val="3"/>
        </w:numPr>
        <w:spacing w:after="90" w:line="276"/>
      </w:pPr>
      <w:r>
        <w:rPr>
          <w:b/>
          <w:bCs/>
          <w:sz w:val="21"/>
          <w:szCs w:val="21"/>
        </w:rPr>
        <w:t xml:space="preserve">Los programas nuevos heredan comportamiento ajeno. </w:t>
      </w:r>
      <w:r>
        <w:rPr>
          <w:sz w:val="21"/>
          <w:szCs w:val="21"/>
        </w:rPr>
        <w:t xml:space="preserve">Es la mejor estimación disponible sin historia propia, pero no equivale a una proyección basada en evidencia del propio programa.</w:t>
      </w:r>
    </w:p>
    <w:p>
      <w:pPr>
        <w:pStyle w:val="ListParagraph"/>
        <w:numPr>
          <w:ilvl w:val="0"/>
          <w:numId w:val="3"/>
        </w:numPr>
        <w:spacing w:after="90" w:line="276"/>
      </w:pPr>
      <w:r>
        <w:rPr>
          <w:b/>
          <w:bCs/>
          <w:sz w:val="21"/>
          <w:szCs w:val="21"/>
        </w:rPr>
        <w:t xml:space="preserve">El tope de maduración es una restricción, no una predicción. </w:t>
      </w:r>
      <w:r>
        <w:rPr>
          <w:sz w:val="21"/>
          <w:szCs w:val="21"/>
        </w:rPr>
        <w:t xml:space="preserve">Establece qué ciclos puede ofrecer una sede recién abierta, pero supone que el despliegue avanza un ciclo por semestre sin interrupción. Si la sede abriera dos ciclos a la vez, o retrasara la apertura de uno, habría que reflejarlo en los datos y reestimar.</w:t>
      </w:r>
    </w:p>
    <w:p>
      <w:pPr>
        <w:pStyle w:val="Heading2"/>
        <w:spacing w:after="140" w:before="300"/>
      </w:pPr>
      <w:r>
        <w:rPr>
          <w:b/>
          <w:bCs/>
          <w:color w:val="12233F"/>
          <w:sz w:val="25"/>
          <w:szCs w:val="25"/>
        </w:rPr>
        <w:t xml:space="preserve">11.2 Cuándo reestimar</w:t>
      </w:r>
    </w:p>
    <w:p>
      <w:pPr>
        <w:spacing w:after="120" w:before="0" w:line="276"/>
      </w:pPr>
      <w:r>
        <w:rPr>
          <w:color w:val="000000"/>
          <w:sz w:val="21"/>
          <w:szCs w:val="21"/>
        </w:rPr>
        <w:t xml:space="preserve">El modelo lleva incorporados los conteos de transición semestre a semestre, de modo que puede reestimarse dentro del navegador moviendo los parámetros de recencia y contracción. Lo que no puede hacer por sí solo es incorporar semestres nuevos: para eso hay que regenerar el archivo con la base actualizada.</w:t>
      </w:r>
    </w:p>
    <w:p>
      <w:pPr>
        <w:pStyle w:val="ListParagraph"/>
        <w:numPr>
          <w:ilvl w:val="0"/>
          <w:numId w:val="2"/>
        </w:numPr>
        <w:spacing w:after="90" w:line="276"/>
      </w:pPr>
      <w:r>
        <w:rPr>
          <w:b/>
          <w:bCs/>
          <w:sz w:val="21"/>
          <w:szCs w:val="21"/>
        </w:rPr>
        <w:t xml:space="preserve">Cada semestre, </w:t>
      </w:r>
      <w:r>
        <w:rPr>
          <w:sz w:val="21"/>
          <w:szCs w:val="21"/>
        </w:rPr>
        <w:t xml:space="preserve">al cerrar la matrícula: añadir el semestre a la base y regenerar. Se gana un origen de validación y se actualiza el punto de partida.</w:t>
      </w:r>
    </w:p>
    <w:p>
      <w:pPr>
        <w:pStyle w:val="ListParagraph"/>
        <w:numPr>
          <w:ilvl w:val="0"/>
          <w:numId w:val="2"/>
        </w:numPr>
        <w:spacing w:after="90" w:line="276"/>
      </w:pPr>
      <w:r>
        <w:rPr>
          <w:b/>
          <w:bCs/>
          <w:sz w:val="21"/>
          <w:szCs w:val="21"/>
        </w:rPr>
        <w:t xml:space="preserve">Ante un cambio estructural </w:t>
      </w:r>
      <w:r>
        <w:rPr>
          <w:sz w:val="21"/>
          <w:szCs w:val="21"/>
        </w:rPr>
        <w:t xml:space="preserve">—nuevo plan de estudios, nueva sede, nueva modalidad en una carrera, cambio en la política de turnos—: reestimar y comprobar si las constantes de contracción y la λ seleccionada se desplazan.</w:t>
      </w:r>
    </w:p>
    <w:p>
      <w:pPr>
        <w:pStyle w:val="ListParagraph"/>
        <w:numPr>
          <w:ilvl w:val="0"/>
          <w:numId w:val="2"/>
        </w:numPr>
        <w:spacing w:after="90" w:line="276"/>
      </w:pPr>
      <w:r>
        <w:rPr>
          <w:b/>
          <w:bCs/>
          <w:sz w:val="21"/>
          <w:szCs w:val="21"/>
        </w:rPr>
        <w:t xml:space="preserve">Si el error fuera de muestra se degrada </w:t>
      </w:r>
      <w:r>
        <w:rPr>
          <w:sz w:val="21"/>
          <w:szCs w:val="21"/>
        </w:rPr>
        <w:t xml:space="preserve">de forma sostenida por encima del 3 % en el total: es señal de que algo cambió en el comportamiento y conviene revisar la especificación, no sólo reestimar.</w:t>
      </w:r>
    </w:p>
    <w:p>
      <w:pPr>
        <w:pStyle w:val="ListParagraph"/>
        <w:numPr>
          <w:ilvl w:val="0"/>
          <w:numId w:val="2"/>
        </w:numPr>
        <w:spacing w:after="90" w:line="276"/>
      </w:pPr>
      <w:r>
        <w:rPr>
          <w:b/>
          <w:bCs/>
          <w:sz w:val="21"/>
          <w:szCs w:val="21"/>
        </w:rPr>
        <w:t xml:space="preserve">Si la λ seleccionada se va al borde de la rejilla, </w:t>
      </w:r>
      <w:r>
        <w:rPr>
          <w:sz w:val="21"/>
          <w:szCs w:val="21"/>
        </w:rPr>
        <w:t xml:space="preserve">como ocurría sin la dimensión de modalidad: es el síntoma de una variable relevante omitida, y conviene buscarla antes de aceptar la proyección.</w:t>
      </w:r>
    </w:p>
    <w:p>
      <w:pPr>
        <w:pStyle w:val="Heading2"/>
        <w:spacing w:after="140" w:before="300"/>
      </w:pPr>
      <w:r>
        <w:rPr>
          <w:b/>
          <w:bCs/>
          <w:color w:val="12233F"/>
          <w:sz w:val="25"/>
          <w:szCs w:val="25"/>
        </w:rPr>
        <w:t xml:space="preserve">11.3 Reproducibilidad</w:t>
      </w:r>
    </w:p>
    <w:p>
      <w:pPr>
        <w:spacing w:after="120" w:before="0" w:line="276"/>
      </w:pPr>
      <w:r>
        <w:rPr>
          <w:color w:val="000000"/>
          <w:sz w:val="21"/>
          <w:szCs w:val="21"/>
        </w:rPr>
        <w:t xml:space="preserve">Todo el procedimiento es determinista. Con la misma base histórica y el mismo archivo de ingresantes, el modelo devuelve exactamente las mismas cifras: no hay simulación, muestreo aleatorio ni semillas.</w:t>
      </w:r>
    </w:p>
    <w:p>
      <w:pPr>
        <w:spacing w:after="120" w:before="0" w:line="276"/>
      </w:pPr>
      <w:r>
        <w:rPr>
          <w:sz w:val="21"/>
          <w:szCs w:val="21"/>
        </w:rPr>
        <w:t xml:space="preserve">La implementación de referencia se escribió en Python (pandas, numpy, scipy y statsmodels) y el motor de producción en JavaScript dentro del HTML. Ambos se verificaron sobre el mismo conjunto de parámetros y el mismo caso de prueba: sobre seis semestres proyectados, los totales, las desviaciones típicas y el desglose por modalidad coinciden con una diferencia relativa máxima del orden de 10⁻¹⁶ —el epsilon de la doble precisión— y las constantes de contracción, del orden de 10⁻¹⁵. Lo que queda es el orden de acumulación en coma flotante, no diferencia de lógica.</w:t>
      </w:r>
    </w:p>
    <w:p>
      <w:pPr>
        <w:pBdr>
          <w:left w:val="single" w:color="C07E00" w:sz="18" w:space="8"/>
        </w:pBdr>
        <w:shd w:fill="F2F1ED" w:val="clear"/>
        <w:spacing w:after="180" w:before="160" w:line="276"/>
        <w:ind w:left="160" w:right="160"/>
      </w:pPr>
      <w:r>
        <w:rPr>
          <w:b/>
          <w:bCs/>
          <w:sz w:val="21"/>
          <w:szCs w:val="21"/>
        </w:rPr>
        <w:t xml:space="preserve">Por qué dos implementaciones. </w:t>
      </w:r>
      <w:r>
        <w:rPr>
          <w:sz w:val="21"/>
          <w:szCs w:val="21"/>
        </w:rPr>
        <w:t xml:space="preserve">La versión en Python permite usar bibliotecas econométricas contrastadas para el GLM y los contrastes estadísticos, y sirve de referencia frente a la cual verificar el motor del navegador. La versión en JavaScript es la que el usuario ejecuta, sin instalar nada. La verificación cruzada entre ambas es la garantía de que lo que se documenta aquí es lo que el modelo calcula.</w:t>
      </w:r>
    </w:p>
    <w:p>
      <w:r>
        <w:br w:type="page"/>
      </w:r>
    </w:p>
    <w:p>
      <w:pPr>
        <w:pStyle w:val="Heading1"/>
        <w:spacing w:after="180" w:before="360"/>
      </w:pPr>
      <w:r>
        <w:rPr>
          <w:b/>
          <w:bCs/>
          <w:color w:val="12233F"/>
          <w:sz w:val="30"/>
          <w:szCs w:val="30"/>
        </w:rPr>
        <w:t xml:space="preserve">Anexo A. Parámetros estimados</w:t>
      </w:r>
    </w:p>
    <w:p>
      <w:pPr>
        <w:pStyle w:val="Heading2"/>
        <w:spacing w:after="140" w:before="300"/>
      </w:pPr>
      <w:r>
        <w:rPr>
          <w:b/>
          <w:bCs/>
          <w:color w:val="12233F"/>
          <w:sz w:val="25"/>
          <w:szCs w:val="25"/>
        </w:rPr>
        <w:t xml:space="preserve">A.1 Continuación por ciclo y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550"/>
        <w:gridCol w:w="1550"/>
        <w:gridCol w:w="1550"/>
        <w:gridCol w:w="152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1</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2</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3</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4</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28 870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60,5 %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15 622</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81,4 %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13 403</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86,6 %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10 613</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9 418</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89,8 %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7 149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90,2 %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7 132</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5 579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90,3 %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5 220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92,7 %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4 708</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47,1 %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2 085</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bl>
    <w:p>
      <w:pPr>
        <w:spacing w:after="220" w:before="80"/>
      </w:pPr>
      <w:r>
        <w:rPr>
          <w:b/>
          <w:bCs/>
          <w:color w:val="52514E"/>
          <w:sz w:val="17"/>
          <w:szCs w:val="17"/>
        </w:rPr>
        <w:t xml:space="preserve">Tabla 35. </w:t>
      </w:r>
      <w:r>
        <w:rPr>
          <w:color w:val="52514E"/>
          <w:sz w:val="17"/>
          <w:szCs w:val="17"/>
        </w:rPr>
        <w:t xml:space="preserve">Probabilidad de que la siguiente matrícula ocurra L semestres después, por ciclo de origen. Valores con la ponderación de recencia λ = 0,65 activa; las observaciones son el recuento sin ponderar. La caída de los ciclos 10 y 11 corresponde al egreso. Nótese que el reingreso tras pausa (L ≥ 2) es menos frecuente en el ciclo 1: quien abandona en el primer ciclo rara vez vuelve.</w:t>
      </w:r>
    </w:p>
    <w:p>
      <w:pPr>
        <w:pStyle w:val="Heading2"/>
        <w:spacing w:after="140" w:before="300"/>
      </w:pPr>
      <w:r>
        <w:rPr>
          <w:b/>
          <w:bCs/>
          <w:color w:val="12233F"/>
          <w:sz w:val="25"/>
          <w:szCs w:val="25"/>
        </w:rPr>
        <w:t xml:space="preserve">A.2 Continuación por modalidad y ciclo</w:t>
      </w:r>
    </w:p>
    <w:p>
      <w:pPr>
        <w:spacing w:after="120" w:before="0" w:line="276"/>
      </w:pPr>
      <w:r>
        <w:rPr>
          <w:color w:val="000000"/>
          <w:sz w:val="21"/>
          <w:szCs w:val="21"/>
        </w:rPr>
        <w:t xml:space="preserve">Tasas de continuación a un semestre (L = 1) tal como las emplea el modelo: contraídas hacia el perfil del ciclo y ponderadas por recencia, promediadas sobre las dos paridades. Son las que entran en la recursión.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Presencial</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Semi Presencial</w:t>
            </w:r>
          </w:p>
        </w:tc>
        <w:tc>
          <w:tcPr>
            <w:tcW w:type="dxa" w:w="2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 distancia</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68,9 %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56,6 %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42,2 %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82,5 %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81,8 %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76,8 %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86,1 %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85,2 %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87,5 %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87,7 %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87,3 %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88,5 %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88,6 %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89,1 %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91,0 %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92,5 %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90,0 %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93,4 %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90,4 %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90,0 %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90,3 %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97,3 %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92,5 %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47,0 %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47,6 %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47,1 %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17,0 %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r>
    </w:tbl>
    <w:p>
      <w:pPr>
        <w:spacing w:after="220" w:before="80"/>
      </w:pPr>
      <w:r>
        <w:rPr>
          <w:b/>
          <w:bCs/>
          <w:color w:val="52514E"/>
          <w:sz w:val="17"/>
          <w:szCs w:val="17"/>
        </w:rPr>
        <w:t xml:space="preserve">Tabla 36. </w:t>
      </w:r>
      <w:r>
        <w:rPr>
          <w:color w:val="52514E"/>
          <w:sz w:val="17"/>
          <w:szCs w:val="17"/>
        </w:rPr>
        <w:t xml:space="preserve">Continuación a un semestre por modalidad y ciclo. La brecha se concentra en los dos primeros ciclos y se cierra a partir del cuarto; en los ciclos 8 a 11 la modalidad a distancia no tiene evidencia propia y los valores proceden de la contracción hacia el perfil general.</w:t>
      </w:r>
    </w:p>
    <w:p>
      <w:pPr>
        <w:spacing w:after="120" w:before="0" w:line="276"/>
      </w:pPr>
      <w:r>
        <w:rPr>
          <w:color w:val="000000"/>
          <w:sz w:val="21"/>
          <w:szCs w:val="21"/>
        </w:rPr>
        <w:t xml:space="preserve">Difieren ligeramente de las del apartado 4.2, que agrupan los conteos observados sin contraerlos: la diferencia es exactamente el peso que el estimador concede al perfil general del ciclo frente a la evidencia propia de cada modalidad, y es mayor donde esa evidencia escasea.</w:t>
      </w:r>
    </w:p>
    <w:p>
      <w:pPr>
        <w:spacing w:after="120" w:before="0" w:line="276"/>
      </w:pPr>
      <w:r>
        <w:rPr>
          <w:sz w:val="21"/>
          <w:szCs w:val="21"/>
        </w:rPr>
        <w:t xml:space="preserve">Las tres columnas convergen a partir del ciclo 4 y la caída terminal de los ciclos 10 y 11 es común: el egreso no depende de la modalidad. La diferencia de comportamiento está en la </w:t>
      </w:r>
      <w:r>
        <w:rPr>
          <w:b/>
          <w:bCs/>
          <w:sz w:val="21"/>
          <w:szCs w:val="21"/>
        </w:rPr>
        <w:t xml:space="preserve">entrada</w:t>
      </w:r>
      <w:r>
        <w:rPr>
          <w:sz w:val="21"/>
          <w:szCs w:val="21"/>
        </w:rPr>
        <w:t xml:space="preserve">, no en la permanencia ni en la salida.</w:t>
      </w:r>
    </w:p>
    <w:p>
      <w:pPr>
        <w:pStyle w:val="Heading2"/>
        <w:spacing w:after="140" w:before="300"/>
      </w:pPr>
      <w:r>
        <w:rPr>
          <w:b/>
          <w:bCs/>
          <w:color w:val="12233F"/>
          <w:sz w:val="25"/>
          <w:szCs w:val="25"/>
        </w:rPr>
        <w:t xml:space="preserve">A.3 Ciclos del plan por carrera</w:t>
      </w:r>
    </w:p>
    <w:p>
      <w:pPr>
        <w:spacing w:after="120" w:before="0" w:line="276"/>
      </w:pPr>
      <w:r>
        <w:rPr>
          <w:color w:val="000000"/>
          <w:sz w:val="21"/>
          <w:szCs w:val="21"/>
        </w:rPr>
        <w:t xml:space="preserve">El ciclo terminal se infiere del comportamiento de continuación observado. Las carreras cuyo historial no alcanza aún los ciclos superiores conservan el valor por defecto de diez ciclos.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400"/>
        <w:gridCol w:w="3126"/>
      </w:tblGrid>
      <w:tr>
        <w:trPr>
          <w:tblHeader/>
        </w:trPr>
        <w:tc>
          <w:tcPr>
            <w:tcW w:type="dxa" w:w="4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Carrera</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w:t>
            </w:r>
          </w:p>
        </w:tc>
        <w:tc>
          <w:tcPr>
            <w:tcW w:type="dxa" w:w="3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Origen del valor</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DERECHO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(87,8 %).</w:t>
            </w:r>
          </w:p>
        </w:tc>
      </w:tr>
      <w:tr>
        <w:tc>
          <w:tcPr>
            <w:tcW w:type="dxa" w:w="4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PSICOLOGÍA</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(93,6 %).</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23 carreras restantes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o valor por defecto en las carreras censuradas.</w:t>
            </w:r>
          </w:p>
        </w:tc>
      </w:tr>
    </w:tbl>
    <w:p>
      <w:pPr>
        <w:spacing w:after="220" w:before="80"/>
      </w:pPr>
      <w:r>
        <w:rPr>
          <w:b/>
          <w:bCs/>
          <w:color w:val="52514E"/>
          <w:sz w:val="17"/>
          <w:szCs w:val="17"/>
        </w:rPr>
        <w:t xml:space="preserve">Tabla 37. </w:t>
      </w:r>
      <w:r>
        <w:rPr>
          <w:color w:val="52514E"/>
          <w:sz w:val="17"/>
          <w:szCs w:val="17"/>
        </w:rPr>
        <w:t xml:space="preserve">Duración del plan de estudios por carrera.</w:t>
      </w:r>
    </w:p>
    <w:p>
      <w:pPr>
        <w:pStyle w:val="Heading2"/>
        <w:spacing w:after="140" w:before="300"/>
      </w:pPr>
      <w:r>
        <w:rPr>
          <w:b/>
          <w:bCs/>
          <w:color w:val="12233F"/>
          <w:sz w:val="25"/>
          <w:szCs w:val="25"/>
        </w:rPr>
        <w:t xml:space="preserve">A.4 Oferta por modalidad</w:t>
      </w:r>
    </w:p>
    <w:p>
      <w:pPr>
        <w:spacing w:after="120" w:before="0" w:line="276"/>
      </w:pPr>
      <w:r>
        <w:rPr>
          <w:color w:val="000000"/>
          <w:sz w:val="21"/>
          <w:szCs w:val="21"/>
        </w:rPr>
        <w:t xml:space="preserve">De las 150 combinaciones teóricas de sede, carrera y modalidad sólo existen 83. El modelo respeta esa restricción tanto al proyectar continuadores como al repartir ingresantes sin modalidad declarada.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38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Restricción de oferta</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Alcance</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Consecuencia en la proyección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sólo presenciales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Enfermería, Obstetricia, Farmacia y Bioquímica, Ingeniería Biomédica, Ciencias de la Comunicación y las dos de Tecnología Médica.</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dos modalidades</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6 de 25</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entre las dos disponibles.</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las tres modalidades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12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completo.</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sin «A distancia»</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sede imparte 17 carreras, en modalidad presencial y semipresencial.</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las tres modalidades</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25 carreras.</w:t>
            </w:r>
          </w:p>
        </w:tc>
      </w:tr>
    </w:tbl>
    <w:p>
      <w:pPr>
        <w:spacing w:after="220" w:before="80"/>
      </w:pPr>
      <w:r>
        <w:rPr>
          <w:b/>
          <w:bCs/>
          <w:color w:val="52514E"/>
          <w:sz w:val="17"/>
          <w:szCs w:val="17"/>
        </w:rPr>
        <w:t xml:space="preserve">Tabla 38. </w:t>
      </w:r>
      <w:r>
        <w:rPr>
          <w:color w:val="52514E"/>
          <w:sz w:val="17"/>
          <w:szCs w:val="17"/>
        </w:rPr>
        <w:t xml:space="preserve">Estructura de la oferta por modalidad, tal como la detecta el modelo del histórico.</w:t>
      </w:r>
    </w:p>
    <w:p>
      <w:pPr>
        <w:pStyle w:val="Heading2"/>
        <w:spacing w:after="140" w:before="300"/>
      </w:pPr>
      <w:r>
        <w:rPr>
          <w:b/>
          <w:bCs/>
          <w:color w:val="12233F"/>
          <w:sz w:val="25"/>
          <w:szCs w:val="25"/>
        </w:rPr>
        <w:t xml:space="preserve">A.5 Continuación global por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Probabilidad</w:t>
            </w:r>
          </w:p>
        </w:tc>
        <w:tc>
          <w:tcPr>
            <w:tcW w:type="dxa" w:w="4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Interpretación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77,55 %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rematricula en el semestre inmediato siguiente.</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2,66 %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un semestre.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3</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0,87 %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dos semestres.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4</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0,39 %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tres semestres.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 vuelve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18,53 %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Deserción o egreso, según el ciclo.</w:t>
            </w:r>
          </w:p>
        </w:tc>
      </w:tr>
    </w:tbl>
    <w:p>
      <w:pPr>
        <w:spacing w:after="220" w:before="80"/>
      </w:pPr>
      <w:r>
        <w:rPr>
          <w:b/>
          <w:bCs/>
          <w:color w:val="52514E"/>
          <w:sz w:val="17"/>
          <w:szCs w:val="17"/>
        </w:rPr>
        <w:t xml:space="preserve">Tabla 39. </w:t>
      </w:r>
      <w:r>
        <w:rPr>
          <w:color w:val="52514E"/>
          <w:sz w:val="17"/>
          <w:szCs w:val="17"/>
        </w:rPr>
        <w:t xml:space="preserve">Continuación global por rezago, con la ponderación de recencia activa.</w:t>
      </w:r>
    </w:p>
    <w:p>
      <w:r>
        <w:br w:type="page"/>
      </w:r>
    </w:p>
    <w:p>
      <w:pPr>
        <w:pStyle w:val="Heading1"/>
        <w:spacing w:after="180" w:before="360"/>
      </w:pPr>
      <w:r>
        <w:rPr>
          <w:b/>
          <w:bCs/>
          <w:color w:val="12233F"/>
          <w:sz w:val="30"/>
          <w:szCs w:val="30"/>
        </w:rPr>
        <w:t xml:space="preserve">Anexo B.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Término</w:t>
            </w:r>
          </w:p>
        </w:tc>
        <w:tc>
          <w:tcPr>
            <w:tcW w:type="dxa" w:w="6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Definición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Ablación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Contraste que ejecuta el procedimiento completo con y sin un componente para medir su aportación. Aquí se aplica a la dimensión de modalidad (apartado 6.5).</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Backtesting de origen móvil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 que reestima el modelo con datos hasta un corte y proyecta el resto, desplazando el corte. Evita usar información del futuro en la evaluación.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Cadena de Markov de cohortes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 en el que una población se reparte entre estados y avanza según probabilidades de transición estimadas.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Choque de periodo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Desviación de la tasa de continuación de un semestre respecto de su nivel esperado, común a todas las cohortes de ese semestre.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(shrinkage)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Combinar la estimación de una celda con la de un nivel más agregado, en proporción a la información disponible en cada uno.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Oaxaca-Blinder</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del cambio de una media entre la parte debida al cambio de composición de los grupos y la debida al cambio dentro de cada grupo (apartado 4.5.1).</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EPAP (WAPE)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porcentual absoluto ponderado: suma de errores absolutos dividida por la suma de observados. Pondera cada celda por su tamaño.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Empírico-Bayes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Enfoque en que los parámetros de la distribución a priori se estiman de los propios datos en lugar de fijarse de antemano.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Escala logit</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Transformación log(p/(1−p)) que lleva una probabilidad a toda la recta real. Un desplazamiento en logit nunca produce probabilidades fuera de [0, 1].</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GLM binomial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Modelo lineal generalizado para variable dependiente binaria; con enlace logit equivale a la regresión logística.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Intervalo de predicción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Rango en el que se espera que caiga el valor observado. Incluye la incertidumbre sistémica y el azar de realización.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Método de los momentos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Estimación que iguala momentos teóricos y muestrales. Aquí se usa para obtener la constante de contracción.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Régimen en que se cursa el programa: presencial, semipresencial o a distancia. En este modelo es un atributo conservado del estado que condiciona la continuación, el avance y el turno.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Paridad del semestre</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Si un semestre es el primero (I) o el segundo (II) del año. La continuación y la mezcla de turno difieren sistemáticamente entre ambos.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Restricción de oferta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Conjunto de combinaciones de sede, carrera y modalidad que la universidad imparte realmente. El modelo no genera matrícula fuera de ellas.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Rezago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semestres entre una matrícula y la siguiente del mismo estudiante. Un rezago mayor que 1 es un reingreso tras pausa.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Semivida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Antigüedad a la que el peso de recencia se reduce a la mitad: log(0,5)/log(λ).</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Tamaño muestral efectivo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 equivalentes de una estimación tras la ponderación de recencia y la contracción. Gobierna el error de parámetro.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Variable omitida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Regresor relevante ausente de la especificación, cuyo efecto se reparte entre los regresores incluidos y sesga sus coeficientes.</w:t>
            </w:r>
          </w:p>
        </w:tc>
      </w:tr>
    </w:tbl>
    <w:p>
      <w:pPr>
        <w:spacing w:after="220" w:before="80"/>
      </w:pPr>
      <w:r>
        <w:rPr>
          <w:b/>
          <w:bCs/>
          <w:color w:val="52514E"/>
          <w:sz w:val="17"/>
          <w:szCs w:val="17"/>
        </w:rPr>
        <w:t xml:space="preserve">Tabla 40. </w:t>
      </w:r>
      <w:r>
        <w:rPr>
          <w:color w:val="52514E"/>
          <w:sz w:val="17"/>
          <w:szCs w:val="17"/>
        </w:rPr>
        <w:t xml:space="preserve">Glosario de términos empleados en este documento.</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CFC8" w:sz="4" w:space="6"/>
      </w:pBdr>
      <w:spacing w:after="120"/>
      <w:jc w:val="right"/>
    </w:pPr>
    <w:r>
      <w:rPr>
        <w:color w:val="898781"/>
        <w:sz w:val="16"/>
        <w:szCs w:val="16"/>
      </w:rPr>
      <w:t xml:space="preserve">Modelo de proyección de matrícula semestral · Universidad Autónoma del Perú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2233F"/>
      <w:sz w:val="30"/>
      <w:szCs w:val="30"/>
    </w:rPr>
  </w:style>
  <w:style w:type="paragraph" w:styleId="Heading2">
    <w:name w:val="Heading 2"/>
    <w:basedOn w:val="Normal"/>
    <w:next w:val="Normal"/>
    <w:qFormat/>
    <w:rPr>
      <w:rFonts w:ascii="Calibri" w:cs="Calibri" w:eastAsia="Calibri" w:hAnsi="Calibri"/>
      <w:b/>
      <w:bCs/>
      <w:color w:val="12233F"/>
      <w:sz w:val="25"/>
      <w:szCs w:val="25"/>
    </w:rPr>
  </w:style>
  <w:style w:type="paragraph" w:styleId="Heading3">
    <w:name w:val="Heading 3"/>
    <w:basedOn w:val="Normal"/>
    <w:next w:val="Normal"/>
    <w:qFormat/>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829170987cded6353f049c3e8cefa0886350fc.png"/><Relationship Id="rId10" Type="http://schemas.openxmlformats.org/officeDocument/2006/relationships/image" Target="media/6c7d884deea51a454b62980e9ae745a5f696eede.png"/><Relationship Id="rId11" Type="http://schemas.openxmlformats.org/officeDocument/2006/relationships/image" Target="media/8567330c7be9c257fb2db3be8ae43de35fe1f6de.png"/><Relationship Id="rId12" Type="http://schemas.openxmlformats.org/officeDocument/2006/relationships/image" Target="media/f08370b5e2be43285efd9907f16d5f05d0389851.png"/><Relationship Id="rId13" Type="http://schemas.openxmlformats.org/officeDocument/2006/relationships/image" Target="media/babc533452551a32b32ac56fadc04da983cad3c6.png"/><Relationship Id="rId14" Type="http://schemas.openxmlformats.org/officeDocument/2006/relationships/image" Target="media/fbe2b7f206fad08cc02c0f4ed71db727ac6795d8.png"/><Relationship Id="rId15" Type="http://schemas.openxmlformats.org/officeDocument/2006/relationships/image" Target="media/f77e14a7d0d8c96da422212ec303d02fe78a56b9.png"/><Relationship Id="rId16" Type="http://schemas.openxmlformats.org/officeDocument/2006/relationships/image" Target="media/6d0afe515ca442e43ec3e5dc5191c71cc2f7f42e.png"/><Relationship Id="rId17" Type="http://schemas.openxmlformats.org/officeDocument/2006/relationships/image" Target="media/0ed5a3f671643cb5bf9026d786312af45bb70fb3.png"/><Relationship Id="rId18" Type="http://schemas.openxmlformats.org/officeDocument/2006/relationships/image" Target="media/e75ab4e5e69c361c018dc19852b68c5a55499fff.png"/><Relationship Id="rId19" Type="http://schemas.openxmlformats.org/officeDocument/2006/relationships/image" Target="media/64e30ad843fa1f8feac491a37733e517b374fb37.png"/><Relationship Id="rId20" Type="http://schemas.openxmlformats.org/officeDocument/2006/relationships/image" Target="media/4b1e55bccf4cfe01f4225b471eae384425f961c7.png"/><Relationship Id="rId21" Type="http://schemas.openxmlformats.org/officeDocument/2006/relationships/image" Target="media/925f7fde7ed53b53fa348cf8ebbaf835067d97ad.png"/><Relationship Id="rId22" Type="http://schemas.openxmlformats.org/officeDocument/2006/relationships/image" Target="media/120b255abe46ab316d92307f24b070c285b4ee9c.png"/><Relationship Id="rId23" Type="http://schemas.openxmlformats.org/officeDocument/2006/relationships/image" Target="media/86a1bf9112f2aa77340ce0efa6309075ec341b02.png"/><Relationship Id="rId24" Type="http://schemas.openxmlformats.org/officeDocument/2006/relationships/image" Target="media/9625b02a60b213f0311920d19d621e76fb0d36f7.png"/><Relationship Id="rId25" Type="http://schemas.openxmlformats.org/officeDocument/2006/relationships/image" Target="media/1c215fcc0611f924719d5c314850c9924028fe22.png"/><Relationship Id="rId26" Type="http://schemas.openxmlformats.org/officeDocument/2006/relationships/image" Target="media/10ab15dee29c9fc7f78c68f0a75ad3165cc102fe.png"/><Relationship Id="rId27" Type="http://schemas.openxmlformats.org/officeDocument/2006/relationships/image" Target="media/5830ed684056a6af7fb118dd1c2f512ce22222e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proyección de matrícula semestral</dc:title>
  <dc:creator>Universidad Autónoma del Perú</dc:creator>
  <dc:description>Especificación técnica, sustento econométrico y manual de uso</dc:description>
  <cp:lastModifiedBy>Un-named</cp:lastModifiedBy>
  <cp:revision>1</cp:revision>
  <dcterms:created xsi:type="dcterms:W3CDTF">2026-09-11T20:23:45.542Z</dcterms:created>
  <dcterms:modified xsi:type="dcterms:W3CDTF">2026-09-11T20:23:45.543Z</dcterms:modified>
</cp:coreProperties>
</file>

<file path=docProps/custom.xml><?xml version="1.0" encoding="utf-8"?>
<Properties xmlns="http://schemas.openxmlformats.org/officeDocument/2006/custom-properties" xmlns:vt="http://schemas.openxmlformats.org/officeDocument/2006/docPropsVTypes"/>
</file>