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pStyle w:val="Heading2"/>
        <w:spacing w:after="140" w:before="300"/>
      </w:pPr>
      <w:r>
        <w:rPr>
          <w:b/>
          <w:bCs/>
          <w:color w:val="12233F"/>
          <w:sz w:val="25"/>
          <w:szCs w:val="25"/>
        </w:rPr>
        <w:t xml:space="preserve">1.2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 típicas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4,4 %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4,8 %</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6,6 %</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10,5 %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10,9 %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~300</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 ×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38,0 %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40,4 %</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~700</w:t>
            </w:r>
          </w:p>
        </w:tc>
      </w:tr>
    </w:tbl>
    <w:p>
      <w:pPr>
        <w:spacing w:after="220" w:before="80"/>
      </w:pPr>
      <w:r>
        <w:rPr>
          <w:b/>
          <w:bCs/>
          <w:color w:val="52514E"/>
          <w:sz w:val="17"/>
          <w:szCs w:val="17"/>
        </w:rPr>
        <w:t xml:space="preserve">Tabla 1. </w:t>
      </w:r>
      <w:r>
        <w:rPr>
          <w:color w:val="52514E"/>
          <w:sz w:val="17"/>
          <w:szCs w:val="17"/>
        </w:rPr>
        <w:t xml:space="preserve">Error porcentual absoluto ponderado (EPAP) fuera de muestra, por nivel de agregación y horizonte en semestres. Tres orígenes de reestimación y seis comparaciones.</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pStyle w:val="Heading2"/>
        <w:spacing w:after="140" w:before="300"/>
      </w:pPr>
      <w:r>
        <w:rPr>
          <w:b/>
          <w:bCs/>
          <w:color w:val="12233F"/>
          <w:sz w:val="25"/>
          <w:szCs w:val="25"/>
        </w:rPr>
        <w:t xml:space="preserve">1.3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152,7 con 6 g.l., p ≈ 2·10⁻³⁰) y su desviación típica es de 0,103 en escala logit.</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1.4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 × turno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66,0 %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73,3 %</w:t>
            </w:r>
          </w:p>
        </w:tc>
      </w:tr>
    </w:tbl>
    <w:p>
      <w:pPr>
        <w:spacing w:after="220" w:before="80"/>
      </w:pPr>
      <w:r>
        <w:rPr>
          <w:b/>
          <w:bCs/>
          <w:color w:val="52514E"/>
          <w:sz w:val="17"/>
          <w:szCs w:val="17"/>
        </w:rPr>
        <w:t xml:space="preserve">Tabla 2.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83,1 %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w:t>
      </w:r>
    </w:p>
    <w:p>
      <w:pPr>
        <w:pStyle w:val="Heading2"/>
        <w:spacing w:after="140" w:before="300"/>
      </w:pPr>
      <w:r>
        <w:rPr>
          <w:b/>
          <w:bCs/>
          <w:color w:val="12233F"/>
          <w:sz w:val="25"/>
          <w:szCs w:val="25"/>
        </w:rPr>
        <w:t xml:space="preserve">1.5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250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y carreras,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3.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El encargo consiste en proyectar el total —ingresantes más continuadores— desagregado por semestre académico, sede, carrera,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4.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6.6 explica cómo, y el apartado 4.4 por qué no puede darse por constante.</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turno noche, que es justo lo que se necesita para programar aulas y docentes.</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o si un programa nuevo arranca con 60 ingresantes.</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3 560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16 770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5.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20 330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Calidad de los datos y decisiones de tratamiento</w:t>
      </w:r>
    </w:p>
    <w:p>
      <w:pPr>
        <w:pStyle w:val="Heading3"/>
        <w:spacing w:after="120" w:before="240"/>
      </w:pPr>
      <w:r>
        <w:rPr>
          <w:b/>
          <w:bCs/>
          <w:color w:val="52514E"/>
          <w:sz w:val="22"/>
          <w:szCs w:val="22"/>
        </w:rPr>
        <w:t xml:space="preserve">3.2.1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3.2.2 El semestre 2026-II estaba aún abierto</w:t>
      </w:r>
    </w:p>
    <w:p>
      <w:pPr>
        <w:spacing w:after="120" w:before="0" w:line="276"/>
      </w:pPr>
      <w:r>
        <w:rPr>
          <w:color w:val="000000"/>
          <w:sz w:val="21"/>
          <w:szCs w:val="21"/>
        </w:rPr>
        <w:t xml:space="preserve">La fecha máxima de matrícula registrada en 2026-II es el 10 de septiembre de 2026, y en los años anteriores la matrícula del segundo semestre seguía admitiendo altas hasta finales de septiembre. Es razonable concluir que 2026-II estaba todavía incompleto en el momento de la extracción.</w:t>
      </w:r>
    </w:p>
    <w:p>
      <w:pPr>
        <w:spacing w:after="120" w:before="0" w:line="276"/>
      </w:pPr>
      <w:r>
        <w:rPr>
          <w:color w:val="000000"/>
          <w:sz w:val="21"/>
          <w:szCs w:val="21"/>
        </w:rPr>
        <w:t xml:space="preserve">Esto tiene una consecuencia medible en la validación, que se documenta en el apartado 8.4: el sesgo aparente del modelo procede en su práctica totalidad de las proyecciones de ese semestre.</w:t>
      </w:r>
    </w:p>
    <w:p>
      <w:pPr>
        <w:pStyle w:val="Heading3"/>
        <w:spacing w:after="120" w:before="240"/>
      </w:pPr>
      <w:r>
        <w:rPr>
          <w:b/>
          <w:bCs/>
          <w:color w:val="52514E"/>
          <w:sz w:val="22"/>
          <w:szCs w:val="22"/>
        </w:rPr>
        <w:t xml:space="preserve">3.2.3 Registros duplicados</w:t>
      </w:r>
    </w:p>
    <w:p>
      <w:pPr>
        <w:spacing w:after="120" w:before="0" w:line="276"/>
      </w:pPr>
      <w:r>
        <w:rPr>
          <w:color w:val="000000"/>
          <w:sz w:val="21"/>
          <w:szCs w:val="21"/>
        </w:rPr>
        <w:t xml:space="preserve">Se detectó un único par estudiante-semestre duplicado en 130 130 registros. Se conserva una sola observación por estudiante y semestre, que es la unidad de análisis correcta para construir transiciones.</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Cinco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60,4 % en el primer ciclo al 92,5 %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carrera. Las carreras con poca evidencia toman prestada la estructura por ciclo, que es la que más señal contiene.</w:t>
      </w:r>
    </w:p>
    <w:p>
      <w:pPr>
        <w:pStyle w:val="Heading2"/>
        <w:spacing w:after="140" w:before="300"/>
      </w:pPr>
      <w:r>
        <w:rPr>
          <w:b/>
          <w:bCs/>
          <w:color w:val="12233F"/>
          <w:sz w:val="25"/>
          <w:szCs w:val="25"/>
        </w:rPr>
        <w:t xml:space="preserve">4.2 La caída de los últimos ciclos es egreso, no deserción</w:t>
      </w:r>
    </w:p>
    <w:p>
      <w:pPr>
        <w:spacing w:after="120" w:before="0" w:line="276"/>
      </w:pPr>
      <w:r>
        <w:rPr>
          <w:color w:val="000000"/>
          <w:sz w:val="21"/>
          <w:szCs w:val="21"/>
        </w:rPr>
        <w:t xml:space="preserve">La continuación se desploma en el ciclo 10 (46,5 %) y el 11 (15,3 %).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4.3 Un 2,6 %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6.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4.4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33525"/>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Matriz de transición de turno por sede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 Es un cambio estructural de la demanda, no ruido.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7. </w:t>
      </w:r>
      <w:r>
        <w:rPr>
          <w:color w:val="52514E"/>
          <w:sz w:val="17"/>
          <w:szCs w:val="17"/>
        </w:rPr>
        <w:t xml:space="preserve">Composición por turno de los ingresantes. El turno Diurno aparece con la apertura de la sede Lima Norte en 2026-I.</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Promediar los ocho semestres para estimar el reparto por turno de los futuros ingresantes daría un peso injustificado a una composición que ya no existe. De ahí la ponderación exponencial de recencia del apartado 6.5, cuyo parámetro se elige por validación cruzada y no por criterio.</w:t>
      </w:r>
    </w:p>
    <w:p>
      <w:pPr>
        <w:pStyle w:val="Heading2"/>
        <w:spacing w:after="140" w:before="300"/>
      </w:pPr>
      <w:r>
        <w:rPr>
          <w:b/>
          <w:bCs/>
          <w:color w:val="12233F"/>
          <w:sz w:val="25"/>
          <w:szCs w:val="25"/>
        </w:rPr>
        <w:t xml:space="preserve">4.5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Este componente sistémico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k, u) = N(T, s, c, k, u)</w:t>
      </w:r>
    </w:p>
    <w:p>
      <w:pPr>
        <w:shd w:fill="F2F1ED" w:val="clear"/>
        <w:spacing w:after="0" w:before="0" w:line="260"/>
        <w:ind w:left="200" w:right="200"/>
      </w:pPr>
      <w:r>
        <w:rPr>
          <w:rFonts w:ascii="Consolas" w:cs="Consolas" w:eastAsia="Consolas" w:hAnsi="Consolas"/>
          <w:sz w:val="18"/>
          <w:szCs w:val="18"/>
        </w:rPr>
        <w:t xml:space="preserve">                 + Σ       Σ     M(T−L, s, c, k′, u′) · φ_L(k′,u′ → k,u)</w:t>
      </w:r>
    </w:p>
    <w:p>
      <w:pPr>
        <w:shd w:fill="F2F1ED" w:val="clear"/>
        <w:spacing w:after="0" w:before="0" w:line="260"/>
        <w:ind w:left="200" w:right="200"/>
      </w:pPr>
      <w:r>
        <w:rPr>
          <w:rFonts w:ascii="Consolas" w:cs="Consolas" w:eastAsia="Consolas" w:hAnsi="Consolas"/>
          <w:sz w:val="18"/>
          <w:szCs w:val="18"/>
        </w:rPr>
        <w:t xml:space="preserve">                  L=1..4  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con  φ_L(k′,u′ → k,u) = q_L(s, c, k′, p′) · A(k′→k | c, k′) · U(u′→u | s, 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6.6.</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k, u</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ciclo y turno. Las primas indican el estado de origen.</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8. </w:t>
      </w:r>
      <w:r>
        <w:rPr>
          <w:color w:val="52514E"/>
          <w:sz w:val="17"/>
          <w:szCs w:val="17"/>
        </w:rPr>
        <w:t xml:space="preserve">Notación de la ecuación de recursión.</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8,3 %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3,4 %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9. </w:t>
      </w:r>
      <w:r>
        <w:rPr>
          <w:color w:val="52514E"/>
          <w:sz w:val="17"/>
          <w:szCs w:val="17"/>
        </w:rPr>
        <w:t xml:space="preserve">Distribución agregada del salto de ciclo entre continuadores.</w:t>
      </w:r>
    </w:p>
    <w:p>
      <w:pPr>
        <w:spacing w:after="120" w:before="0" w:line="276"/>
      </w:pPr>
      <w:r>
        <w:rPr>
          <w:color w:val="000000"/>
          <w:sz w:val="21"/>
          <w:szCs w:val="21"/>
        </w:rPr>
        <w:t xml:space="preserve">El 8,3 % que repite ciclo es el que hace que una proyección ingenua de «todos avanzan un ciclo» acumule error: al cabo de seis semestres desplaza la distribución de la matrícula por ciclos de forma apreciable. La distribución se estima por carrera y ciclo, contraída hacia el perfil del ciclo.</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5.5 Transición de turno</w:t>
      </w:r>
    </w:p>
    <w:p>
      <w:pPr>
        <w:spacing w:after="120" w:before="0" w:line="276"/>
      </w:pPr>
      <w:r>
        <w:rPr>
          <w:color w:val="000000"/>
          <w:sz w:val="21"/>
          <w:szCs w:val="21"/>
        </w:rPr>
        <w:t xml:space="preserve">La matriz de transición de turno se estima por sede y ciclo, contraída hacia la matriz de la sede. Estimarla por sede es imprescindible porque el catálogo de turnos difiere entre ambas.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21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y turno de origen</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 Diurno</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387</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 Noche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269</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 Mañana</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74,5 %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4 876</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 Noche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5,4 %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89,3 %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8 156</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 Tarde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24,1 %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59,1 %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16,9 %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952</w:t>
            </w:r>
          </w:p>
        </w:tc>
      </w:tr>
    </w:tbl>
    <w:p>
      <w:pPr>
        <w:spacing w:after="220" w:before="80"/>
      </w:pPr>
      <w:r>
        <w:rPr>
          <w:b/>
          <w:bCs/>
          <w:color w:val="52514E"/>
          <w:sz w:val="17"/>
          <w:szCs w:val="17"/>
        </w:rPr>
        <w:t xml:space="preserve">Tabla 10. </w:t>
      </w:r>
      <w:r>
        <w:rPr>
          <w:color w:val="52514E"/>
          <w:sz w:val="17"/>
          <w:szCs w:val="17"/>
        </w:rPr>
        <w:t xml:space="preserve">Matriz de transición de turno, ponderada por recencia. Las observaciones son el tamaño muestral efectivo tras la ponderación.</w:t>
      </w:r>
    </w:p>
    <w:p>
      <w:pPr>
        <w:spacing w:after="120" w:before="0" w:line="276"/>
      </w:pPr>
      <w:r>
        <w:rPr>
          <w:color w:val="000000"/>
          <w:sz w:val="21"/>
          <w:szCs w:val="21"/>
        </w:rPr>
        <w:t xml:space="preserve">Dos lecturas conviene destacar. El turno noche es muy estable —casi nueve de cada diez permanecen—, mientras que el turno tarde es el más inestable: sólo un 16,9 % permanece y la mayoría migra a noche. Es coherente con un turno en retirada, como confirma la caída de su participación entre los ingresantes.</w:t>
      </w:r>
    </w:p>
    <w:p>
      <w:pPr>
        <w:pStyle w:val="Heading2"/>
        <w:spacing w:after="140" w:before="300"/>
      </w:pPr>
      <w:r>
        <w:rPr>
          <w:b/>
          <w:bCs/>
          <w:color w:val="12233F"/>
          <w:sz w:val="25"/>
          <w:szCs w:val="25"/>
        </w:rPr>
        <w:t xml:space="preserve">5.6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w:t>
      </w:r>
      <w:r>
        <w:rPr>
          <w:sz w:val="21"/>
          <w:szCs w:val="21"/>
        </w:rPr>
        <w:t xml:space="preserve">No es dimensión de salida del encargo. Su efecto sobre el turno —determinante— entra en el modelo a través de la composición histórica de cada carrera y sede, que ya lo incorpora.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ciclo, turno): 2 × 25 × 11 × 4 = 2 200 combinaciones,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160" w:before="140" w:line="260"/>
        <w:ind w:left="200" w:right="200"/>
      </w:pPr>
      <w:r>
        <w:rPr>
          <w:rFonts w:ascii="Consolas" w:cs="Consolas" w:eastAsia="Consolas" w:hAnsi="Consolas"/>
          <w:sz w:val="18"/>
          <w:szCs w:val="18"/>
        </w:rPr>
        <w:t xml:space="preserve">global  →  ciclo  →  ciclo × paridad  →  carrera × ciclo × paridad  →  celda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4326"/>
      </w:tblGrid>
      <w:tr>
        <w:trPr>
          <w:tblHeader/>
        </w:trPr>
        <w:tc>
          <w:tcPr>
            <w:tcW w:type="dxa" w:w="3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4,64</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y carreras: se cree bastante a cada celda.</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4,67</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ciclo.</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5,83</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5,89</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10 000 (tope)</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se detecta heterogeneidad entre celdas: el reingreso tras pausa se comporta igual en todas y se estima con la tasa agrupada.</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5,14</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carreras.</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y ciclo: apenas se contrae.</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moderada hacia el nivel de sede.</w:t>
            </w:r>
          </w:p>
        </w:tc>
      </w:tr>
    </w:tbl>
    <w:p>
      <w:pPr>
        <w:spacing w:after="220" w:before="80"/>
      </w:pPr>
      <w:r>
        <w:rPr>
          <w:b/>
          <w:bCs/>
          <w:color w:val="52514E"/>
          <w:sz w:val="17"/>
          <w:szCs w:val="17"/>
        </w:rPr>
        <w:t xml:space="preserve">Tabla 11.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 constante del rezago 2 a 4 alcance su tope es un hallazgo, no un fallo: el estimador está diciendo que el reingreso tras una pausa no depende de la carrera ni de la sede, y que conviene estimarlo con toda la muestra agrupada. Que la del turno caiga al mínimo dice lo contrario: cada combinación de sede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99 682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109 782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0,1345</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152,72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2,1·10⁻³⁰.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0,1081</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0,1026</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±0,0511</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12.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 el ciclo. Para ese fin, lo relevante es la significación del bloque de semestre, que es contundente.</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13. </w:t>
      </w:r>
      <w:r>
        <w:rPr>
          <w:color w:val="52514E"/>
          <w:sz w:val="17"/>
          <w:szCs w:val="17"/>
        </w:rPr>
        <w:t xml:space="preserve">Descomposición de la varianza de la tasa agregada de continuación.</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Ponderación exponencial de recencia</w:t>
      </w:r>
    </w:p>
    <w:p>
      <w:pPr>
        <w:pStyle w:val="Heading3"/>
        <w:spacing w:after="120" w:before="240"/>
      </w:pPr>
      <w:r>
        <w:rPr>
          <w:b/>
          <w:bCs/>
          <w:color w:val="52514E"/>
          <w:sz w:val="22"/>
          <w:szCs w:val="22"/>
        </w:rPr>
        <w:t xml:space="preserve">6.5.1 El problema</w:t>
      </w:r>
    </w:p>
    <w:p>
      <w:pPr>
        <w:spacing w:after="120" w:before="0" w:line="276"/>
      </w:pPr>
      <w:r>
        <w:rPr>
          <w:color w:val="000000"/>
          <w:sz w:val="21"/>
          <w:szCs w:val="21"/>
        </w:rPr>
        <w:t xml:space="preserve">El capítulo 4 documentó dos derivas estructurales: la retención cae en los semestres recientes y la composición por turno de los ingresantes se ha desplazado masivamente hacia el turno noche. Ponderar los ocho semestres por igual arrastra información caducada.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6.5.2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todos los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650"/>
        <w:gridCol w:w="1650"/>
        <w:gridCol w:w="1650"/>
        <w:gridCol w:w="1650"/>
        <w:gridCol w:w="127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Total</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Sede×Carr.</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S×C×Ciclo</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Criterio combinado</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2,445 %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3,850 %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10,756 %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9,854 %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+420</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2,314 %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3,747 %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10,765 %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9,759 %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+377</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2,181 %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3,642 %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10,802 %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9,678 %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2,098 %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3,571 %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10,871 %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9,637 %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0,55</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2,074 %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3,541 %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10,906 %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9,626 %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2,056 %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3,521 %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10,951 %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9,624 %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0,40</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3,485 %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11,069 %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9,630 %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1,986 %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3,464 %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11,223 %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9,659 %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w:t>
            </w:r>
          </w:p>
        </w:tc>
      </w:tr>
    </w:tbl>
    <w:p>
      <w:pPr>
        <w:spacing w:after="220" w:before="80"/>
      </w:pPr>
      <w:r>
        <w:rPr>
          <w:b/>
          <w:bCs/>
          <w:color w:val="52514E"/>
          <w:sz w:val="17"/>
          <w:szCs w:val="17"/>
        </w:rPr>
        <w:t xml:space="preserve">Tabla 14. </w:t>
      </w:r>
      <w:r>
        <w:rPr>
          <w:color w:val="52514E"/>
          <w:sz w:val="17"/>
          <w:szCs w:val="17"/>
        </w:rPr>
        <w:t xml:space="preserve">Selección de λ. El criterio combinado es la media del EPAP en los seis niveles de agregación. El mínimo es interior y se alcanza en λ = 0,50.</w:t>
      </w:r>
    </w:p>
    <w:p>
      <w:pPr>
        <w:spacing w:after="120" w:before="0" w:line="276"/>
      </w:pPr>
      <w:r>
        <w:rPr>
          <w:sz w:val="21"/>
          <w:szCs w:val="21"/>
        </w:rPr>
        <w:t xml:space="preserve">El criterio combinado tiene un </w:t>
      </w:r>
      <w:r>
        <w:rPr>
          <w:b/>
          <w:bCs/>
          <w:sz w:val="21"/>
          <w:szCs w:val="21"/>
        </w:rPr>
        <w:t xml:space="preserve">mínimo interior</w:t>
      </w:r>
      <w:r>
        <w:rPr>
          <w:sz w:val="21"/>
          <w:szCs w:val="21"/>
        </w:rPr>
        <w:t xml:space="preserve"> en λ = 0,50, y la curva es plana en el intervalo [0,40; 0,60]. Que el óptimo no esté en el borde de la rejilla es lo que distingue una elección fundamentada de un ajuste forzado: existe un compromiso real entre usar información reciente —que reduce el error de los agregados— y disponer de muestra suficiente en las celdas finas, cuyo error empieza a crecer por debajo de 0,60.</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0,50. </w:t>
      </w:r>
      <w:r>
        <w:rPr>
          <w:sz w:val="21"/>
          <w:szCs w:val="21"/>
        </w:rPr>
        <w:t xml:space="preserve">La semivida es de un semestre: el semestre anterior pesa la mitad, dos semestres atrás una cuarta parte. El modelo mira sobre todo los dos o tres semestres más recientes. Esto es agresivo, y está justificado por la deriva documentada y validado fuera de muestra, no por preferencia. En una institución más estable la validación habría devuelto una λ más alta, y el mismo procedimiento lo detectaría al reestimar.</w:t>
      </w:r>
    </w:p>
    <w:p>
      <w:pPr>
        <w:pStyle w:val="Heading2"/>
        <w:spacing w:after="140" w:before="300"/>
      </w:pPr>
      <w:r>
        <w:rPr>
          <w:b/>
          <w:bCs/>
          <w:color w:val="12233F"/>
          <w:sz w:val="25"/>
          <w:szCs w:val="25"/>
        </w:rPr>
        <w:t xml:space="preserve">6.6 Estimación matemática del reparto de los ingresantes por turno</w:t>
      </w:r>
    </w:p>
    <w:p>
      <w:pPr>
        <w:spacing w:after="120" w:before="0" w:line="276"/>
      </w:pPr>
      <w:r>
        <w:rPr>
          <w:color w:val="000000"/>
          <w:sz w:val="21"/>
          <w:szCs w:val="21"/>
        </w:rPr>
        <w:t xml:space="preserve">El archivo de entrada declara los ingresantes por semestre, sede, carrera y ciclo, pero no por turno. El modelo estima ese reparto con una composición multinomial contraída en cascada:</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160" w:before="0" w:line="260"/>
        <w:ind w:left="200" w:right="200"/>
      </w:pPr>
      <w:r>
        <w:rPr>
          <w:rFonts w:ascii="Consolas" w:cs="Consolas" w:eastAsia="Consolas" w:hAnsi="Consolas"/>
          <w:sz w:val="18"/>
          <w:szCs w:val="18"/>
        </w:rPr>
        <w:t xml:space="preserve">       → sede × carrera × paridad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hereda su reparto. No hay regla especial para los programas nuevos: es el mismo mecanismo de contracción resolviendo un caso extremo.</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Reparto estimado por turno de los ingresantes. La columna «Nivel usado» indica hasta dónde llegó la evidencia; las filas de INTELIGENCIA ARTIFICIAL corresponden a un programa nuevo de prueba y se resuelven en el nivel «sede·paridad».</w:t>
      </w:r>
    </w:p>
    <w:p>
      <w:pPr>
        <w:pStyle w:val="Heading2"/>
        <w:spacing w:after="140" w:before="300"/>
      </w:pPr>
      <w:r>
        <w:rPr>
          <w:b/>
          <w:bCs/>
          <w:color w:val="12233F"/>
          <w:sz w:val="25"/>
          <w:szCs w:val="25"/>
        </w:rPr>
        <w:t xml:space="preserve">6.7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0,1026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+0,151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−0,151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44,4 %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88,9 %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38,6 %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94,4 %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41,9 %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95,4 %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12,1 %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86,1 %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 × turno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3,5 %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68,8 %</w:t>
            </w:r>
          </w:p>
        </w:tc>
      </w:tr>
    </w:tbl>
    <w:p>
      <w:pPr>
        <w:spacing w:after="220" w:before="80"/>
      </w:pPr>
      <w:r>
        <w:rPr>
          <w:b/>
          <w:bCs/>
          <w:color w:val="52514E"/>
          <w:sz w:val="17"/>
          <w:szCs w:val="17"/>
        </w:rPr>
        <w:t xml:space="preserve">Tabla 15.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mucho menos del 80 %, y eso es correcto: no es un intervalo de predicción. Recoge únicamente el desplazamiento sistémico y deja fuera, por diseño, el azar de realización de cada celda. Leerla como si fuese un intervalo de confianza llevaría a subestimar el riesgo, sobre todo en el detalle fino.</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6.7).</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400"/>
        <w:gridCol w:w="1400"/>
        <w:gridCol w:w="1650"/>
        <w:gridCol w:w="1650"/>
        <w:gridCol w:w="1676"/>
      </w:tblGrid>
      <w:tr>
        <w:trPr>
          <w:tblHeader/>
        </w:trPr>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 × carrera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 × C × Ciclo</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 × C × C × Turno</w:t>
            </w:r>
          </w:p>
        </w:tc>
      </w:tr>
      <w:tr>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96,4 %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85,3 %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67,6 %</w:t>
            </w:r>
          </w:p>
        </w:tc>
      </w:tr>
      <w:tr>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94,5 %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83,5 %</w:t>
            </w:r>
          </w:p>
        </w:tc>
      </w:tr>
      <w:tr>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90,3 %</w:t>
            </w:r>
          </w:p>
        </w:tc>
      </w:tr>
      <w:tr>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94,8 %</w:t>
            </w:r>
          </w:p>
        </w:tc>
      </w:tr>
    </w:tbl>
    <w:p>
      <w:pPr>
        <w:spacing w:after="220" w:before="80"/>
      </w:pPr>
      <w:r>
        <w:rPr>
          <w:b/>
          <w:bCs/>
          <w:color w:val="52514E"/>
          <w:sz w:val="17"/>
          <w:szCs w:val="17"/>
        </w:rPr>
        <w:t xml:space="preserve">Tabla 16.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83,1 % frente al 80 % nominal. Es decir: la descomposición de varianza del apartado 6.7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w:t>
      </w:r>
    </w:p>
    <w:p>
      <w:pPr>
        <w:spacing w:after="120" w:before="0" w:line="276"/>
      </w:pPr>
      <w:r>
        <w:rPr>
          <w:color w:val="000000"/>
          <w:sz w:val="21"/>
          <w:szCs w:val="21"/>
        </w:rPr>
        <w:t xml:space="preserve">La cobertura no es uniforme entre niveles: los niveles intermedios quedan algo por encima del nominal (96 %) y el cruce más fino algo por debajo (68,8 %). Es el patrón esperable. En la celda más desagregada hay heterogeneidad individual que el supuesto multinomial no captura del todo —las decisiones de turno de personas concretas no son sorteos independientes—, mientras que en los niveles intermedios el componente sistémico resulta algo conservador. Ninguna de las dos desviaciones invalida el uso; ambas deben conocerse al leer los resultados.</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para aislar el error del modelo del error del supuesto de admisión.</w:t>
      </w:r>
    </w:p>
    <w:p>
      <w:pPr>
        <w:pStyle w:val="ListParagraph"/>
        <w:numPr>
          <w:ilvl w:val="0"/>
          <w:numId w:val="3"/>
        </w:numPr>
        <w:spacing w:after="90" w:line="276"/>
      </w:pPr>
      <w:r>
        <w:rPr>
          <w:sz w:val="21"/>
          <w:szCs w:val="21"/>
        </w:rPr>
        <w:t xml:space="preserve">Se compara con la matrícula efectivamente registrada, en los seis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6.5, que se ejecutó </w:t>
      </w:r>
      <w:r>
        <w:rPr>
          <w:i/>
          <w:iCs/>
          <w:sz w:val="21"/>
          <w:szCs w:val="21"/>
        </w:rPr>
        <w:t xml:space="preserve">dentro</w:t>
      </w:r>
      <w:r>
        <w:rPr>
          <w:sz w:val="21"/>
          <w:szCs w:val="21"/>
        </w:rPr>
        <w:t xml:space="preserve"> del bucle de validación.</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03835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16 706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+2,16 %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21 389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−0,15 %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21 222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+4,39 %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21 109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20 598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20 915</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+2,88 %</w:t>
            </w:r>
          </w:p>
        </w:tc>
      </w:tr>
    </w:tbl>
    <w:p>
      <w:pPr>
        <w:spacing w:after="220" w:before="80"/>
      </w:pPr>
      <w:r>
        <w:rPr>
          <w:b/>
          <w:bCs/>
          <w:color w:val="52514E"/>
          <w:sz w:val="17"/>
          <w:szCs w:val="17"/>
        </w:rPr>
        <w:t xml:space="preserve">Tabla 17.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1,45 % y el 2,88 %, con una media del 2,16 %. Para una institución de veinte mil estudiantes, eso supone un error medio del orden de 430 estudiantes sobre el total.</w:t>
      </w:r>
    </w:p>
    <w:p>
      <w:pPr>
        <w:pStyle w:val="Heading2"/>
        <w:spacing w:after="140" w:before="300"/>
      </w:pPr>
      <w:r>
        <w:rPr>
          <w:b/>
          <w:bCs/>
          <w:color w:val="12233F"/>
          <w:sz w:val="25"/>
          <w:szCs w:val="25"/>
        </w:rPr>
        <w:t xml:space="preserve">8.4 El sesgo y la matrícula abierta de 2026-II</w:t>
      </w:r>
    </w:p>
    <w:p>
      <w:pPr>
        <w:spacing w:after="120" w:before="0" w:line="276"/>
      </w:pPr>
      <w:r>
        <w:rPr>
          <w:color w:val="000000"/>
          <w:sz w:val="21"/>
          <w:szCs w:val="21"/>
        </w:rPr>
        <w:t xml:space="preserve">El sesgo medio del total es de +293 estudiantes: el modelo proyecta algo por encima. Conviene explicar de dónde procede.</w:t>
      </w:r>
    </w:p>
    <w:p>
      <w:pPr>
        <w:spacing w:after="120" w:before="0" w:line="276"/>
      </w:pPr>
      <w:r>
        <w:rPr>
          <w:sz w:val="21"/>
          <w:szCs w:val="21"/>
        </w:rPr>
        <w:t xml:space="preserve">Al excluir las proyecciones del semestre 2026-II, el sesgo medio cae a </w:t>
      </w:r>
      <w:r>
        <w:rPr>
          <w:b/>
          <w:bCs/>
          <w:sz w:val="21"/>
          <w:szCs w:val="21"/>
        </w:rPr>
        <w:t xml:space="preserve">+3,8 estudiantes</w:t>
      </w:r>
      <w:r>
        <w:rPr>
          <w:sz w:val="21"/>
          <w:szCs w:val="21"/>
        </w:rPr>
        <w:t xml:space="preserve"> sobre una matrícula de más de veinte mil, es decir, prácticamente cero. Las tres comparaciones que apuntan a 2026-II concentran la totalidad del sesgo.</w:t>
      </w:r>
    </w:p>
    <w:p>
      <w:pPr>
        <w:spacing w:after="120" w:before="0" w:line="276"/>
      </w:pPr>
      <w:r>
        <w:rPr>
          <w:color w:val="000000"/>
          <w:sz w:val="21"/>
          <w:szCs w:val="21"/>
        </w:rPr>
        <w:t xml:space="preserve">Esto es coherente con el hallazgo del apartado 3.2.2: la matrícula de 2026-II seguía abierta en la fecha de extracción. El modelo no está sobreestimando; está proyectando una matrícula completa contra un dato aún incompleto.</w:t>
      </w:r>
    </w:p>
    <w:p>
      <w:pPr>
        <w:pBdr>
          <w:left w:val="single" w:color="C07E00" w:sz="18" w:space="8"/>
        </w:pBdr>
        <w:shd w:fill="F2F1ED" w:val="clear"/>
        <w:spacing w:after="180" w:before="160" w:line="276"/>
        <w:ind w:left="160" w:right="160"/>
      </w:pPr>
      <w:r>
        <w:rPr>
          <w:b/>
          <w:bCs/>
          <w:sz w:val="21"/>
          <w:szCs w:val="21"/>
        </w:rPr>
        <w:t xml:space="preserve">Cómo comprobarlo. </w:t>
      </w:r>
      <w:r>
        <w:rPr>
          <w:sz w:val="21"/>
          <w:szCs w:val="21"/>
        </w:rPr>
        <w:t xml:space="preserve">Cuando se disponga del cierre definitivo de 2026-II, basta con volver a ejecutar la estimación: si la interpretación es correcta, el sesgo de esas tres comparaciones debe reducirse sustancialmente. El procedimiento es reproducible y queda documentado en el Excel de exportación.</w:t>
      </w:r>
    </w:p>
    <w:p>
      <w:pPr>
        <w:spacing w:after="120" w:before="0" w:line="276"/>
      </w:pPr>
      <w:r>
        <w:rPr>
          <w:color w:val="000000"/>
          <w:sz w:val="21"/>
          <w:szCs w:val="21"/>
        </w:rPr>
        <w:t xml:space="preserve">Es relevante además que la selección de λ del apartado 6.5 apunte en la misma dirección: el valor que minimiza el error fuera de muestra es también, aproximadamente, el que anula el sesgo una vez excluido el semestre incompleto. Dos criterios independientes coincidiendo refuerzan la elección.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2 %; y que la aritmética de la incertidumbre está bien planteada, porque el factor de inflación calibrado es 1,0.</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Seis comparaciones no permiten estimar con precisión la distribución del error, y el horizonte 3 se apoya en una sola observación. Las cifras del horizonte 3 deben tomarse como indicativas.</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claramente señalado como marcador de posición. Sirve para explorar la herramienta antes de disponer del archivo de admisión; no es una previsión.</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y carreras con los ciclos de su plan,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18.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w:t>
      </w:r>
      <w:r>
        <w:rPr>
          <w:sz w:val="21"/>
          <w:szCs w:val="21"/>
        </w:rPr>
        <w:t xml:space="preserve">Tal como pide el encargo, el archivo de entrada no lleva columna de turno: el modelo lo estima con el procedimiento del apartado 6.6 y muestra el reparto resultante en la pestaña «Ingresantes», indicando en cada fila el nivel de evidencia empleado.</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si alguna fila declara un ciclo superior al del plan, y lo ajusta al ciclo terminal.</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8572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Resumen del archivo cargado y avisos de validación, incluida la detección del programa nuevo.</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y la tabla por semestre y escenario.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0668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y turno, y construir cualquier cruce eligiendo qué dimensión va en filas y cuál en columnas. El selector </w:t>
      </w:r>
      <w:r>
        <w:rPr>
          <w:b/>
          <w:bCs/>
          <w:sz w:val="21"/>
          <w:szCs w:val="21"/>
        </w:rPr>
        <w:t xml:space="preserve">«Escenario en tablas»</w:t>
      </w:r>
      <w:r>
        <w:rPr>
          <w:sz w:val="21"/>
          <w:szCs w:val="21"/>
        </w:rPr>
        <w:t xml:space="preserve"> de la barra superior cambia el escenario mostrado en todas las tablas.</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Cruce de la proyección por carrera y ciclo. Filas y columnas son configurables.</w:t>
      </w:r>
    </w:p>
    <w:p>
      <w:pPr>
        <w:spacing w:after="120" w:before="0" w:line="276"/>
      </w:pPr>
      <w:r>
        <w:rPr>
          <w:color w:val="000000"/>
          <w:sz w:val="21"/>
          <w:szCs w:val="21"/>
        </w:rPr>
        <w:t xml:space="preserve">Debajo, el detalle por celda lista las combinaciones completas de semestre, sede, carrera, ciclo y turno, con su margen de precisión. Es la vista que corresponde al nivel más desagregado del encargo.</w:t>
      </w:r>
    </w:p>
    <w:p>
      <w:pPr>
        <w:spacing w:after="60" w:before="18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e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Cuatro cuadros listos para usar: por sede, por carrera, por ciclo y por turno,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tasas por carrera con su valor crudo y contraído, matriz de avance, matriz de turno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nueve apartados, para que el archivo se sostenga por sí solo al circular.</w:t>
            </w:r>
          </w:p>
        </w:tc>
      </w:tr>
    </w:tbl>
    <w:p>
      <w:pPr>
        <w:spacing w:after="220" w:before="80"/>
      </w:pPr>
      <w:r>
        <w:rPr>
          <w:b/>
          <w:bCs/>
          <w:color w:val="52514E"/>
          <w:sz w:val="17"/>
          <w:szCs w:val="17"/>
        </w:rPr>
        <w:t xml:space="preserve">Tabla 19.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0,50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y el avance. Con 1,00 todo el histórico pesa igual.</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20.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Es la misma aritmética de la implementación de referencia en Python, verificada punto por punto.</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nuevos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Perfil del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por ciclo es razonablemente homogéneo.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que sí se conoce.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(o sede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bl>
    <w:p>
      <w:pPr>
        <w:spacing w:after="220" w:before="80"/>
      </w:pPr>
      <w:r>
        <w:rPr>
          <w:b/>
          <w:bCs/>
          <w:color w:val="52514E"/>
          <w:sz w:val="17"/>
          <w:szCs w:val="17"/>
        </w:rPr>
        <w:t xml:space="preserve">Tabla 21. </w:t>
      </w:r>
      <w:r>
        <w:rPr>
          <w:color w:val="52514E"/>
          <w:sz w:val="17"/>
          <w:szCs w:val="17"/>
        </w:rPr>
        <w:t xml:space="preserve">Niveles de la escalera de contracción que se aplican a un programa sin historia.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60 ingresantes en Lima Sur y 20 en Lima Norte por semestre impar.</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Resolvió el reparto de turno en el nivel «sede·paridad», informándolo en la columna correspondiente: 38,5 % mañana, 59,3 % noche y 2,2 % tarde para Lima Sur.</w:t>
      </w:r>
    </w:p>
    <w:p>
      <w:pPr>
        <w:pStyle w:val="ListParagraph"/>
        <w:numPr>
          <w:ilvl w:val="0"/>
          <w:numId w:val="2"/>
        </w:numPr>
        <w:spacing w:after="90" w:line="276"/>
      </w:pPr>
      <w:r>
        <w:rPr>
          <w:sz w:val="21"/>
          <w:szCs w:val="21"/>
        </w:rPr>
        <w:t xml:space="preserve">Proyectó su matrícula a lo largo del horizonte con la estructura de continuación por ciclo.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Cruce por carrera y ciclo en escenario pesimista; el programa nuevo aparece con normalidad junto al resto de la oferta.</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la institución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30 % en el cruce sede × carrera × ciclo × turno refleja que muchas celdas tienen pocos estudiantes. A ese nivel, el intervalo de predicción es tan informativo como el punto.</w:t>
      </w:r>
    </w:p>
    <w:p>
      <w:pPr>
        <w:pStyle w:val="ListParagraph"/>
        <w:numPr>
          <w:ilvl w:val="0"/>
          <w:numId w:val="3"/>
        </w:numPr>
        <w:spacing w:after="90" w:line="276"/>
      </w:pPr>
      <w:r>
        <w:rPr>
          <w:b/>
          <w:bCs/>
          <w:sz w:val="21"/>
          <w:szCs w:val="21"/>
        </w:rPr>
        <w:t xml:space="preserve">El semestre 2026-II estaba incompleto. </w:t>
      </w:r>
      <w:r>
        <w:rPr>
          <w:sz w:val="21"/>
          <w:szCs w:val="21"/>
        </w:rPr>
        <w:t xml:space="preserve">Afecta al punto de partida de la recursión y a las comparaciones de validación que apuntan a ese semestre. Conviene reestimar con el cierre definitivo.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las estimaciones puntuales coinciden hasta el orden de 10⁻¹⁰ y las desviaciones típicas hasta 10⁻⁷ relativo, diferencias atribuibles únicamente al orden de acumulación en coma flotante. Las constantes de contracción coinciden en sus diez primeros decimales.</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81,0 %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89,5 %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89,7 %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r>
    </w:tbl>
    <w:p>
      <w:pPr>
        <w:spacing w:after="220" w:before="80"/>
      </w:pPr>
      <w:r>
        <w:rPr>
          <w:b/>
          <w:bCs/>
          <w:color w:val="52514E"/>
          <w:sz w:val="17"/>
          <w:szCs w:val="17"/>
        </w:rPr>
        <w:t xml:space="preserve">Tabla 22. </w:t>
      </w:r>
      <w:r>
        <w:rPr>
          <w:color w:val="52514E"/>
          <w:sz w:val="17"/>
          <w:szCs w:val="17"/>
        </w:rPr>
        <w:t xml:space="preserve">Probabilidad de que la siguiente matrícula ocurra L semestres después, por ciclo de origen. Valores con la ponderación de recencia λ = 0,50 activa; las observaciones son el recuento sin ponderar. La caída de los ciclos 10 y 11 corresponde al egreso. Nótese que el reingreso tras pausa (L ≥ 2) es menos frecuente en el ciclo 1: quien abandona en el primer ciclo rara vez vuelve.</w:t>
      </w:r>
    </w:p>
    <w:p>
      <w:pPr>
        <w:pStyle w:val="Heading2"/>
        <w:spacing w:after="140" w:before="300"/>
      </w:pPr>
      <w:r>
        <w:rPr>
          <w:b/>
          <w:bCs/>
          <w:color w:val="12233F"/>
          <w:sz w:val="25"/>
          <w:szCs w:val="25"/>
        </w:rPr>
        <w:t xml:space="preserve">A.2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23. </w:t>
      </w:r>
      <w:r>
        <w:rPr>
          <w:color w:val="52514E"/>
          <w:sz w:val="17"/>
          <w:szCs w:val="17"/>
        </w:rPr>
        <w:t xml:space="preserve">Duración del plan de estudios por carrera.</w:t>
      </w:r>
    </w:p>
    <w:p>
      <w:pPr>
        <w:pStyle w:val="Heading2"/>
        <w:spacing w:after="140" w:before="300"/>
      </w:pPr>
      <w:r>
        <w:rPr>
          <w:b/>
          <w:bCs/>
          <w:color w:val="12233F"/>
          <w:sz w:val="25"/>
          <w:szCs w:val="25"/>
        </w:rPr>
        <w:t xml:space="preserve">A.3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77,13 %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2,62 %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0,86 %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19,00 %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24. </w:t>
      </w:r>
      <w:r>
        <w:rPr>
          <w:color w:val="52514E"/>
          <w:sz w:val="17"/>
          <w:szCs w:val="17"/>
        </w:rPr>
        <w:t xml:space="preserve">Continuación global por rezago, con la ponderación de recencia activa.</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bl>
    <w:p>
      <w:pPr>
        <w:spacing w:after="220" w:before="80"/>
      </w:pPr>
      <w:r>
        <w:rPr>
          <w:b/>
          <w:bCs/>
          <w:color w:val="52514E"/>
          <w:sz w:val="17"/>
          <w:szCs w:val="17"/>
        </w:rPr>
        <w:t xml:space="preserve">Tabla 25.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55a17384a4a1b1f24a4a4fbd96bcd1fea443c9.png"/><Relationship Id="rId10" Type="http://schemas.openxmlformats.org/officeDocument/2006/relationships/image" Target="media/a27b6962a318050b3458b9d439a1836eec06a6d4.png"/><Relationship Id="rId11" Type="http://schemas.openxmlformats.org/officeDocument/2006/relationships/image" Target="media/27dbb008bb10e704ea7e39303789c8d423decb87.png"/><Relationship Id="rId12" Type="http://schemas.openxmlformats.org/officeDocument/2006/relationships/image" Target="media/8c432d5a4dc3751ec72e53f17aaf0ef9ae7e48eb.png"/><Relationship Id="rId13" Type="http://schemas.openxmlformats.org/officeDocument/2006/relationships/image" Target="media/54a2e30ad56a1701d34130f948f448e3d1502db6.png"/><Relationship Id="rId14" Type="http://schemas.openxmlformats.org/officeDocument/2006/relationships/image" Target="media/6e614b9981d30a34dc177e8c9079d572a3745fce.png"/><Relationship Id="rId15" Type="http://schemas.openxmlformats.org/officeDocument/2006/relationships/image" Target="media/8e1ac497cdca933260a7885eeb78b87aa4babbda.png"/><Relationship Id="rId16" Type="http://schemas.openxmlformats.org/officeDocument/2006/relationships/image" Target="media/872e4d3c85c1f675f56d73893abf8381d0df8f7c.png"/><Relationship Id="rId17" Type="http://schemas.openxmlformats.org/officeDocument/2006/relationships/image" Target="media/f983cea02c1980aa1cb37ac4cde577076f46f150.png"/><Relationship Id="rId18" Type="http://schemas.openxmlformats.org/officeDocument/2006/relationships/image" Target="media/5f41e70f83a041603048b3c18646e08cbfc6144b.png"/><Relationship Id="rId19" Type="http://schemas.openxmlformats.org/officeDocument/2006/relationships/image" Target="media/9f87553bdf37b4929c7982777c77725b68931f2e.png"/><Relationship Id="rId20" Type="http://schemas.openxmlformats.org/officeDocument/2006/relationships/image" Target="media/1b141b32946dc63994cbd0f980bde9492cf581b6.png"/><Relationship Id="rId21" Type="http://schemas.openxmlformats.org/officeDocument/2006/relationships/image" Target="media/7ab3d97def67b9dd000ea3dd34f85cade49beb94.png"/><Relationship Id="rId22" Type="http://schemas.openxmlformats.org/officeDocument/2006/relationships/image" Target="media/94f40bea223c23ff0319458bd4fd314031668cac.png"/><Relationship Id="rId23" Type="http://schemas.openxmlformats.org/officeDocument/2006/relationships/image" Target="media/009891be5d195ef8c679a79875c9ade1f06b5452.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2026-09-11T15:02:20.186Z</dcterms:created>
  <dcterms:modified xsi:type="dcterms:W3CDTF">2026-09-11T15:02:20.186Z</dcterms:modified>
</cp:coreProperties>
</file>

<file path=docProps/custom.xml><?xml version="1.0" encoding="utf-8"?>
<Properties xmlns="http://schemas.openxmlformats.org/officeDocument/2006/custom-properties" xmlns:vt="http://schemas.openxmlformats.org/officeDocument/2006/docPropsVTypes"/>
</file>