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- 11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Q1. What is the concept of a metaclass?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rFonts w:ascii="Roboto" w:cs="Roboto" w:eastAsia="Roboto" w:hAnsi="Roboto"/>
          <w:color w:val="0f0f0f"/>
          <w:rtl w:val="0"/>
        </w:rPr>
        <w:t xml:space="preserve">A metaclass is a class of a class. In Python, everything is an object, including classes. Metaclasses allow you to define how classes themselves behave. They define the creation and behavior of classes at a higher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Q2. What is the best way to declare a class’s metaclass?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The most common way to declare a class's metaclass is by using the metaclass keyword argument in the class definition.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example: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MyMeta(type):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# Metaclass definition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MyClass(metaclass=MyMeta):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 Class definition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Q3. How do class decorators overlap with metaclasses for handling classes?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Ans:</w:t>
        <w:tab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Class decorators and metaclasses both provide ways to modify or enhance class behavior during or after class creation.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Class decorators work on the class object directly after it's created, while metaclasses intervene at the moment the class itself is created.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Both can be used to add functionality, modify attributes, or perform operations on the class being defined.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Class decorators are more straightforward and can be applied more selectively to individual classes, while metaclasses affect the behavior of entire hierarchies of classes.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Q4. How do class decorators overlap with metaclasses for handling instances?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Ans:</w:t>
        <w:tab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Class decorators primarily affect class-level behavior, while metaclasses deal with the creation and behavior of classes.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Metaclasses can influence instance creation by modifying the class's __new__ or __init__ methods, allowing control over how instances are instantiated.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Class decorators, however, do not directly interact with instances; their focus is on modifying or enhancing the class itself.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