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- 17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Greedy matches capture the longest possible segment while non-greedy matches capture the shortest. Transforming from greedy to non-greedy often involves adding a ? after quantifiers like *, +, or {}.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Q2. When exactly does greedy versus non-greedy make a difference?  What if you’re looking for a non-greedy match but the only one available is greedy?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rFonts w:ascii="Roboto" w:cs="Roboto" w:eastAsia="Roboto" w:hAnsi="Roboto"/>
          <w:color w:val="0f0f0f"/>
          <w:rtl w:val="0"/>
        </w:rPr>
        <w:t xml:space="preserve">Greedy vs. non-greedy matters when matching patterns with varying lengths. If only a greedy match is available but a non-greedy one is needed, adjusting the pattern or using additional constraints might be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Q3. In a simple match of a string, which looks only for one match and does not do any replacement, is the use of a nontagged group likely to make any practical difference?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In a single match scenario without replacement, using a non-tagged group might not practically alter the outcome significantly.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Q4. Describe a scenario in which using a nontagged category would have a significant impact on the program’s outcomes.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When distinguishing but not capturing substrings within a larger pattern, using non-tagged categories can notably impact how the program identifies and processes specific parts of the input string.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Q5. Unlike a normal regex pattern, a look-ahead condition does not consume the characters it examines. Describe a situation in which this could make a difference in the results of your programme.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Look-ahead conditions, by not consuming characters, can affect the selection or exclusion of certain matches in complex patterns, especially when ensuring specific contexts without affecting the overall match.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Q6. In standard expressions, what is the difference between positive look-ahead and negative look-ahead?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Positive look-ahead asserts a pattern must follow, while negative look-ahead asserts a pattern must not follow, without consuming the characters.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Q7. What is the benefit of referring to groups by name rather than by number in a standard expression?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Using names instead of numbers for groups in regular expressions enhances readability and makes the code more maintainable, especially in complex patterns.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Q8. Can you identify repeated items within a target string using named groups, as in “The cow jumped over the moon”?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Yes, named groups can help identify repeated items. For instance, in the string "The cow jumped over the moon," a regex pattern could identify repeated words using named groups.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Q9. When parsing a string, what is at least one thing that the Scanner interface does for you that the re.findall feature does not?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Scanner offers parsing control with methods like next() and hasNext(), allowing iteration through tokens one at a time, while re.findall retrieves all matches in one go.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Q10. Does a scanner object have to be named scanner?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No, a Scanner object doesn't have to be named "scanner." You can choose any valid identifier as the object's name, ensuring it follows naming conventions for clarity and readability in your code.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